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hint="eastAsia" w:ascii="宋体" w:hAnsi="宋体" w:eastAsia="宋体" w:cs="宋体"/>
          <w:b/>
          <w:bCs/>
          <w:color w:val="000000" w:themeColor="text1"/>
          <w:sz w:val="72"/>
          <w:szCs w:val="72"/>
          <w:highlight w:val="none"/>
          <w14:textFill>
            <w14:solidFill>
              <w14:schemeClr w14:val="tx1"/>
            </w14:solidFill>
          </w14:textFill>
        </w:rPr>
      </w:pPr>
    </w:p>
    <w:p>
      <w:pPr>
        <w:spacing w:after="240"/>
        <w:jc w:val="center"/>
        <w:rPr>
          <w:rFonts w:hint="eastAsia" w:ascii="宋体" w:hAnsi="宋体" w:eastAsia="宋体" w:cs="宋体"/>
          <w:b/>
          <w:bCs/>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72"/>
          <w:szCs w:val="72"/>
          <w:highlight w:val="none"/>
          <w14:textFill>
            <w14:solidFill>
              <w14:schemeClr w14:val="tx1"/>
            </w14:solidFill>
          </w14:textFill>
        </w:rPr>
        <w:t>公开招标文件</w:t>
      </w:r>
    </w:p>
    <w:p>
      <w:pPr>
        <w:spacing w:after="240"/>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（政府采购电子交易项目·服务类）</w:t>
      </w:r>
    </w:p>
    <w:p>
      <w:pPr>
        <w:spacing w:after="120" w:afterLines="50" w:line="480" w:lineRule="exact"/>
        <w:jc w:val="center"/>
        <w:outlineLvl w:val="0"/>
        <w:rPr>
          <w:rFonts w:hint="eastAsia" w:ascii="宋体" w:hAnsi="宋体" w:eastAsia="宋体" w:cs="宋体"/>
          <w:b/>
          <w:bCs/>
          <w:color w:val="000000" w:themeColor="text1"/>
          <w:sz w:val="44"/>
          <w:szCs w:val="44"/>
          <w:highlight w:val="none"/>
          <w14:textFill>
            <w14:solidFill>
              <w14:schemeClr w14:val="tx1"/>
            </w14:solidFill>
          </w14:textFill>
        </w:rPr>
      </w:pPr>
    </w:p>
    <w:p>
      <w:pPr>
        <w:spacing w:after="120" w:afterLines="50" w:line="480" w:lineRule="exact"/>
        <w:jc w:val="center"/>
        <w:outlineLvl w:val="0"/>
        <w:rPr>
          <w:rFonts w:hint="eastAsia" w:ascii="宋体" w:hAnsi="宋体" w:eastAsia="宋体" w:cs="宋体"/>
          <w:b/>
          <w:bCs/>
          <w:color w:val="000000" w:themeColor="text1"/>
          <w:sz w:val="44"/>
          <w:szCs w:val="44"/>
          <w:highlight w:val="none"/>
          <w14:textFill>
            <w14:solidFill>
              <w14:schemeClr w14:val="tx1"/>
            </w14:solidFill>
          </w14:textFill>
        </w:rPr>
      </w:pPr>
    </w:p>
    <w:p>
      <w:pPr>
        <w:spacing w:after="120" w:afterLines="50" w:line="480" w:lineRule="exact"/>
        <w:jc w:val="center"/>
        <w:outlineLvl w:val="0"/>
        <w:rPr>
          <w:rFonts w:hint="eastAsia" w:ascii="宋体" w:hAnsi="宋体" w:eastAsia="宋体" w:cs="宋体"/>
          <w:b/>
          <w:bCs/>
          <w:color w:val="000000" w:themeColor="text1"/>
          <w:sz w:val="44"/>
          <w:szCs w:val="44"/>
          <w:highlight w:val="none"/>
          <w14:textFill>
            <w14:solidFill>
              <w14:schemeClr w14:val="tx1"/>
            </w14:solidFill>
          </w14:textFill>
        </w:rPr>
      </w:pPr>
    </w:p>
    <w:p>
      <w:pPr>
        <w:spacing w:after="120" w:afterLines="50" w:line="480" w:lineRule="exact"/>
        <w:jc w:val="center"/>
        <w:outlineLvl w:val="0"/>
        <w:rPr>
          <w:rFonts w:hint="eastAsia" w:ascii="宋体" w:hAnsi="宋体" w:eastAsia="宋体" w:cs="宋体"/>
          <w:b/>
          <w:bCs/>
          <w:color w:val="000000" w:themeColor="text1"/>
          <w:sz w:val="44"/>
          <w:szCs w:val="44"/>
          <w:highlight w:val="none"/>
          <w14:textFill>
            <w14:solidFill>
              <w14:schemeClr w14:val="tx1"/>
            </w14:solidFill>
          </w14:textFill>
        </w:rPr>
      </w:pPr>
    </w:p>
    <w:p>
      <w:pPr>
        <w:spacing w:after="120" w:afterLines="50" w:line="480" w:lineRule="exact"/>
        <w:jc w:val="center"/>
        <w:outlineLvl w:val="0"/>
        <w:rPr>
          <w:rFonts w:hint="eastAsia" w:ascii="宋体" w:hAnsi="宋体" w:eastAsia="宋体" w:cs="宋体"/>
          <w:b/>
          <w:bCs/>
          <w:color w:val="000000" w:themeColor="text1"/>
          <w:sz w:val="44"/>
          <w:szCs w:val="44"/>
          <w:highlight w:val="none"/>
          <w14:textFill>
            <w14:solidFill>
              <w14:schemeClr w14:val="tx1"/>
            </w14:solidFill>
          </w14:textFill>
        </w:rPr>
      </w:pPr>
    </w:p>
    <w:p>
      <w:pPr>
        <w:spacing w:line="360" w:lineRule="auto"/>
        <w:outlineLvl w:val="0"/>
        <w:rPr>
          <w:rFonts w:hint="eastAsia" w:ascii="宋体" w:hAnsi="宋体" w:eastAsia="宋体" w:cs="宋体"/>
          <w:b/>
          <w:bCs/>
          <w:color w:val="000000" w:themeColor="text1"/>
          <w:sz w:val="44"/>
          <w:szCs w:val="44"/>
          <w:highlight w:val="none"/>
          <w14:textFill>
            <w14:solidFill>
              <w14:schemeClr w14:val="tx1"/>
            </w14:solidFill>
          </w14:textFill>
        </w:rPr>
      </w:pPr>
      <w:bookmarkStart w:id="52" w:name="_GoBack"/>
      <w:bookmarkEnd w:id="52"/>
    </w:p>
    <w:p>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000000" w:themeColor="text1"/>
          <w:spacing w:val="20"/>
          <w:kern w:val="0"/>
          <w:sz w:val="32"/>
          <w:szCs w:val="32"/>
          <w:highlight w:val="none"/>
          <w14:textFill>
            <w14:solidFill>
              <w14:schemeClr w14:val="tx1"/>
            </w14:solidFill>
          </w14:textFill>
        </w:rPr>
      </w:pPr>
    </w:p>
    <w:p>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000000" w:themeColor="text1"/>
          <w:spacing w:val="20"/>
          <w:kern w:val="0"/>
          <w:sz w:val="32"/>
          <w:szCs w:val="32"/>
          <w:highlight w:val="none"/>
          <w14:textFill>
            <w14:solidFill>
              <w14:schemeClr w14:val="tx1"/>
            </w14:solidFill>
          </w14:textFill>
        </w:rPr>
      </w:pPr>
    </w:p>
    <w:p>
      <w:pPr>
        <w:tabs>
          <w:tab w:val="left" w:pos="2410"/>
        </w:tabs>
        <w:autoSpaceDE w:val="0"/>
        <w:autoSpaceDN w:val="0"/>
        <w:adjustRightInd w:val="0"/>
        <w:snapToGrid w:val="0"/>
        <w:spacing w:line="360" w:lineRule="auto"/>
        <w:rPr>
          <w:rFonts w:hint="eastAsia" w:ascii="宋体" w:hAnsi="宋体" w:eastAsia="宋体" w:cs="宋体"/>
          <w:b/>
          <w:color w:val="000000" w:themeColor="text1"/>
          <w:spacing w:val="20"/>
          <w:kern w:val="0"/>
          <w:sz w:val="32"/>
          <w:szCs w:val="32"/>
          <w:highlight w:val="none"/>
          <w14:textFill>
            <w14:solidFill>
              <w14:schemeClr w14:val="tx1"/>
            </w14:solidFill>
          </w14:textFill>
        </w:rPr>
      </w:pPr>
    </w:p>
    <w:p>
      <w:pPr>
        <w:tabs>
          <w:tab w:val="left" w:pos="2410"/>
        </w:tabs>
        <w:autoSpaceDE w:val="0"/>
        <w:autoSpaceDN w:val="0"/>
        <w:adjustRightInd w:val="0"/>
        <w:snapToGrid w:val="0"/>
        <w:spacing w:line="360" w:lineRule="auto"/>
        <w:rPr>
          <w:rFonts w:hint="eastAsia" w:ascii="宋体" w:hAnsi="宋体" w:eastAsia="宋体" w:cs="宋体"/>
          <w:b/>
          <w:color w:val="000000" w:themeColor="text1"/>
          <w:spacing w:val="20"/>
          <w:kern w:val="0"/>
          <w:sz w:val="32"/>
          <w:szCs w:val="32"/>
          <w:highlight w:val="none"/>
          <w:u w:val="single"/>
          <w:lang w:eastAsia="zh-CN"/>
          <w14:textFill>
            <w14:solidFill>
              <w14:schemeClr w14:val="tx1"/>
            </w14:solidFill>
          </w14:textFill>
        </w:rPr>
      </w:pPr>
      <w:r>
        <w:rPr>
          <w:rFonts w:hint="eastAsia" w:ascii="宋体" w:hAnsi="宋体" w:eastAsia="宋体" w:cs="宋体"/>
          <w:b/>
          <w:color w:val="000000" w:themeColor="text1"/>
          <w:spacing w:val="20"/>
          <w:kern w:val="0"/>
          <w:sz w:val="32"/>
          <w:szCs w:val="32"/>
          <w:highlight w:val="none"/>
          <w:u w:val="none"/>
          <w:lang w:eastAsia="zh-CN"/>
          <w14:textFill>
            <w14:solidFill>
              <w14:schemeClr w14:val="tx1"/>
            </w14:solidFill>
          </w14:textFill>
        </w:rPr>
        <w:t>项目名称：</w:t>
      </w:r>
      <w:r>
        <w:rPr>
          <w:rFonts w:hint="eastAsia" w:ascii="宋体" w:hAnsi="宋体" w:eastAsia="宋体" w:cs="宋体"/>
          <w:b/>
          <w:color w:val="000000" w:themeColor="text1"/>
          <w:spacing w:val="20"/>
          <w:kern w:val="0"/>
          <w:sz w:val="32"/>
          <w:szCs w:val="32"/>
          <w:highlight w:val="none"/>
          <w:u w:val="none"/>
          <w:lang w:eastAsia="zh-CN"/>
          <w14:textFill>
            <w14:solidFill>
              <w14:schemeClr w14:val="tx1"/>
            </w14:solidFill>
          </w14:textFill>
        </w:rPr>
        <w:t>宁波市自然资源和规划研究中心劳务外包项目（重招）</w:t>
      </w:r>
    </w:p>
    <w:p>
      <w:pPr>
        <w:tabs>
          <w:tab w:val="left" w:pos="2410"/>
        </w:tabs>
        <w:autoSpaceDE w:val="0"/>
        <w:autoSpaceDN w:val="0"/>
        <w:adjustRightInd w:val="0"/>
        <w:snapToGrid w:val="0"/>
        <w:spacing w:line="360" w:lineRule="auto"/>
        <w:rPr>
          <w:rFonts w:hint="eastAsia" w:ascii="宋体" w:hAnsi="宋体" w:eastAsia="宋体" w:cs="宋体"/>
          <w:b/>
          <w:color w:val="000000" w:themeColor="text1"/>
          <w:spacing w:val="20"/>
          <w:kern w:val="0"/>
          <w:sz w:val="32"/>
          <w:szCs w:val="32"/>
          <w:highlight w:val="none"/>
          <w:lang w:eastAsia="zh-CN"/>
          <w14:textFill>
            <w14:solidFill>
              <w14:schemeClr w14:val="tx1"/>
            </w14:solidFill>
          </w14:textFill>
        </w:rPr>
      </w:pPr>
      <w:r>
        <w:rPr>
          <w:rFonts w:hint="eastAsia" w:ascii="宋体" w:hAnsi="宋体" w:eastAsia="宋体" w:cs="宋体"/>
          <w:b/>
          <w:color w:val="000000" w:themeColor="text1"/>
          <w:spacing w:val="20"/>
          <w:kern w:val="0"/>
          <w:sz w:val="32"/>
          <w:szCs w:val="32"/>
          <w:highlight w:val="none"/>
          <w14:textFill>
            <w14:solidFill>
              <w14:schemeClr w14:val="tx1"/>
            </w14:solidFill>
          </w14:textFill>
        </w:rPr>
        <w:t>项目编号：</w:t>
      </w:r>
      <w:r>
        <w:rPr>
          <w:rFonts w:hint="eastAsia" w:ascii="宋体" w:hAnsi="宋体" w:eastAsia="宋体" w:cs="宋体"/>
          <w:b/>
          <w:color w:val="000000" w:themeColor="text1"/>
          <w:spacing w:val="20"/>
          <w:kern w:val="0"/>
          <w:sz w:val="32"/>
          <w:szCs w:val="32"/>
          <w:highlight w:val="none"/>
          <w:u w:val="single"/>
          <w:lang w:eastAsia="zh-CN"/>
          <w14:textFill>
            <w14:solidFill>
              <w14:schemeClr w14:val="tx1"/>
            </w14:solidFill>
          </w14:textFill>
        </w:rPr>
        <w:t>NBMC-20242164-1G</w:t>
      </w:r>
    </w:p>
    <w:p>
      <w:pPr>
        <w:tabs>
          <w:tab w:val="left" w:pos="2410"/>
        </w:tabs>
        <w:autoSpaceDE w:val="0"/>
        <w:autoSpaceDN w:val="0"/>
        <w:adjustRightInd w:val="0"/>
        <w:snapToGrid w:val="0"/>
        <w:spacing w:line="360" w:lineRule="auto"/>
        <w:rPr>
          <w:rFonts w:hint="eastAsia" w:ascii="宋体" w:hAnsi="宋体" w:eastAsia="宋体" w:cs="宋体"/>
          <w:b/>
          <w:color w:val="000000" w:themeColor="text1"/>
          <w:spacing w:val="20"/>
          <w:kern w:val="0"/>
          <w:sz w:val="32"/>
          <w:szCs w:val="32"/>
          <w:highlight w:val="none"/>
          <w:lang w:eastAsia="zh-CN"/>
          <w14:textFill>
            <w14:solidFill>
              <w14:schemeClr w14:val="tx1"/>
            </w14:solidFill>
          </w14:textFill>
        </w:rPr>
      </w:pPr>
      <w:r>
        <w:rPr>
          <w:rFonts w:hint="eastAsia" w:ascii="宋体" w:hAnsi="宋体" w:eastAsia="宋体" w:cs="宋体"/>
          <w:b/>
          <w:color w:val="000000" w:themeColor="text1"/>
          <w:spacing w:val="20"/>
          <w:kern w:val="0"/>
          <w:sz w:val="32"/>
          <w:szCs w:val="32"/>
          <w:highlight w:val="none"/>
          <w14:textFill>
            <w14:solidFill>
              <w14:schemeClr w14:val="tx1"/>
            </w14:solidFill>
          </w14:textFill>
        </w:rPr>
        <w:t>采 购 人：</w:t>
      </w:r>
      <w:r>
        <w:rPr>
          <w:rFonts w:hint="eastAsia" w:ascii="宋体" w:hAnsi="宋体" w:eastAsia="宋体" w:cs="宋体"/>
          <w:b/>
          <w:color w:val="000000" w:themeColor="text1"/>
          <w:spacing w:val="20"/>
          <w:kern w:val="0"/>
          <w:sz w:val="32"/>
          <w:szCs w:val="32"/>
          <w:highlight w:val="none"/>
          <w:u w:val="single"/>
          <w:lang w:eastAsia="zh-CN"/>
          <w14:textFill>
            <w14:solidFill>
              <w14:schemeClr w14:val="tx1"/>
            </w14:solidFill>
          </w14:textFill>
        </w:rPr>
        <w:t>宁波市自然资源和规划研究中心</w:t>
      </w:r>
    </w:p>
    <w:p>
      <w:pPr>
        <w:tabs>
          <w:tab w:val="left" w:pos="2410"/>
        </w:tabs>
        <w:autoSpaceDE w:val="0"/>
        <w:autoSpaceDN w:val="0"/>
        <w:adjustRightInd w:val="0"/>
        <w:snapToGrid w:val="0"/>
        <w:spacing w:line="360" w:lineRule="auto"/>
        <w:rPr>
          <w:rFonts w:hint="eastAsia" w:ascii="宋体" w:hAnsi="宋体" w:eastAsia="宋体" w:cs="宋体"/>
          <w:b/>
          <w:color w:val="000000" w:themeColor="text1"/>
          <w:spacing w:val="20"/>
          <w:kern w:val="0"/>
          <w:sz w:val="32"/>
          <w:szCs w:val="32"/>
          <w:highlight w:val="none"/>
          <w:u w:val="single"/>
          <w14:textFill>
            <w14:solidFill>
              <w14:schemeClr w14:val="tx1"/>
            </w14:solidFill>
          </w14:textFill>
        </w:rPr>
      </w:pPr>
      <w:r>
        <w:rPr>
          <w:rFonts w:hint="eastAsia" w:ascii="宋体" w:hAnsi="宋体" w:eastAsia="宋体" w:cs="宋体"/>
          <w:b/>
          <w:color w:val="000000" w:themeColor="text1"/>
          <w:spacing w:val="20"/>
          <w:kern w:val="0"/>
          <w:sz w:val="32"/>
          <w:szCs w:val="32"/>
          <w:highlight w:val="none"/>
          <w14:textFill>
            <w14:solidFill>
              <w14:schemeClr w14:val="tx1"/>
            </w14:solidFill>
          </w14:textFill>
        </w:rPr>
        <w:t>采购代理机构：</w:t>
      </w:r>
      <w:r>
        <w:rPr>
          <w:rFonts w:hint="eastAsia" w:ascii="宋体" w:hAnsi="宋体" w:eastAsia="宋体" w:cs="宋体"/>
          <w:b/>
          <w:color w:val="000000" w:themeColor="text1"/>
          <w:spacing w:val="20"/>
          <w:kern w:val="0"/>
          <w:sz w:val="32"/>
          <w:szCs w:val="32"/>
          <w:highlight w:val="none"/>
          <w:u w:val="single"/>
          <w14:textFill>
            <w14:solidFill>
              <w14:schemeClr w14:val="tx1"/>
            </w14:solidFill>
          </w14:textFill>
        </w:rPr>
        <w:t>宁波名诚招标代理有限公司</w:t>
      </w:r>
    </w:p>
    <w:p>
      <w:pPr>
        <w:widowControl/>
        <w:jc w:val="left"/>
        <w:rPr>
          <w:rFonts w:hint="eastAsia" w:ascii="宋体" w:hAnsi="宋体" w:eastAsia="宋体" w:cs="宋体"/>
          <w:b/>
          <w:color w:val="000000" w:themeColor="text1"/>
          <w:spacing w:val="20"/>
          <w:kern w:val="0"/>
          <w:sz w:val="32"/>
          <w:szCs w:val="32"/>
          <w:highlight w:val="none"/>
          <w14:textFill>
            <w14:solidFill>
              <w14:schemeClr w14:val="tx1"/>
            </w14:solidFill>
          </w14:textFill>
        </w:rPr>
      </w:pPr>
      <w:r>
        <w:rPr>
          <w:rFonts w:hint="eastAsia" w:ascii="宋体" w:hAnsi="宋体" w:eastAsia="宋体" w:cs="宋体"/>
          <w:b/>
          <w:color w:val="000000" w:themeColor="text1"/>
          <w:spacing w:val="20"/>
          <w:kern w:val="0"/>
          <w:sz w:val="32"/>
          <w:szCs w:val="32"/>
          <w:highlight w:val="none"/>
          <w14:textFill>
            <w14:solidFill>
              <w14:schemeClr w14:val="tx1"/>
            </w14:solidFill>
          </w14:textFill>
        </w:rPr>
        <w:br w:type="page"/>
      </w:r>
    </w:p>
    <w:sdt>
      <w:sdtPr>
        <w:rPr>
          <w:rFonts w:hint="eastAsia" w:ascii="宋体" w:hAnsi="宋体" w:eastAsia="宋体" w:cs="宋体"/>
          <w:b w:val="0"/>
          <w:bCs w:val="0"/>
          <w:color w:val="auto"/>
          <w:kern w:val="2"/>
          <w:sz w:val="21"/>
          <w:szCs w:val="24"/>
          <w:highlight w:val="none"/>
          <w:lang w:val="zh-CN"/>
        </w:rPr>
        <w:id w:val="1"/>
        <w:docPartObj>
          <w:docPartGallery w:val="Table of Contents"/>
          <w:docPartUnique/>
        </w:docPartObj>
      </w:sdtPr>
      <w:sdtEndPr>
        <w:rPr>
          <w:rFonts w:hint="eastAsia" w:ascii="宋体" w:hAnsi="宋体" w:eastAsia="宋体" w:cs="宋体"/>
          <w:b w:val="0"/>
          <w:bCs w:val="0"/>
          <w:color w:val="auto"/>
          <w:kern w:val="2"/>
          <w:sz w:val="21"/>
          <w:szCs w:val="24"/>
          <w:highlight w:val="none"/>
          <w:lang w:val="zh-CN"/>
        </w:rPr>
      </w:sdtEndPr>
      <w:sdtContent>
        <w:p>
          <w:pPr>
            <w:pStyle w:val="281"/>
            <w:rPr>
              <w:rFonts w:hint="eastAsia" w:ascii="宋体" w:hAnsi="宋体" w:eastAsia="宋体" w:cs="宋体"/>
              <w:sz w:val="32"/>
              <w:szCs w:val="32"/>
              <w:highlight w:val="none"/>
            </w:rPr>
          </w:pPr>
          <w:r>
            <w:rPr>
              <w:rFonts w:hint="eastAsia" w:ascii="宋体" w:hAnsi="宋体" w:eastAsia="宋体" w:cs="宋体"/>
              <w:sz w:val="32"/>
              <w:szCs w:val="32"/>
              <w:highlight w:val="none"/>
              <w:lang w:val="zh-CN"/>
            </w:rPr>
            <w:t>目录</w:t>
          </w:r>
        </w:p>
        <w:p>
          <w:pPr>
            <w:pStyle w:val="30"/>
            <w:tabs>
              <w:tab w:val="right" w:leader="dot" w:pos="8856"/>
            </w:tabs>
            <w:spacing w:line="360" w:lineRule="auto"/>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TOC \o "1-3" \h \z \u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sz w:val="24"/>
              <w:szCs w:val="24"/>
              <w:highlight w:val="none"/>
            </w:rPr>
            <w:instrText xml:space="preserve"> HYPERLINK \l _Toc30618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投标邀请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_Toc30618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pPr>
            <w:pStyle w:val="30"/>
            <w:tabs>
              <w:tab w:val="right" w:leader="dot" w:pos="8856"/>
            </w:tabs>
            <w:spacing w:line="360" w:lineRule="auto"/>
            <w:rPr>
              <w:rFonts w:hint="eastAsia" w:ascii="宋体" w:hAnsi="宋体" w:eastAsia="宋体" w:cs="宋体"/>
              <w:sz w:val="24"/>
              <w:szCs w:val="24"/>
              <w:highlight w:val="none"/>
            </w:rPr>
          </w:pP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begin"/>
          </w:r>
          <w:r>
            <w:rPr>
              <w:rFonts w:hint="eastAsia" w:ascii="宋体" w:hAnsi="宋体" w:eastAsia="宋体" w:cs="宋体"/>
              <w:bCs/>
              <w:sz w:val="24"/>
              <w:szCs w:val="24"/>
              <w:highlight w:val="none"/>
              <w:lang w:val="zh-CN"/>
            </w:rPr>
            <w:instrText xml:space="preserve"> HYPERLINK \l _Toc31262 </w:instrText>
          </w:r>
          <w:r>
            <w:rPr>
              <w:rFonts w:hint="eastAsia" w:ascii="宋体" w:hAnsi="宋体" w:eastAsia="宋体" w:cs="宋体"/>
              <w:bCs/>
              <w:sz w:val="24"/>
              <w:szCs w:val="24"/>
              <w:highlight w:val="none"/>
              <w:lang w:val="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章  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_Toc31262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end"/>
          </w:r>
        </w:p>
        <w:p>
          <w:pPr>
            <w:pStyle w:val="30"/>
            <w:tabs>
              <w:tab w:val="right" w:leader="dot" w:pos="8856"/>
            </w:tabs>
            <w:spacing w:line="360" w:lineRule="auto"/>
            <w:rPr>
              <w:rFonts w:hint="eastAsia" w:ascii="宋体" w:hAnsi="宋体" w:eastAsia="宋体" w:cs="宋体"/>
              <w:sz w:val="24"/>
              <w:szCs w:val="24"/>
              <w:highlight w:val="none"/>
            </w:rPr>
          </w:pP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begin"/>
          </w:r>
          <w:r>
            <w:rPr>
              <w:rFonts w:hint="eastAsia" w:ascii="宋体" w:hAnsi="宋体" w:eastAsia="宋体" w:cs="宋体"/>
              <w:bCs/>
              <w:sz w:val="24"/>
              <w:szCs w:val="24"/>
              <w:highlight w:val="none"/>
              <w:lang w:val="zh-CN"/>
            </w:rPr>
            <w:instrText xml:space="preserve"> HYPERLINK \l _Toc21782 </w:instrText>
          </w:r>
          <w:r>
            <w:rPr>
              <w:rFonts w:hint="eastAsia" w:ascii="宋体" w:hAnsi="宋体" w:eastAsia="宋体" w:cs="宋体"/>
              <w:bCs/>
              <w:sz w:val="24"/>
              <w:szCs w:val="24"/>
              <w:highlight w:val="none"/>
              <w:lang w:val="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章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_Toc21782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end"/>
          </w:r>
        </w:p>
        <w:p>
          <w:pPr>
            <w:pStyle w:val="30"/>
            <w:tabs>
              <w:tab w:val="right" w:leader="dot" w:pos="8856"/>
            </w:tabs>
            <w:spacing w:line="360" w:lineRule="auto"/>
            <w:rPr>
              <w:rFonts w:hint="eastAsia" w:ascii="宋体" w:hAnsi="宋体" w:eastAsia="宋体" w:cs="宋体"/>
              <w:sz w:val="24"/>
              <w:szCs w:val="24"/>
              <w:highlight w:val="none"/>
            </w:rPr>
          </w:pP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begin"/>
          </w:r>
          <w:r>
            <w:rPr>
              <w:rFonts w:hint="eastAsia" w:ascii="宋体" w:hAnsi="宋体" w:eastAsia="宋体" w:cs="宋体"/>
              <w:bCs/>
              <w:sz w:val="24"/>
              <w:szCs w:val="24"/>
              <w:highlight w:val="none"/>
              <w:lang w:val="zh-CN"/>
            </w:rPr>
            <w:instrText xml:space="preserve"> HYPERLINK \l _Toc10769 </w:instrText>
          </w:r>
          <w:r>
            <w:rPr>
              <w:rFonts w:hint="eastAsia" w:ascii="宋体" w:hAnsi="宋体" w:eastAsia="宋体" w:cs="宋体"/>
              <w:bCs/>
              <w:sz w:val="24"/>
              <w:szCs w:val="24"/>
              <w:highlight w:val="none"/>
              <w:lang w:val="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章  评标方法和标准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_Toc10769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end"/>
          </w:r>
        </w:p>
        <w:p>
          <w:pPr>
            <w:pStyle w:val="30"/>
            <w:tabs>
              <w:tab w:val="right" w:leader="dot" w:pos="8856"/>
            </w:tabs>
            <w:spacing w:line="360" w:lineRule="auto"/>
            <w:rPr>
              <w:rFonts w:hint="eastAsia" w:ascii="宋体" w:hAnsi="宋体" w:eastAsia="宋体" w:cs="宋体"/>
              <w:sz w:val="24"/>
              <w:szCs w:val="24"/>
              <w:highlight w:val="none"/>
            </w:rPr>
          </w:pP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begin"/>
          </w:r>
          <w:r>
            <w:rPr>
              <w:rFonts w:hint="eastAsia" w:ascii="宋体" w:hAnsi="宋体" w:eastAsia="宋体" w:cs="宋体"/>
              <w:bCs/>
              <w:sz w:val="24"/>
              <w:szCs w:val="24"/>
              <w:highlight w:val="none"/>
              <w:lang w:val="zh-CN"/>
            </w:rPr>
            <w:instrText xml:space="preserve"> HYPERLINK \l _Toc4394 </w:instrText>
          </w:r>
          <w:r>
            <w:rPr>
              <w:rFonts w:hint="eastAsia" w:ascii="宋体" w:hAnsi="宋体" w:eastAsia="宋体" w:cs="宋体"/>
              <w:bCs/>
              <w:sz w:val="24"/>
              <w:szCs w:val="24"/>
              <w:highlight w:val="none"/>
              <w:lang w:val="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章  合同文本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_Toc4394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end"/>
          </w:r>
        </w:p>
        <w:p>
          <w:pPr>
            <w:pStyle w:val="30"/>
            <w:tabs>
              <w:tab w:val="right" w:leader="dot" w:pos="8856"/>
            </w:tabs>
            <w:spacing w:line="360" w:lineRule="auto"/>
            <w:rPr>
              <w:rFonts w:hint="eastAsia" w:ascii="宋体" w:hAnsi="宋体" w:eastAsia="宋体" w:cs="宋体"/>
              <w:sz w:val="24"/>
              <w:szCs w:val="24"/>
              <w:highlight w:val="none"/>
            </w:rPr>
          </w:pP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begin"/>
          </w:r>
          <w:r>
            <w:rPr>
              <w:rFonts w:hint="eastAsia" w:ascii="宋体" w:hAnsi="宋体" w:eastAsia="宋体" w:cs="宋体"/>
              <w:bCs/>
              <w:sz w:val="24"/>
              <w:szCs w:val="24"/>
              <w:highlight w:val="none"/>
              <w:lang w:val="zh-CN"/>
            </w:rPr>
            <w:instrText xml:space="preserve"> HYPERLINK \l _Toc8881 </w:instrText>
          </w:r>
          <w:r>
            <w:rPr>
              <w:rFonts w:hint="eastAsia" w:ascii="宋体" w:hAnsi="宋体" w:eastAsia="宋体" w:cs="宋体"/>
              <w:bCs/>
              <w:sz w:val="24"/>
              <w:szCs w:val="24"/>
              <w:highlight w:val="none"/>
              <w:lang w:val="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章  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_Toc8881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end"/>
          </w:r>
        </w:p>
        <w:p>
          <w:pPr>
            <w:pStyle w:val="30"/>
            <w:tabs>
              <w:tab w:val="right" w:leader="dot" w:pos="8856"/>
            </w:tabs>
            <w:spacing w:line="360" w:lineRule="auto"/>
            <w:rPr>
              <w:rFonts w:hint="eastAsia" w:ascii="宋体" w:hAnsi="宋体" w:eastAsia="宋体" w:cs="宋体"/>
              <w:sz w:val="24"/>
              <w:szCs w:val="24"/>
              <w:highlight w:val="none"/>
            </w:rPr>
          </w:pP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begin"/>
          </w:r>
          <w:r>
            <w:rPr>
              <w:rFonts w:hint="eastAsia" w:ascii="宋体" w:hAnsi="宋体" w:eastAsia="宋体" w:cs="宋体"/>
              <w:bCs/>
              <w:sz w:val="24"/>
              <w:szCs w:val="24"/>
              <w:highlight w:val="none"/>
              <w:lang w:val="zh-CN"/>
            </w:rPr>
            <w:instrText xml:space="preserve"> HYPERLINK \l _Toc28371 </w:instrText>
          </w:r>
          <w:r>
            <w:rPr>
              <w:rFonts w:hint="eastAsia" w:ascii="宋体" w:hAnsi="宋体" w:eastAsia="宋体" w:cs="宋体"/>
              <w:bCs/>
              <w:sz w:val="24"/>
              <w:szCs w:val="24"/>
              <w:highlight w:val="none"/>
              <w:lang w:val="zh-CN"/>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章  政府采购供应商质疑函及投诉书范本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_Toc28371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42</w:t>
          </w:r>
          <w:r>
            <w:rPr>
              <w:rFonts w:hint="eastAsia" w:ascii="宋体" w:hAnsi="宋体" w:eastAsia="宋体" w:cs="宋体"/>
              <w:sz w:val="24"/>
              <w:szCs w:val="24"/>
              <w:highlight w:val="none"/>
            </w:rPr>
            <w:fldChar w:fldCharType="end"/>
          </w: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end"/>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fldChar w:fldCharType="end"/>
          </w:r>
        </w:p>
      </w:sdtContent>
    </w:sdt>
    <w:p>
      <w:pPr>
        <w:spacing w:line="360" w:lineRule="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pPr>
        <w:pStyle w:val="24"/>
        <w:snapToGrid w:val="0"/>
        <w:spacing w:beforeLines="0" w:afterLines="0" w:line="360" w:lineRule="auto"/>
        <w:jc w:val="center"/>
        <w:outlineLvl w:val="0"/>
        <w:rPr>
          <w:rFonts w:hint="eastAsia" w:ascii="宋体" w:hAnsi="宋体" w:eastAsia="宋体" w:cs="宋体"/>
          <w:color w:val="000000" w:themeColor="text1"/>
          <w:sz w:val="28"/>
          <w:szCs w:val="28"/>
          <w:highlight w:val="none"/>
          <w14:textFill>
            <w14:solidFill>
              <w14:schemeClr w14:val="tx1"/>
            </w14:solidFill>
          </w14:textFill>
        </w:rPr>
        <w:sectPr>
          <w:footerReference r:id="rId3" w:type="first"/>
          <w:pgSz w:w="11906" w:h="16838"/>
          <w:pgMar w:top="1440" w:right="1440" w:bottom="1440" w:left="1610" w:header="851" w:footer="851" w:gutter="0"/>
          <w:pgNumType w:start="1"/>
          <w:cols w:space="720" w:num="1"/>
          <w:docGrid w:linePitch="312" w:charSpace="0"/>
        </w:sectPr>
      </w:pPr>
    </w:p>
    <w:p>
      <w:pPr>
        <w:pStyle w:val="4"/>
        <w:rPr>
          <w:rFonts w:hint="eastAsia" w:ascii="宋体" w:hAnsi="宋体" w:eastAsia="宋体" w:cs="宋体"/>
          <w:highlight w:val="none"/>
        </w:rPr>
      </w:pPr>
      <w:bookmarkStart w:id="0" w:name="_Toc30618"/>
      <w:bookmarkStart w:id="1" w:name="_Toc34844741"/>
      <w:r>
        <w:rPr>
          <w:rFonts w:hint="eastAsia" w:ascii="宋体" w:hAnsi="宋体" w:eastAsia="宋体" w:cs="宋体"/>
          <w:highlight w:val="none"/>
        </w:rPr>
        <w:t>第一章  投标邀请</w:t>
      </w:r>
      <w:bookmarkEnd w:id="0"/>
    </w:p>
    <w:p>
      <w:pPr>
        <w:pBdr>
          <w:top w:val="single" w:color="auto" w:sz="4" w:space="1"/>
          <w:left w:val="single" w:color="auto" w:sz="4" w:space="4"/>
          <w:bottom w:val="single" w:color="auto" w:sz="4" w:space="1"/>
          <w:right w:val="single" w:color="auto" w:sz="4" w:space="0"/>
        </w:pBdr>
        <w:spacing w:line="360" w:lineRule="auto"/>
        <w:ind w:firstLine="422"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0"/>
        </w:pBdr>
        <w:spacing w:line="360" w:lineRule="auto"/>
        <w:ind w:firstLine="525" w:firstLineChars="250"/>
        <w:jc w:val="left"/>
        <w:rPr>
          <w:rFonts w:hint="eastAsia" w:ascii="宋体" w:hAnsi="宋体" w:eastAsia="宋体" w:cs="宋体"/>
          <w:color w:val="000000" w:themeColor="text1"/>
          <w:szCs w:val="21"/>
          <w:highlight w:val="none"/>
          <w14:textFill>
            <w14:solidFill>
              <w14:schemeClr w14:val="tx1"/>
            </w14:solidFill>
          </w14:textFill>
        </w:rPr>
      </w:pPr>
      <w:bookmarkStart w:id="2" w:name="_Toc28359002"/>
      <w:bookmarkStart w:id="3" w:name="_Toc28359079"/>
      <w:bookmarkStart w:id="4" w:name="_Toc35393790"/>
      <w:bookmarkStart w:id="5" w:name="_Toc35393621"/>
      <w:bookmarkStart w:id="6" w:name="_Hlk24379207"/>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宁波市自然资源和规划研究中心劳务外包项目（重招）</w:t>
      </w:r>
      <w:r>
        <w:rPr>
          <w:rFonts w:hint="eastAsia" w:ascii="宋体" w:hAnsi="宋体" w:eastAsia="宋体" w:cs="宋体"/>
          <w:color w:val="000000" w:themeColor="text1"/>
          <w:szCs w:val="21"/>
          <w:highlight w:val="none"/>
          <w14:textFill>
            <w14:solidFill>
              <w14:schemeClr w14:val="tx1"/>
            </w14:solidFill>
          </w14:textFill>
        </w:rPr>
        <w:t>招标项目的潜在投标人应在</w:t>
      </w:r>
      <w:r>
        <w:rPr>
          <w:rFonts w:hint="eastAsia" w:ascii="宋体" w:hAnsi="宋体" w:eastAsia="宋体" w:cs="宋体"/>
          <w:color w:val="000000" w:themeColor="text1"/>
          <w:szCs w:val="21"/>
          <w:highlight w:val="none"/>
          <w:u w:val="single"/>
          <w14:textFill>
            <w14:solidFill>
              <w14:schemeClr w14:val="tx1"/>
            </w14:solidFill>
          </w14:textFill>
        </w:rPr>
        <w:t>政采云平台（https://www.zcygov.cn）获取</w:t>
      </w:r>
      <w:r>
        <w:rPr>
          <w:rFonts w:hint="eastAsia" w:ascii="宋体" w:hAnsi="宋体" w:eastAsia="宋体" w:cs="宋体"/>
          <w:bCs/>
          <w:color w:val="000000" w:themeColor="text1"/>
          <w:szCs w:val="21"/>
          <w:highlight w:val="none"/>
          <w:u w:val="single"/>
          <w14:textFill>
            <w14:solidFill>
              <w14:schemeClr w14:val="tx1"/>
            </w14:solidFill>
          </w14:textFill>
        </w:rPr>
        <w:t>（下载）</w:t>
      </w:r>
      <w:r>
        <w:rPr>
          <w:rFonts w:hint="eastAsia" w:ascii="宋体" w:hAnsi="宋体" w:eastAsia="宋体" w:cs="宋体"/>
          <w:color w:val="000000" w:themeColor="text1"/>
          <w:szCs w:val="21"/>
          <w:highlight w:val="none"/>
          <w:u w:val="single"/>
          <w14:textFill>
            <w14:solidFill>
              <w14:schemeClr w14:val="tx1"/>
            </w14:solidFill>
          </w14:textFill>
        </w:rPr>
        <w:t>招标文件，并于</w:t>
      </w:r>
      <w:r>
        <w:rPr>
          <w:rFonts w:hint="eastAsia" w:ascii="宋体" w:hAnsi="宋体" w:eastAsia="宋体" w:cs="宋体"/>
          <w:bCs/>
          <w:color w:val="000000" w:themeColor="text1"/>
          <w:szCs w:val="21"/>
          <w:highlight w:val="none"/>
          <w:u w:val="single"/>
          <w14:textFill>
            <w14:solidFill>
              <w14:schemeClr w14:val="tx1"/>
            </w14:solidFill>
          </w14:textFill>
        </w:rPr>
        <w:t>202</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4</w:t>
      </w:r>
      <w:r>
        <w:rPr>
          <w:rFonts w:hint="eastAsia" w:ascii="宋体" w:hAnsi="宋体" w:eastAsia="宋体" w:cs="宋体"/>
          <w:bCs/>
          <w:color w:val="000000" w:themeColor="text1"/>
          <w:szCs w:val="21"/>
          <w:highlight w:val="none"/>
          <w:u w:val="single"/>
          <w14:textFill>
            <w14:solidFill>
              <w14:schemeClr w14:val="tx1"/>
            </w14:solidFill>
          </w14:textFill>
        </w:rPr>
        <w:t>年</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8</w:t>
      </w:r>
      <w:r>
        <w:rPr>
          <w:rFonts w:hint="eastAsia" w:ascii="宋体" w:hAnsi="宋体" w:eastAsia="宋体" w:cs="宋体"/>
          <w:bCs/>
          <w:color w:val="000000" w:themeColor="text1"/>
          <w:szCs w:val="21"/>
          <w:highlight w:val="none"/>
          <w:u w:val="single"/>
          <w14:textFill>
            <w14:solidFill>
              <w14:schemeClr w14:val="tx1"/>
            </w14:solidFill>
          </w14:textFill>
        </w:rPr>
        <w:t>月</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6</w:t>
      </w:r>
      <w:r>
        <w:rPr>
          <w:rFonts w:hint="eastAsia" w:ascii="宋体" w:hAnsi="宋体" w:eastAsia="宋体" w:cs="宋体"/>
          <w:bCs/>
          <w:color w:val="000000" w:themeColor="text1"/>
          <w:szCs w:val="21"/>
          <w:highlight w:val="none"/>
          <w:u w:val="single"/>
          <w14:textFill>
            <w14:solidFill>
              <w14:schemeClr w14:val="tx1"/>
            </w14:solidFill>
          </w14:textFill>
        </w:rPr>
        <w:t>日</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9</w:t>
      </w:r>
      <w:r>
        <w:rPr>
          <w:rFonts w:hint="eastAsia" w:ascii="宋体" w:hAnsi="宋体" w:eastAsia="宋体" w:cs="宋体"/>
          <w:bCs/>
          <w:color w:val="000000" w:themeColor="text1"/>
          <w:szCs w:val="21"/>
          <w:highlight w:val="none"/>
          <w:u w:val="single"/>
          <w14:textFill>
            <w14:solidFill>
              <w14:schemeClr w14:val="tx1"/>
            </w14:solidFill>
          </w14:textFill>
        </w:rPr>
        <w:t>点</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3</w:t>
      </w:r>
      <w:r>
        <w:rPr>
          <w:rFonts w:hint="eastAsia" w:ascii="宋体" w:hAnsi="宋体" w:eastAsia="宋体" w:cs="宋体"/>
          <w:bCs/>
          <w:color w:val="000000" w:themeColor="text1"/>
          <w:szCs w:val="21"/>
          <w:highlight w:val="none"/>
          <w:u w:val="single"/>
          <w14:textFill>
            <w14:solidFill>
              <w14:schemeClr w14:val="tx1"/>
            </w14:solidFill>
          </w14:textFill>
        </w:rPr>
        <w:t>0分</w:t>
      </w:r>
      <w:r>
        <w:rPr>
          <w:rFonts w:hint="eastAsia" w:ascii="宋体" w:hAnsi="宋体" w:eastAsia="宋体" w:cs="宋体"/>
          <w:bCs/>
          <w:color w:val="000000" w:themeColor="text1"/>
          <w:szCs w:val="21"/>
          <w:highlight w:val="none"/>
          <w14:textFill>
            <w14:solidFill>
              <w14:schemeClr w14:val="tx1"/>
            </w14:solidFill>
          </w14:textFill>
        </w:rPr>
        <w:t>（北京时间）前递交（上传）投标文件</w:t>
      </w:r>
      <w:r>
        <w:rPr>
          <w:rFonts w:hint="eastAsia" w:ascii="宋体" w:hAnsi="宋体" w:eastAsia="宋体" w:cs="宋体"/>
          <w:color w:val="000000" w:themeColor="text1"/>
          <w:szCs w:val="21"/>
          <w:highlight w:val="none"/>
          <w14:textFill>
            <w14:solidFill>
              <w14:schemeClr w14:val="tx1"/>
            </w14:solidFill>
          </w14:textFill>
        </w:rPr>
        <w:t>。</w:t>
      </w:r>
    </w:p>
    <w:p>
      <w:pPr>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一、项目基本情况</w:t>
      </w:r>
      <w:bookmarkEnd w:id="2"/>
      <w:bookmarkEnd w:id="3"/>
      <w:bookmarkEnd w:id="4"/>
      <w:bookmarkEnd w:id="5"/>
    </w:p>
    <w:p>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lang w:eastAsia="zh-CN"/>
          <w14:textFill>
            <w14:solidFill>
              <w14:schemeClr w14:val="tx1"/>
            </w14:solidFill>
          </w14:textFill>
        </w:rPr>
        <w:t>NBMC-20242164-1G</w:t>
      </w:r>
    </w:p>
    <w:p>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1"/>
          <w:highlight w:val="none"/>
          <w:lang w:eastAsia="zh-CN"/>
          <w14:textFill>
            <w14:solidFill>
              <w14:schemeClr w14:val="tx1"/>
            </w14:solidFill>
          </w14:textFill>
        </w:rPr>
        <w:t>宁波市自然资源和规划研究中心劳务外包项目（重招）</w:t>
      </w:r>
    </w:p>
    <w:bookmarkEnd w:id="6"/>
    <w:p>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预算金额：</w:t>
      </w:r>
      <w:r>
        <w:rPr>
          <w:rFonts w:hint="eastAsia" w:ascii="宋体" w:hAnsi="宋体" w:eastAsia="宋体" w:cs="宋体"/>
          <w:color w:val="000000" w:themeColor="text1"/>
          <w:szCs w:val="21"/>
          <w:highlight w:val="none"/>
          <w:lang w:val="en-US" w:eastAsia="zh-CN"/>
          <w14:textFill>
            <w14:solidFill>
              <w14:schemeClr w14:val="tx1"/>
            </w14:solidFill>
          </w14:textFill>
        </w:rPr>
        <w:t>1710000元/年</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最高限价：</w:t>
      </w:r>
      <w:r>
        <w:rPr>
          <w:rFonts w:hint="eastAsia" w:ascii="宋体" w:hAnsi="宋体" w:eastAsia="宋体" w:cs="宋体"/>
          <w:color w:val="000000" w:themeColor="text1"/>
          <w:szCs w:val="21"/>
          <w:highlight w:val="none"/>
          <w:lang w:val="en-US" w:eastAsia="zh-CN"/>
          <w14:textFill>
            <w14:solidFill>
              <w14:schemeClr w14:val="tx1"/>
            </w14:solidFill>
          </w14:textFill>
        </w:rPr>
        <w:t>1710000元/年</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采购需求：</w:t>
      </w:r>
    </w:p>
    <w:p>
      <w:pPr>
        <w:spacing w:line="360" w:lineRule="auto"/>
        <w:ind w:firstLine="420" w:firstLineChars="200"/>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标项名称:</w:t>
      </w:r>
      <w:r>
        <w:rPr>
          <w:rFonts w:hint="eastAsia" w:ascii="宋体" w:hAnsi="宋体" w:eastAsia="宋体" w:cs="宋体"/>
          <w:color w:val="000000" w:themeColor="text1"/>
          <w:szCs w:val="21"/>
          <w:highlight w:val="none"/>
          <w:lang w:eastAsia="zh-CN"/>
          <w14:textFill>
            <w14:solidFill>
              <w14:schemeClr w14:val="tx1"/>
            </w14:solidFill>
          </w14:textFill>
        </w:rPr>
        <w:t>宁波市自然资源和规划研究中心劳务外包项目（重招）</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数量:1项</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预算金额（元）:</w:t>
      </w:r>
      <w:r>
        <w:rPr>
          <w:rFonts w:hint="eastAsia" w:ascii="宋体" w:hAnsi="宋体" w:eastAsia="宋体" w:cs="宋体"/>
          <w:color w:val="000000" w:themeColor="text1"/>
          <w:szCs w:val="21"/>
          <w:highlight w:val="none"/>
          <w:lang w:val="en-US" w:eastAsia="zh-CN"/>
          <w14:textFill>
            <w14:solidFill>
              <w14:schemeClr w14:val="tx1"/>
            </w14:solidFill>
          </w14:textFill>
        </w:rPr>
        <w:t>1710000元/年</w:t>
      </w:r>
    </w:p>
    <w:p>
      <w:pPr>
        <w:spacing w:line="360" w:lineRule="auto"/>
        <w:ind w:firstLine="420" w:firstLineChars="200"/>
        <w:rPr>
          <w:rFonts w:hint="eastAsia"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简要规格描述或项目基本概况介绍、用途：提供</w:t>
      </w:r>
      <w:r>
        <w:rPr>
          <w:rFonts w:hint="eastAsia" w:ascii="宋体" w:hAnsi="宋体" w:eastAsia="宋体" w:cs="宋体"/>
          <w:color w:val="000000" w:themeColor="text1"/>
          <w:szCs w:val="21"/>
          <w:highlight w:val="none"/>
          <w:lang w:val="en-US" w:eastAsia="zh-CN"/>
          <w14:textFill>
            <w14:solidFill>
              <w14:schemeClr w14:val="tx1"/>
            </w14:solidFill>
          </w14:textFill>
        </w:rPr>
        <w:t>宁波市自然资源和规划研究中心劳务外包</w:t>
      </w:r>
      <w:r>
        <w:rPr>
          <w:rFonts w:hint="eastAsia" w:ascii="宋体" w:hAnsi="宋体" w:eastAsia="宋体" w:cs="宋体"/>
          <w:color w:val="000000" w:themeColor="text1"/>
          <w:szCs w:val="21"/>
          <w:highlight w:val="none"/>
          <w:lang w:val="en-US" w:eastAsia="zh-CN"/>
          <w14:textFill>
            <w14:solidFill>
              <w14:schemeClr w14:val="tx1"/>
            </w14:solidFill>
          </w14:textFill>
        </w:rPr>
        <w:t>服务，详见招标文件《第二章  采购需求》。</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合同履行期限：标项 1，服务期限三年，合同一年一签；第一年为2024年8月起至2025年8月，后续年度合同采购人将根据中标人在上一年度的合同履约情况、考核情况及财政资金审批情况等决定是否续签。</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本项目不接受联合体投标。</w:t>
      </w:r>
    </w:p>
    <w:p>
      <w:pPr>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bookmarkStart w:id="7" w:name="_Toc35393791"/>
      <w:bookmarkStart w:id="8" w:name="_Toc28359003"/>
      <w:bookmarkStart w:id="9" w:name="_Toc28359080"/>
      <w:bookmarkStart w:id="10" w:name="_Toc35393622"/>
      <w:r>
        <w:rPr>
          <w:rFonts w:hint="eastAsia" w:ascii="宋体" w:hAnsi="宋体" w:eastAsia="宋体" w:cs="宋体"/>
          <w:b/>
          <w:bCs/>
          <w:color w:val="000000" w:themeColor="text1"/>
          <w:szCs w:val="21"/>
          <w:highlight w:val="none"/>
          <w14:textFill>
            <w14:solidFill>
              <w14:schemeClr w14:val="tx1"/>
            </w14:solidFill>
          </w14:textFill>
        </w:rPr>
        <w:t>二、申请人的资格要求</w:t>
      </w:r>
      <w:bookmarkEnd w:id="7"/>
      <w:bookmarkEnd w:id="8"/>
      <w:bookmarkEnd w:id="9"/>
      <w:bookmarkEnd w:id="10"/>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满足《中华人民共和国政府采购法》第二十二条第一款的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2.单位负责人为同一人或者存在直接控股、管理关系的不同供应商，不得同时参加本项目的政府采购活动；</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3.为本项目提供整体设计、规范编制或者项目管理、监理、检测等服务的供应商，不得再参加本项目的投标；</w:t>
      </w:r>
    </w:p>
    <w:p>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bookmarkStart w:id="11" w:name="_Toc28359004"/>
      <w:bookmarkStart w:id="12" w:name="_Toc28359081"/>
      <w:r>
        <w:rPr>
          <w:rFonts w:hint="eastAsia" w:ascii="宋体" w:hAnsi="宋体" w:eastAsia="宋体" w:cs="宋体"/>
          <w:color w:val="000000" w:themeColor="text1"/>
          <w:szCs w:val="21"/>
          <w:highlight w:val="none"/>
          <w14:textFill>
            <w14:solidFill>
              <w14:schemeClr w14:val="tx1"/>
            </w14:solidFill>
          </w14:textFill>
        </w:rPr>
        <w:t>4.落实政府采购政策需满足的资格要求：</w:t>
      </w:r>
      <w:r>
        <w:rPr>
          <w:rFonts w:hint="eastAsia" w:ascii="宋体" w:hAnsi="宋体" w:eastAsia="宋体" w:cs="宋体"/>
          <w:color w:val="000000" w:themeColor="text1"/>
          <w:szCs w:val="21"/>
          <w:highlight w:val="none"/>
          <w:lang w:val="en-US" w:eastAsia="zh-CN"/>
          <w14:textFill>
            <w14:solidFill>
              <w14:schemeClr w14:val="tx1"/>
            </w14:solidFill>
          </w14:textFill>
        </w:rPr>
        <w:t>无</w:t>
      </w:r>
    </w:p>
    <w:p>
      <w:pPr>
        <w:spacing w:line="360" w:lineRule="auto"/>
        <w:ind w:firstLine="420" w:firstLineChars="200"/>
        <w:rPr>
          <w:rFonts w:hint="eastAsia" w:ascii="宋体" w:hAnsi="宋体" w:eastAsia="宋体" w:cs="宋体"/>
          <w:iCs/>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5.本项目的特定资格要求：</w:t>
      </w:r>
      <w:r>
        <w:rPr>
          <w:rFonts w:hint="eastAsia" w:ascii="宋体" w:hAnsi="宋体" w:eastAsia="宋体" w:cs="宋体"/>
          <w:b/>
          <w:bCs/>
          <w:color w:val="000000" w:themeColor="text1"/>
          <w:szCs w:val="21"/>
          <w:highlight w:val="none"/>
          <w14:textFill>
            <w14:solidFill>
              <w14:schemeClr w14:val="tx1"/>
            </w14:solidFill>
          </w14:textFill>
        </w:rPr>
        <w:t>具有人力资源和社会保障行政部门颁发的有效的《人力资源服务许可证》或人力资源服务机构备案凭证</w:t>
      </w:r>
      <w:r>
        <w:rPr>
          <w:rFonts w:hint="eastAsia" w:ascii="宋体" w:hAnsi="宋体" w:eastAsia="宋体" w:cs="宋体"/>
          <w:b/>
          <w:bCs/>
          <w:color w:val="000000" w:themeColor="text1"/>
          <w:szCs w:val="21"/>
          <w:highlight w:val="none"/>
          <w:lang w:eastAsia="zh-CN"/>
          <w14:textFill>
            <w14:solidFill>
              <w14:schemeClr w14:val="tx1"/>
            </w14:solidFill>
          </w14:textFill>
        </w:rPr>
        <w:t>。</w:t>
      </w:r>
    </w:p>
    <w:p>
      <w:pPr>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bookmarkStart w:id="13" w:name="_Toc35393792"/>
      <w:bookmarkStart w:id="14" w:name="_Toc35393623"/>
      <w:r>
        <w:rPr>
          <w:rFonts w:hint="eastAsia" w:ascii="宋体" w:hAnsi="宋体" w:eastAsia="宋体" w:cs="宋体"/>
          <w:b/>
          <w:bCs/>
          <w:color w:val="000000" w:themeColor="text1"/>
          <w:szCs w:val="21"/>
          <w:highlight w:val="none"/>
          <w14:textFill>
            <w14:solidFill>
              <w14:schemeClr w14:val="tx1"/>
            </w14:solidFill>
          </w14:textFill>
        </w:rPr>
        <w:t>三、获取招标文件</w:t>
      </w:r>
      <w:bookmarkEnd w:id="11"/>
      <w:bookmarkEnd w:id="12"/>
      <w:bookmarkEnd w:id="13"/>
      <w:bookmarkEnd w:id="14"/>
    </w:p>
    <w:p>
      <w:pPr>
        <w:snapToGrid w:val="0"/>
        <w:spacing w:line="360" w:lineRule="auto"/>
        <w:ind w:firstLine="411" w:firstLineChars="196"/>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时间：</w:t>
      </w:r>
      <w:r>
        <w:rPr>
          <w:rFonts w:hint="eastAsia" w:ascii="宋体" w:hAnsi="宋体" w:eastAsia="宋体" w:cs="宋体"/>
          <w:color w:val="000000" w:themeColor="text1"/>
          <w:szCs w:val="21"/>
          <w:highlight w:val="none"/>
          <w:u w:val="single"/>
          <w14:textFill>
            <w14:solidFill>
              <w14:schemeClr w14:val="tx1"/>
            </w14:solidFill>
          </w14:textFill>
        </w:rPr>
        <w:t>202</w:t>
      </w:r>
      <w:r>
        <w:rPr>
          <w:rFonts w:hint="eastAsia" w:ascii="宋体" w:hAnsi="宋体" w:eastAsia="宋体" w:cs="宋体"/>
          <w:color w:val="000000" w:themeColor="text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Cs w:val="21"/>
          <w:highlight w:val="none"/>
          <w:u w:val="single"/>
          <w14:textFill>
            <w14:solidFill>
              <w14:schemeClr w14:val="tx1"/>
            </w14:solidFill>
          </w14:textFill>
        </w:rPr>
        <w:t>年</w:t>
      </w:r>
      <w:r>
        <w:rPr>
          <w:rFonts w:hint="eastAsia" w:ascii="宋体" w:hAnsi="宋体" w:eastAsia="宋体" w:cs="宋体"/>
          <w:color w:val="000000" w:themeColor="text1"/>
          <w:szCs w:val="21"/>
          <w:highlight w:val="none"/>
          <w:u w:val="single"/>
          <w:lang w:val="en-US" w:eastAsia="zh-CN"/>
          <w14:textFill>
            <w14:solidFill>
              <w14:schemeClr w14:val="tx1"/>
            </w14:solidFill>
          </w14:textFill>
        </w:rPr>
        <w:t>7</w:t>
      </w:r>
      <w:r>
        <w:rPr>
          <w:rFonts w:hint="eastAsia" w:ascii="宋体" w:hAnsi="宋体" w:eastAsia="宋体" w:cs="宋体"/>
          <w:color w:val="000000" w:themeColor="text1"/>
          <w:szCs w:val="21"/>
          <w:highlight w:val="none"/>
          <w:u w:val="single"/>
          <w14:textFill>
            <w14:solidFill>
              <w14:schemeClr w14:val="tx1"/>
            </w14:solidFill>
          </w14:textFill>
        </w:rPr>
        <w:t>月</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16</w:t>
      </w:r>
      <w:r>
        <w:rPr>
          <w:rFonts w:hint="eastAsia" w:ascii="宋体" w:hAnsi="宋体" w:eastAsia="宋体" w:cs="宋体"/>
          <w:color w:val="000000" w:themeColor="text1"/>
          <w:szCs w:val="21"/>
          <w:highlight w:val="none"/>
          <w:u w:val="single"/>
          <w14:textFill>
            <w14:solidFill>
              <w14:schemeClr w14:val="tx1"/>
            </w14:solidFill>
          </w14:textFill>
        </w:rPr>
        <w:t>日至202</w:t>
      </w:r>
      <w:r>
        <w:rPr>
          <w:rFonts w:hint="eastAsia" w:ascii="宋体" w:hAnsi="宋体" w:eastAsia="宋体" w:cs="宋体"/>
          <w:color w:val="000000" w:themeColor="text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Cs w:val="21"/>
          <w:highlight w:val="none"/>
          <w:u w:val="single"/>
          <w14:textFill>
            <w14:solidFill>
              <w14:schemeClr w14:val="tx1"/>
            </w14:solidFill>
          </w14:textFill>
        </w:rPr>
        <w:t>年</w:t>
      </w:r>
      <w:r>
        <w:rPr>
          <w:rFonts w:hint="eastAsia" w:ascii="宋体" w:hAnsi="宋体" w:eastAsia="宋体" w:cs="宋体"/>
          <w:color w:val="000000" w:themeColor="text1"/>
          <w:szCs w:val="21"/>
          <w:highlight w:val="none"/>
          <w:u w:val="single"/>
          <w:lang w:val="en-US" w:eastAsia="zh-CN"/>
          <w14:textFill>
            <w14:solidFill>
              <w14:schemeClr w14:val="tx1"/>
            </w14:solidFill>
          </w14:textFill>
        </w:rPr>
        <w:t>7</w:t>
      </w:r>
      <w:r>
        <w:rPr>
          <w:rFonts w:hint="eastAsia" w:ascii="宋体" w:hAnsi="宋体" w:eastAsia="宋体" w:cs="宋体"/>
          <w:color w:val="000000" w:themeColor="text1"/>
          <w:szCs w:val="21"/>
          <w:highlight w:val="none"/>
          <w:u w:val="single"/>
          <w14:textFill>
            <w14:solidFill>
              <w14:schemeClr w14:val="tx1"/>
            </w14:solidFill>
          </w14:textFill>
        </w:rPr>
        <w:t>月</w:t>
      </w:r>
      <w:r>
        <w:rPr>
          <w:rFonts w:hint="eastAsia" w:ascii="宋体" w:hAnsi="宋体" w:eastAsia="宋体" w:cs="宋体"/>
          <w:color w:val="000000" w:themeColor="text1"/>
          <w:szCs w:val="21"/>
          <w:highlight w:val="none"/>
          <w:u w:val="single"/>
          <w:lang w:val="en-US" w:eastAsia="zh-CN"/>
          <w14:textFill>
            <w14:solidFill>
              <w14:schemeClr w14:val="tx1"/>
            </w14:solidFill>
          </w14:textFill>
        </w:rPr>
        <w:t>23</w:t>
      </w:r>
      <w:r>
        <w:rPr>
          <w:rFonts w:hint="eastAsia" w:ascii="宋体" w:hAnsi="宋体" w:eastAsia="宋体" w:cs="宋体"/>
          <w:color w:val="000000" w:themeColor="text1"/>
          <w:szCs w:val="21"/>
          <w:highlight w:val="none"/>
          <w:u w:val="single"/>
          <w14:textFill>
            <w14:solidFill>
              <w14:schemeClr w14:val="tx1"/>
            </w14:solidFill>
          </w14:textFill>
        </w:rPr>
        <w:t>日</w:t>
      </w:r>
      <w:r>
        <w:rPr>
          <w:rFonts w:hint="eastAsia" w:ascii="宋体" w:hAnsi="宋体" w:eastAsia="宋体" w:cs="宋体"/>
          <w:color w:val="000000" w:themeColor="text1"/>
          <w:szCs w:val="21"/>
          <w:highlight w:val="none"/>
          <w14:textFill>
            <w14:solidFill>
              <w14:schemeClr w14:val="tx1"/>
            </w14:solidFill>
          </w14:textFill>
        </w:rPr>
        <w:t>，每天上午</w:t>
      </w:r>
      <w:r>
        <w:rPr>
          <w:rFonts w:hint="eastAsia" w:ascii="宋体" w:hAnsi="宋体" w:eastAsia="宋体" w:cs="宋体"/>
          <w:color w:val="000000" w:themeColor="text1"/>
          <w:szCs w:val="21"/>
          <w:highlight w:val="none"/>
          <w:u w:val="single"/>
          <w14:textFill>
            <w14:solidFill>
              <w14:schemeClr w14:val="tx1"/>
            </w14:solidFill>
          </w14:textFill>
        </w:rPr>
        <w:t>00：00</w:t>
      </w:r>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eastAsia="宋体" w:cs="宋体"/>
          <w:color w:val="000000" w:themeColor="text1"/>
          <w:szCs w:val="21"/>
          <w:highlight w:val="none"/>
          <w:u w:val="single"/>
          <w14:textFill>
            <w14:solidFill>
              <w14:schemeClr w14:val="tx1"/>
            </w14:solidFill>
          </w14:textFill>
        </w:rPr>
        <w:t>12：00</w:t>
      </w:r>
      <w:r>
        <w:rPr>
          <w:rFonts w:hint="eastAsia" w:ascii="宋体" w:hAnsi="宋体" w:eastAsia="宋体" w:cs="宋体"/>
          <w:color w:val="000000" w:themeColor="text1"/>
          <w:szCs w:val="21"/>
          <w:highlight w:val="none"/>
          <w14:textFill>
            <w14:solidFill>
              <w14:schemeClr w14:val="tx1"/>
            </w14:solidFill>
          </w14:textFill>
        </w:rPr>
        <w:t>，下午</w:t>
      </w:r>
      <w:r>
        <w:rPr>
          <w:rFonts w:hint="eastAsia" w:ascii="宋体" w:hAnsi="宋体" w:eastAsia="宋体" w:cs="宋体"/>
          <w:color w:val="000000" w:themeColor="text1"/>
          <w:szCs w:val="21"/>
          <w:highlight w:val="none"/>
          <w:u w:val="single"/>
          <w14:textFill>
            <w14:solidFill>
              <w14:schemeClr w14:val="tx1"/>
            </w14:solidFill>
          </w14:textFill>
        </w:rPr>
        <w:t>12：00</w:t>
      </w:r>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eastAsia="宋体" w:cs="宋体"/>
          <w:color w:val="000000" w:themeColor="text1"/>
          <w:szCs w:val="21"/>
          <w:highlight w:val="none"/>
          <w:u w:val="single"/>
          <w14:textFill>
            <w14:solidFill>
              <w14:schemeClr w14:val="tx1"/>
            </w14:solidFill>
          </w14:textFill>
        </w:rPr>
        <w:t>23：59</w:t>
      </w:r>
      <w:r>
        <w:rPr>
          <w:rFonts w:hint="eastAsia" w:ascii="宋体" w:hAnsi="宋体" w:eastAsia="宋体" w:cs="宋体"/>
          <w:color w:val="000000" w:themeColor="text1"/>
          <w:szCs w:val="21"/>
          <w:highlight w:val="none"/>
          <w14:textFill>
            <w14:solidFill>
              <w14:schemeClr w14:val="tx1"/>
            </w14:solidFill>
          </w14:textFill>
        </w:rPr>
        <w:t>（北京时间，线上获取法定节假日均可，线下获取文件法定节假日除外）</w:t>
      </w:r>
    </w:p>
    <w:p>
      <w:pPr>
        <w:snapToGrid w:val="0"/>
        <w:spacing w:line="360" w:lineRule="auto"/>
        <w:ind w:firstLine="411" w:firstLineChars="196"/>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地点（网址）：</w:t>
      </w:r>
      <w:r>
        <w:rPr>
          <w:rFonts w:hint="eastAsia" w:ascii="宋体" w:hAnsi="宋体" w:eastAsia="宋体" w:cs="宋体"/>
          <w:color w:val="000000" w:themeColor="text1"/>
          <w:szCs w:val="21"/>
          <w:highlight w:val="none"/>
          <w:u w:val="single"/>
          <w14:textFill>
            <w14:solidFill>
              <w14:schemeClr w14:val="tx1"/>
            </w14:solidFill>
          </w14:textFill>
        </w:rPr>
        <w:t>政采云平台（https：//www.zcygov.cn）</w:t>
      </w:r>
    </w:p>
    <w:p>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方式：供应商登录政采云平台（https://www.zcygov.cn/）在线申请获取采购文件（进入“项目采购”应用，在获取采购文件菜单中选择项目，申请获取采购文件）</w:t>
      </w:r>
    </w:p>
    <w:p>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售价（元）：0</w:t>
      </w:r>
    </w:p>
    <w:p>
      <w:pPr>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bookmarkStart w:id="15" w:name="_Toc28359005"/>
      <w:bookmarkStart w:id="16" w:name="_Toc28359082"/>
      <w:bookmarkStart w:id="17" w:name="_Toc35393624"/>
      <w:bookmarkStart w:id="18" w:name="_Toc35393793"/>
      <w:r>
        <w:rPr>
          <w:rFonts w:hint="eastAsia" w:ascii="宋体" w:hAnsi="宋体" w:eastAsia="宋体" w:cs="宋体"/>
          <w:b/>
          <w:bCs/>
          <w:color w:val="000000" w:themeColor="text1"/>
          <w:szCs w:val="21"/>
          <w:highlight w:val="none"/>
          <w14:textFill>
            <w14:solidFill>
              <w14:schemeClr w14:val="tx1"/>
            </w14:solidFill>
          </w14:textFill>
        </w:rPr>
        <w:t>四、提交投标文件</w:t>
      </w:r>
      <w:bookmarkEnd w:id="15"/>
      <w:bookmarkEnd w:id="16"/>
      <w:r>
        <w:rPr>
          <w:rFonts w:hint="eastAsia" w:ascii="宋体" w:hAnsi="宋体" w:eastAsia="宋体" w:cs="宋体"/>
          <w:b/>
          <w:bCs/>
          <w:color w:val="000000" w:themeColor="text1"/>
          <w:szCs w:val="21"/>
          <w:highlight w:val="none"/>
          <w14:textFill>
            <w14:solidFill>
              <w14:schemeClr w14:val="tx1"/>
            </w14:solidFill>
          </w14:textFill>
        </w:rPr>
        <w:t>截止时间、开标时间和地点</w:t>
      </w:r>
      <w:bookmarkEnd w:id="17"/>
      <w:bookmarkEnd w:id="18"/>
    </w:p>
    <w:p>
      <w:pPr>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提交投标文件截止时间：202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bCs/>
          <w:color w:val="000000" w:themeColor="text1"/>
          <w:szCs w:val="21"/>
          <w:highlight w:val="none"/>
          <w14:textFill>
            <w14:solidFill>
              <w14:schemeClr w14:val="tx1"/>
            </w14:solidFill>
          </w14:textFill>
        </w:rPr>
        <w:t>年</w:t>
      </w:r>
      <w:r>
        <w:rPr>
          <w:rFonts w:hint="eastAsia" w:ascii="宋体" w:hAnsi="宋体" w:eastAsia="宋体" w:cs="宋体"/>
          <w:bCs/>
          <w:color w:val="000000" w:themeColor="text1"/>
          <w:szCs w:val="21"/>
          <w:highlight w:val="none"/>
          <w:lang w:val="en-US" w:eastAsia="zh-CN"/>
          <w14:textFill>
            <w14:solidFill>
              <w14:schemeClr w14:val="tx1"/>
            </w14:solidFill>
          </w14:textFill>
        </w:rPr>
        <w:t>8</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6</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eastAsia="宋体" w:cs="宋体"/>
          <w:bCs/>
          <w:color w:val="000000" w:themeColor="text1"/>
          <w:szCs w:val="21"/>
          <w:highlight w:val="none"/>
          <w:lang w:val="en-US" w:eastAsia="zh-CN"/>
          <w14:textFill>
            <w14:solidFill>
              <w14:schemeClr w14:val="tx1"/>
            </w14:solidFill>
          </w14:textFill>
        </w:rPr>
        <w:t>9</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3</w:t>
      </w:r>
      <w:r>
        <w:rPr>
          <w:rFonts w:hint="eastAsia" w:ascii="宋体" w:hAnsi="宋体" w:eastAsia="宋体" w:cs="宋体"/>
          <w:bCs/>
          <w:color w:val="000000" w:themeColor="text1"/>
          <w:szCs w:val="21"/>
          <w:highlight w:val="none"/>
          <w14:textFill>
            <w14:solidFill>
              <w14:schemeClr w14:val="tx1"/>
            </w14:solidFill>
          </w14:textFill>
        </w:rPr>
        <w:t>0（北京时间）</w:t>
      </w:r>
    </w:p>
    <w:p>
      <w:pPr>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投标地点（网址）</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政采云平台（https://www.zcygov.cn）在线提交电子加密投标文件；备份投标文件在提交投标文件截止时间前邮寄到达或送达采购代理机构（如提供）。</w:t>
      </w:r>
    </w:p>
    <w:p>
      <w:pPr>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开标时间：</w:t>
      </w:r>
      <w:r>
        <w:rPr>
          <w:rFonts w:hint="eastAsia" w:ascii="宋体" w:hAnsi="宋体" w:eastAsia="宋体" w:cs="宋体"/>
          <w:color w:val="000000" w:themeColor="text1"/>
          <w:szCs w:val="21"/>
          <w:highlight w:val="none"/>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bCs/>
          <w:color w:val="000000" w:themeColor="text1"/>
          <w:szCs w:val="21"/>
          <w:highlight w:val="none"/>
          <w14:textFill>
            <w14:solidFill>
              <w14:schemeClr w14:val="tx1"/>
            </w14:solidFill>
          </w14:textFill>
        </w:rPr>
        <w:t>年</w:t>
      </w:r>
      <w:r>
        <w:rPr>
          <w:rFonts w:hint="eastAsia" w:ascii="宋体" w:hAnsi="宋体" w:eastAsia="宋体" w:cs="宋体"/>
          <w:bCs/>
          <w:color w:val="000000" w:themeColor="text1"/>
          <w:szCs w:val="21"/>
          <w:highlight w:val="none"/>
          <w:lang w:val="en-US" w:eastAsia="zh-CN"/>
          <w14:textFill>
            <w14:solidFill>
              <w14:schemeClr w14:val="tx1"/>
            </w14:solidFill>
          </w14:textFill>
        </w:rPr>
        <w:t>8</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eastAsia="宋体" w:cs="宋体"/>
          <w:bCs/>
          <w:color w:val="000000" w:themeColor="text1"/>
          <w:szCs w:val="21"/>
          <w:highlight w:val="none"/>
          <w:lang w:val="en-US" w:eastAsia="zh-CN"/>
          <w14:textFill>
            <w14:solidFill>
              <w14:schemeClr w14:val="tx1"/>
            </w14:solidFill>
          </w14:textFill>
        </w:rPr>
        <w:t>6</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eastAsia="宋体" w:cs="宋体"/>
          <w:bCs/>
          <w:color w:val="000000" w:themeColor="text1"/>
          <w:szCs w:val="21"/>
          <w:highlight w:val="none"/>
          <w:lang w:val="en-US" w:eastAsia="zh-CN"/>
          <w14:textFill>
            <w14:solidFill>
              <w14:schemeClr w14:val="tx1"/>
            </w14:solidFill>
          </w14:textFill>
        </w:rPr>
        <w:t>9</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3</w:t>
      </w:r>
      <w:r>
        <w:rPr>
          <w:rFonts w:hint="eastAsia" w:ascii="宋体" w:hAnsi="宋体" w:eastAsia="宋体" w:cs="宋体"/>
          <w:bCs/>
          <w:color w:val="000000" w:themeColor="text1"/>
          <w:szCs w:val="21"/>
          <w:highlight w:val="none"/>
          <w14:textFill>
            <w14:solidFill>
              <w14:schemeClr w14:val="tx1"/>
            </w14:solidFill>
          </w14:textFill>
        </w:rPr>
        <w:t>0（北京时间）</w:t>
      </w:r>
    </w:p>
    <w:p>
      <w:pPr>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开标地点（网址）：政采云平台（https://www.zcygov.cn）</w:t>
      </w:r>
    </w:p>
    <w:p>
      <w:pPr>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bookmarkStart w:id="19" w:name="_Toc35393625"/>
      <w:bookmarkStart w:id="20" w:name="_Toc28359084"/>
      <w:bookmarkStart w:id="21" w:name="_Toc28359007"/>
      <w:bookmarkStart w:id="22" w:name="_Toc35393794"/>
      <w:r>
        <w:rPr>
          <w:rFonts w:hint="eastAsia" w:ascii="宋体" w:hAnsi="宋体" w:eastAsia="宋体" w:cs="宋体"/>
          <w:b/>
          <w:bCs/>
          <w:color w:val="000000" w:themeColor="text1"/>
          <w:szCs w:val="21"/>
          <w:highlight w:val="none"/>
          <w14:textFill>
            <w14:solidFill>
              <w14:schemeClr w14:val="tx1"/>
            </w14:solidFill>
          </w14:textFill>
        </w:rPr>
        <w:t>五、公告期限</w:t>
      </w:r>
      <w:bookmarkEnd w:id="19"/>
      <w:bookmarkEnd w:id="20"/>
      <w:bookmarkEnd w:id="21"/>
      <w:bookmarkEnd w:id="22"/>
    </w:p>
    <w:p>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自本公告发布之日起5个工作日。</w:t>
      </w:r>
    </w:p>
    <w:bookmarkEnd w:id="1"/>
    <w:p>
      <w:pPr>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bookmarkStart w:id="23" w:name="_Toc35393795"/>
      <w:bookmarkStart w:id="24" w:name="_Toc35393626"/>
      <w:r>
        <w:rPr>
          <w:rFonts w:hint="eastAsia" w:ascii="宋体" w:hAnsi="宋体" w:eastAsia="宋体" w:cs="宋体"/>
          <w:b/>
          <w:bCs/>
          <w:color w:val="000000" w:themeColor="text1"/>
          <w:szCs w:val="21"/>
          <w:highlight w:val="none"/>
          <w14:textFill>
            <w14:solidFill>
              <w14:schemeClr w14:val="tx1"/>
            </w14:solidFill>
          </w14:textFill>
        </w:rPr>
        <w:t>六、其他补充事宜</w:t>
      </w:r>
      <w:bookmarkEnd w:id="23"/>
      <w:bookmarkEnd w:id="24"/>
    </w:p>
    <w:p>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bookmarkStart w:id="25" w:name="_Toc28359018"/>
      <w:bookmarkStart w:id="26" w:name="_Toc28359095"/>
      <w:bookmarkStart w:id="27" w:name="_Toc35393805"/>
      <w:bookmarkStart w:id="28" w:name="_Toc35393636"/>
      <w:r>
        <w:rPr>
          <w:rFonts w:hint="eastAsia" w:ascii="宋体" w:hAnsi="宋体" w:eastAsia="宋体" w:cs="宋体"/>
          <w:color w:val="000000" w:themeColor="text1"/>
          <w:kern w:val="0"/>
          <w:szCs w:val="21"/>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2.其他事项：</w:t>
      </w:r>
    </w:p>
    <w:p>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为依法获取本项目招标文件及投标响应，潜在投标人应当按照《浙江省政府采购供应商注册及诚信管理暂行办法》的规定在“浙江政府采购网(http：//zfcg.czt.zj.gov.cn/)”政采云平台注册登记。中标人必须在采购人支付合同款项前成为注册供应商。</w:t>
      </w:r>
    </w:p>
    <w:p>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本项目依据《浙江省政府采购项目电子交易管理暂行办法》采用电子交易方式实施采购，电子交易平台为政采云平台(https：//www.zcygov.cn）。潜在投标人在参与本项目投标前应当完成政采云平台的账号注册、身份认证（CA数字证书申领）、“政采云电子交易客户端”下载安装。</w:t>
      </w:r>
    </w:p>
    <w:p>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投标人如提供备份投标文件的，应于提交投标文件截止时间前，将以U盘存储的电子备份投标文件按照招标文件的规定密封、标注并盖章后，递交至宁波市海曙区江汇城496号姚江时代14幢3楼，逾期送达或未按照规定密封包装的招标代理机构有权拒绝接收。</w:t>
      </w:r>
    </w:p>
    <w:p>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（4）落实政府采购政策：</w:t>
      </w:r>
      <w:r>
        <w:rPr>
          <w:rFonts w:hint="eastAsia" w:ascii="宋体" w:hAnsi="宋体" w:eastAsia="宋体" w:cs="宋体"/>
          <w:b/>
          <w:bCs/>
          <w:color w:val="000000" w:themeColor="text1"/>
          <w:kern w:val="0"/>
          <w:szCs w:val="21"/>
          <w:highlight w:val="none"/>
          <w14:textFill>
            <w14:solidFill>
              <w14:schemeClr w14:val="tx1"/>
            </w14:solidFill>
          </w14:textFill>
        </w:rPr>
        <w:t>本项目非专门面向中小企业采购</w:t>
      </w:r>
      <w:r>
        <w:rPr>
          <w:rFonts w:hint="eastAsia" w:ascii="宋体" w:hAnsi="宋体" w:eastAsia="宋体" w:cs="宋体"/>
          <w:color w:val="000000" w:themeColor="text1"/>
          <w:kern w:val="0"/>
          <w:szCs w:val="21"/>
          <w:highlight w:val="none"/>
          <w14:textFill>
            <w14:solidFill>
              <w14:schemeClr w14:val="tx1"/>
            </w14:solidFill>
          </w14:textFill>
        </w:rPr>
        <w:t>，采购标的对应的中小企业划分标准所属行业为</w:t>
      </w:r>
      <w:r>
        <w:rPr>
          <w:rFonts w:hint="eastAsia" w:ascii="宋体" w:hAnsi="宋体" w:eastAsia="宋体" w:cs="宋体"/>
          <w:b/>
          <w:bCs/>
          <w:color w:val="000000" w:themeColor="text1"/>
          <w:kern w:val="0"/>
          <w:szCs w:val="21"/>
          <w:highlight w:val="none"/>
          <w:u w:val="single"/>
          <w14:textFill>
            <w14:solidFill>
              <w14:schemeClr w14:val="tx1"/>
            </w14:solidFill>
          </w14:textFill>
        </w:rPr>
        <w:t>其他未列明行业</w:t>
      </w:r>
      <w:r>
        <w:rPr>
          <w:rFonts w:hint="eastAsia" w:ascii="宋体" w:hAnsi="宋体" w:eastAsia="宋体" w:cs="宋体"/>
          <w:color w:val="000000" w:themeColor="text1"/>
          <w:kern w:val="0"/>
          <w:szCs w:val="21"/>
          <w:highlight w:val="none"/>
          <w14:textFill>
            <w14:solidFill>
              <w14:schemeClr w14:val="tx1"/>
            </w14:solidFill>
          </w14:textFill>
        </w:rPr>
        <w:t>。</w:t>
      </w:r>
    </w:p>
    <w:p>
      <w:pP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七、</w:t>
      </w:r>
      <w:bookmarkEnd w:id="25"/>
      <w:bookmarkEnd w:id="26"/>
      <w:bookmarkEnd w:id="27"/>
      <w:bookmarkEnd w:id="28"/>
      <w:r>
        <w:rPr>
          <w:rFonts w:hint="eastAsia" w:ascii="宋体" w:hAnsi="宋体" w:eastAsia="宋体" w:cs="宋体"/>
          <w:b/>
          <w:color w:val="000000" w:themeColor="text1"/>
          <w:highlight w:val="none"/>
          <w14:textFill>
            <w14:solidFill>
              <w14:schemeClr w14:val="tx1"/>
            </w14:solidFill>
          </w14:textFill>
        </w:rPr>
        <w:t>凡对本次招标提出询问、质疑、投诉，请按以下方式联系</w:t>
      </w:r>
    </w:p>
    <w:p>
      <w:pPr>
        <w:spacing w:line="360" w:lineRule="auto"/>
        <w:rPr>
          <w:rFonts w:hint="eastAsia" w:ascii="宋体" w:hAnsi="宋体" w:eastAsia="宋体" w:cs="宋体"/>
          <w:color w:val="000000" w:themeColor="text1"/>
          <w:highlight w:val="none"/>
          <w14:textFill>
            <w14:solidFill>
              <w14:schemeClr w14:val="tx1"/>
            </w14:solidFill>
          </w14:textFill>
        </w:rPr>
      </w:pPr>
      <w:bookmarkStart w:id="29" w:name="_Toc28359019"/>
      <w:bookmarkStart w:id="30" w:name="_Toc35393637"/>
      <w:bookmarkStart w:id="31" w:name="_Toc35393806"/>
      <w:bookmarkStart w:id="32" w:name="_Toc28359096"/>
      <w:r>
        <w:rPr>
          <w:rFonts w:hint="eastAsia" w:ascii="宋体" w:hAnsi="宋体" w:eastAsia="宋体" w:cs="宋体"/>
          <w:color w:val="000000" w:themeColor="text1"/>
          <w:highlight w:val="none"/>
          <w14:textFill>
            <w14:solidFill>
              <w14:schemeClr w14:val="tx1"/>
            </w14:solidFill>
          </w14:textFill>
        </w:rPr>
        <w:t>1.采购人信息</w:t>
      </w:r>
      <w:bookmarkEnd w:id="29"/>
      <w:bookmarkEnd w:id="30"/>
      <w:bookmarkEnd w:id="31"/>
      <w:bookmarkEnd w:id="32"/>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名称：</w:t>
      </w:r>
      <w:r>
        <w:rPr>
          <w:rFonts w:hint="eastAsia" w:ascii="宋体" w:hAnsi="宋体" w:eastAsia="宋体" w:cs="宋体"/>
          <w:color w:val="000000" w:themeColor="text1"/>
          <w:highlight w:val="none"/>
          <w:lang w:eastAsia="zh-CN"/>
          <w14:textFill>
            <w14:solidFill>
              <w14:schemeClr w14:val="tx1"/>
            </w14:solidFill>
          </w14:textFill>
        </w:rPr>
        <w:t>宁波市自然资源和规划研究中心</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地址：宁波市鄞州区和济街36号</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传真：/</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bookmarkStart w:id="33" w:name="_Toc35393807"/>
      <w:bookmarkStart w:id="34" w:name="_Toc35393638"/>
      <w:bookmarkStart w:id="35" w:name="_Toc28359097"/>
      <w:bookmarkStart w:id="36" w:name="_Toc28359020"/>
      <w:r>
        <w:rPr>
          <w:rFonts w:hint="eastAsia" w:ascii="宋体" w:hAnsi="宋体" w:eastAsia="宋体" w:cs="宋体"/>
          <w:color w:val="000000" w:themeColor="text1"/>
          <w:highlight w:val="none"/>
          <w14:textFill>
            <w14:solidFill>
              <w14:schemeClr w14:val="tx1"/>
            </w14:solidFill>
          </w14:textFill>
        </w:rPr>
        <w:t>项目联系人（询问）：倪老师</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项目联系方式（询问）：0574-89187344</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质疑联系人：章老师</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质疑联系方式：0574-8918</w:t>
      </w:r>
      <w:r>
        <w:rPr>
          <w:rFonts w:hint="eastAsia" w:ascii="宋体" w:hAnsi="宋体" w:eastAsia="宋体" w:cs="宋体"/>
          <w:color w:val="000000" w:themeColor="text1"/>
          <w:highlight w:val="none"/>
          <w:lang w:val="en-US" w:eastAsia="zh-CN"/>
          <w14:textFill>
            <w14:solidFill>
              <w14:schemeClr w14:val="tx1"/>
            </w14:solidFill>
          </w14:textFill>
        </w:rPr>
        <w:t>7578</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2.采购代理机构信息</w:t>
      </w:r>
      <w:bookmarkEnd w:id="33"/>
      <w:bookmarkEnd w:id="34"/>
      <w:bookmarkEnd w:id="35"/>
      <w:bookmarkEnd w:id="36"/>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名称：宁波名诚招标代理有限公司 </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w:t>
      </w:r>
      <w:r>
        <w:rPr>
          <w:rFonts w:hint="eastAsia" w:ascii="宋体" w:hAnsi="宋体" w:eastAsia="宋体" w:cs="宋体"/>
          <w:color w:val="000000" w:themeColor="text1"/>
          <w:highlight w:val="none"/>
          <w:lang w:eastAsia="zh-CN"/>
          <w14:textFill>
            <w14:solidFill>
              <w14:schemeClr w14:val="tx1"/>
            </w14:solidFill>
          </w14:textFill>
        </w:rPr>
        <w:t>宁波市海曙区江汇城496号姚江时代14幢3楼</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传真：0574-87103586</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项目联系人（询问）：金生华、王立挺、王裕挺</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项目联系方式（询问）：0574-87626182</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质疑联系人：方芳</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质疑联系方式：0574-87101271</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3.同级政府采购监督管理部门</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名称：宁波市财政局政府采购</w:t>
      </w:r>
      <w:r>
        <w:rPr>
          <w:rFonts w:hint="eastAsia" w:ascii="宋体" w:hAnsi="宋体" w:eastAsia="宋体" w:cs="宋体"/>
          <w:color w:val="000000" w:themeColor="text1"/>
          <w:highlight w:val="none"/>
          <w:lang w:val="en-US" w:eastAsia="zh-CN"/>
          <w14:textFill>
            <w14:solidFill>
              <w14:schemeClr w14:val="tx1"/>
            </w14:solidFill>
          </w14:textFill>
        </w:rPr>
        <w:t>监管处</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地址：宁波市海曙区中山西路19号</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传真：/</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联系人：李老师</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监督投诉电话：0574-89388042</w:t>
      </w:r>
    </w:p>
    <w:p>
      <w:pPr>
        <w:spacing w:line="360" w:lineRule="auto"/>
        <w:ind w:firstLine="422" w:firstLineChars="200"/>
        <w:jc w:val="left"/>
        <w:rPr>
          <w:rFonts w:hint="eastAsia" w:ascii="宋体" w:hAnsi="宋体" w:eastAsia="宋体" w:cs="宋体"/>
          <w:b/>
          <w:color w:val="000000" w:themeColor="text1"/>
          <w:highlight w:val="none"/>
          <w14:textFill>
            <w14:solidFill>
              <w14:schemeClr w14:val="tx1"/>
            </w14:solidFill>
          </w14:textFill>
        </w:rPr>
      </w:pPr>
    </w:p>
    <w:p>
      <w:pPr>
        <w:spacing w:line="360" w:lineRule="auto"/>
        <w:ind w:firstLine="422" w:firstLineChars="20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22" w:firstLineChars="20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CA问题联系电话（人工）：汇信CA 400-888-4636；天谷CA 400-087-8198。</w:t>
      </w:r>
    </w:p>
    <w:p>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pPr>
        <w:pStyle w:val="4"/>
        <w:spacing w:before="0" w:after="0"/>
        <w:rPr>
          <w:rFonts w:hint="eastAsia" w:ascii="宋体" w:hAnsi="宋体" w:eastAsia="宋体" w:cs="宋体"/>
          <w:highlight w:val="none"/>
        </w:rPr>
      </w:pPr>
      <w:bookmarkStart w:id="37" w:name="_Toc31262"/>
      <w:r>
        <w:rPr>
          <w:rFonts w:hint="eastAsia" w:ascii="宋体" w:hAnsi="宋体" w:eastAsia="宋体" w:cs="宋体"/>
          <w:highlight w:val="none"/>
        </w:rPr>
        <w:t>第</w:t>
      </w:r>
      <w:r>
        <w:rPr>
          <w:rFonts w:hint="eastAsia" w:ascii="宋体" w:hAnsi="宋体" w:eastAsia="宋体" w:cs="宋体"/>
          <w:highlight w:val="none"/>
          <w:lang w:val="en-US" w:eastAsia="zh-CN"/>
        </w:rPr>
        <w:t>二</w:t>
      </w:r>
      <w:r>
        <w:rPr>
          <w:rFonts w:hint="eastAsia" w:ascii="宋体" w:hAnsi="宋体" w:eastAsia="宋体" w:cs="宋体"/>
          <w:highlight w:val="none"/>
        </w:rPr>
        <w:t>章  采购需求</w:t>
      </w:r>
      <w:bookmarkEnd w:id="37"/>
    </w:p>
    <w:p>
      <w:pPr>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前注</w:t>
      </w:r>
    </w:p>
    <w:p>
      <w:pPr>
        <w:widowControl/>
        <w:spacing w:line="360" w:lineRule="auto"/>
        <w:jc w:val="lef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本项目服务的详细要求，投标人必须对其有明确的响应，并如实描述偏离情况。实质性、关键性或其他重要指标等明确要求提供证明材料的，如在服务要求响应时仅复制粘贴或仅具有文字描述而未提供要求的佐证材料，其产生的影响直至被认定为未实质性响应的后果将由投标人自行承担。</w:t>
      </w:r>
    </w:p>
    <w:p>
      <w:pPr>
        <w:rPr>
          <w:rFonts w:hint="eastAsia" w:ascii="宋体" w:hAnsi="宋体" w:eastAsia="宋体" w:cs="宋体"/>
          <w:highlight w:val="none"/>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一、</w:t>
      </w:r>
      <w:r>
        <w:rPr>
          <w:rFonts w:hint="eastAsia" w:ascii="宋体" w:hAnsi="宋体" w:eastAsia="宋体" w:cs="宋体"/>
          <w:szCs w:val="21"/>
          <w:highlight w:val="none"/>
        </w:rPr>
        <w:t>商务要求</w:t>
      </w:r>
    </w:p>
    <w:tbl>
      <w:tblPr>
        <w:tblStyle w:val="45"/>
        <w:tblW w:w="8784" w:type="dxa"/>
        <w:jc w:val="center"/>
        <w:tblLayout w:type="fixed"/>
        <w:tblCellMar>
          <w:top w:w="0" w:type="dxa"/>
          <w:left w:w="108" w:type="dxa"/>
          <w:bottom w:w="0" w:type="dxa"/>
          <w:right w:w="108" w:type="dxa"/>
        </w:tblCellMar>
      </w:tblPr>
      <w:tblGrid>
        <w:gridCol w:w="709"/>
        <w:gridCol w:w="1559"/>
        <w:gridCol w:w="6516"/>
      </w:tblGrid>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p>
        </w:tc>
        <w:tc>
          <w:tcPr>
            <w:tcW w:w="65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要求</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w:t>
            </w:r>
          </w:p>
        </w:tc>
        <w:tc>
          <w:tcPr>
            <w:tcW w:w="65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宋体"/>
                <w:sz w:val="21"/>
                <w:szCs w:val="21"/>
                <w:highlight w:val="none"/>
              </w:rPr>
            </w:pPr>
            <w:r>
              <w:rPr>
                <w:rFonts w:hint="eastAsia" w:ascii="宋体" w:hAnsi="宋体" w:eastAsia="宋体" w:cs="宋体"/>
                <w:color w:val="000000" w:themeColor="text1"/>
                <w:szCs w:val="21"/>
                <w:highlight w:val="none"/>
                <w14:textFill>
                  <w14:solidFill>
                    <w14:schemeClr w14:val="tx1"/>
                  </w14:solidFill>
                </w14:textFill>
              </w:rPr>
              <w:t>服务期限</w:t>
            </w:r>
            <w:r>
              <w:rPr>
                <w:rFonts w:hint="eastAsia" w:ascii="宋体" w:hAnsi="宋体" w:eastAsia="宋体" w:cs="宋体"/>
                <w:color w:val="000000" w:themeColor="text1"/>
                <w:szCs w:val="21"/>
                <w:highlight w:val="none"/>
                <w:lang w:val="en-US" w:eastAsia="zh-CN"/>
                <w14:textFill>
                  <w14:solidFill>
                    <w14:schemeClr w14:val="tx1"/>
                  </w14:solidFill>
                </w14:textFill>
              </w:rPr>
              <w:t>三</w:t>
            </w:r>
            <w:r>
              <w:rPr>
                <w:rFonts w:hint="eastAsia" w:ascii="宋体" w:hAnsi="宋体" w:eastAsia="宋体" w:cs="宋体"/>
                <w:color w:val="000000" w:themeColor="text1"/>
                <w:szCs w:val="21"/>
                <w:highlight w:val="none"/>
                <w14:textFill>
                  <w14:solidFill>
                    <w14:schemeClr w14:val="tx1"/>
                  </w14:solidFill>
                </w14:textFill>
              </w:rPr>
              <w:t>年，合同一年一签；第一年为</w:t>
            </w:r>
            <w:r>
              <w:rPr>
                <w:rFonts w:hint="eastAsia" w:ascii="宋体" w:hAnsi="宋体" w:eastAsia="宋体" w:cs="宋体"/>
                <w:color w:val="000000" w:themeColor="text1"/>
                <w:szCs w:val="21"/>
                <w:highlight w:val="none"/>
                <w:lang w:val="en-US" w:eastAsia="zh-CN"/>
                <w14:textFill>
                  <w14:solidFill>
                    <w14:schemeClr w14:val="tx1"/>
                  </w14:solidFill>
                </w14:textFill>
              </w:rPr>
              <w:t>2024年8月</w:t>
            </w:r>
            <w:r>
              <w:rPr>
                <w:rFonts w:hint="eastAsia" w:ascii="宋体" w:hAnsi="宋体" w:eastAsia="宋体" w:cs="宋体"/>
                <w:color w:val="000000" w:themeColor="text1"/>
                <w:szCs w:val="21"/>
                <w:highlight w:val="none"/>
                <w14:textFill>
                  <w14:solidFill>
                    <w14:schemeClr w14:val="tx1"/>
                  </w14:solidFill>
                </w14:textFill>
              </w:rPr>
              <w:t>起至</w:t>
            </w:r>
            <w:r>
              <w:rPr>
                <w:rFonts w:hint="eastAsia" w:ascii="宋体" w:hAnsi="宋体" w:eastAsia="宋体" w:cs="宋体"/>
                <w:color w:val="000000" w:themeColor="text1"/>
                <w:szCs w:val="21"/>
                <w:highlight w:val="none"/>
                <w:lang w:val="en-US" w:eastAsia="zh-CN"/>
                <w14:textFill>
                  <w14:solidFill>
                    <w14:schemeClr w14:val="tx1"/>
                  </w14:solidFill>
                </w14:textFill>
              </w:rPr>
              <w:t>2025年8月</w:t>
            </w:r>
            <w:r>
              <w:rPr>
                <w:rFonts w:hint="eastAsia" w:ascii="宋体" w:hAnsi="宋体" w:eastAsia="宋体" w:cs="宋体"/>
                <w:color w:val="000000" w:themeColor="text1"/>
                <w:szCs w:val="21"/>
                <w:highlight w:val="none"/>
                <w14:textFill>
                  <w14:solidFill>
                    <w14:schemeClr w14:val="tx1"/>
                  </w14:solidFill>
                </w14:textFill>
              </w:rPr>
              <w:t>，后续年度</w:t>
            </w:r>
            <w:r>
              <w:rPr>
                <w:rFonts w:hint="eastAsia" w:ascii="宋体" w:hAnsi="宋体" w:eastAsia="宋体" w:cs="宋体"/>
                <w:color w:val="000000" w:themeColor="text1"/>
                <w:szCs w:val="21"/>
                <w:highlight w:val="none"/>
                <w:lang w:val="en-US" w:eastAsia="zh-CN"/>
                <w14:textFill>
                  <w14:solidFill>
                    <w14:schemeClr w14:val="tx1"/>
                  </w14:solidFill>
                </w14:textFill>
              </w:rPr>
              <w:t>合同</w:t>
            </w:r>
            <w:r>
              <w:rPr>
                <w:rFonts w:hint="eastAsia" w:ascii="宋体" w:hAnsi="宋体" w:eastAsia="宋体" w:cs="宋体"/>
                <w:color w:val="000000" w:themeColor="text1"/>
                <w:szCs w:val="21"/>
                <w:highlight w:val="none"/>
                <w14:textFill>
                  <w14:solidFill>
                    <w14:schemeClr w14:val="tx1"/>
                  </w14:solidFill>
                </w14:textFill>
              </w:rPr>
              <w:t>采购人将根据中标人在上一年度的合同履约情况、考核情况及财政资金审批情况等决定是否续签。</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服务地点</w:t>
            </w:r>
          </w:p>
        </w:tc>
        <w:tc>
          <w:tcPr>
            <w:tcW w:w="65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规划大厦和城市展览馆</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65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服务及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符合招标文件的实质性技术要求。</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验收</w:t>
            </w:r>
          </w:p>
        </w:tc>
        <w:tc>
          <w:tcPr>
            <w:tcW w:w="65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按照合同约定标准进行验收。</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签订合同时间</w:t>
            </w:r>
          </w:p>
        </w:tc>
        <w:tc>
          <w:tcPr>
            <w:tcW w:w="65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采购人在中标通知书发出之日起30日内与中标人签订书面合同。</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合同款项支付条件及方式</w:t>
            </w:r>
          </w:p>
        </w:tc>
        <w:tc>
          <w:tcPr>
            <w:tcW w:w="65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1.合同签订生效后，服务人员全员到位后7个工作日内支付合同总价金额的30%作为预付款；</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2.第二、第三、第四个季度，每个季度支付合同总价款的20%；</w:t>
            </w:r>
          </w:p>
          <w:p>
            <w:pPr>
              <w:spacing w:line="360" w:lineRule="auto"/>
              <w:rPr>
                <w:rFonts w:hint="eastAsia" w:ascii="宋体" w:hAnsi="宋体" w:eastAsia="宋体" w:cs="宋体"/>
                <w:highlight w:val="none"/>
                <w:lang w:val="en-US" w:eastAsia="zh-CN"/>
              </w:rPr>
            </w:pPr>
            <w:r>
              <w:rPr>
                <w:rFonts w:hint="eastAsia" w:ascii="宋体" w:hAnsi="宋体" w:eastAsia="宋体" w:cs="宋体"/>
                <w:sz w:val="21"/>
                <w:szCs w:val="21"/>
                <w:highlight w:val="none"/>
                <w:lang w:val="en-US" w:eastAsia="zh-CN"/>
              </w:rPr>
              <w:t>3.项目结束后支付剩余款项。</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7</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售后服务要求</w:t>
            </w:r>
          </w:p>
        </w:tc>
        <w:tc>
          <w:tcPr>
            <w:tcW w:w="65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中标人必须为本项目范围内的成果提供相应的售后服务。</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65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合同金额的1%，中标人在合同签订后5个工作日内以支票、汇票、本票、保函等非现金形式缴纳或提交保证金。</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9</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发票要求</w:t>
            </w:r>
          </w:p>
        </w:tc>
        <w:tc>
          <w:tcPr>
            <w:tcW w:w="65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中标人应在采购人支付费用前，依据相应的金额，先行向采购人提供足额且符合税法规定的发票。采购人在收到中标人提供的发票后在合同约定的时间内支付相应款项，否则采购人有权延迟支付而不被视为违约，亦无须承担任何责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本项目合同签署的中标人名称与发票开具单位及收款单位必须一致，中标人不得以任何理由在合同执行过程中要求调整发票开具单位或收款单位（中标人依法变更单位名称除外），否则视为中标人违约并自行承担相关责任，且须承担由此对采购人造成的一切损失。</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10</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w:t>
            </w:r>
          </w:p>
        </w:tc>
        <w:tc>
          <w:tcPr>
            <w:tcW w:w="65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在合同执行过程中，中标人应承担由于其行为所造成的采购人或第三人的人身伤害、财产损失或损坏的责任，无论何种原因造成，采购人均不负责。</w:t>
            </w:r>
          </w:p>
        </w:tc>
      </w:tr>
      <w:tr>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保密要求</w:t>
            </w:r>
          </w:p>
        </w:tc>
        <w:tc>
          <w:tcPr>
            <w:tcW w:w="65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中标人在提供服务过程中，对所接触到的所有信息负有保密义务，并按照规定与采购人签署相关保密协议。</w:t>
            </w:r>
          </w:p>
        </w:tc>
      </w:tr>
    </w:tbl>
    <w:p>
      <w:pPr>
        <w:widowControl w:val="0"/>
        <w:spacing w:line="360" w:lineRule="auto"/>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二</w:t>
      </w:r>
      <w:r>
        <w:rPr>
          <w:rFonts w:hint="eastAsia" w:ascii="宋体" w:hAnsi="宋体" w:eastAsia="宋体" w:cs="宋体"/>
          <w:b/>
          <w:bCs/>
          <w:color w:val="auto"/>
          <w:kern w:val="0"/>
          <w:sz w:val="21"/>
          <w:szCs w:val="21"/>
          <w:highlight w:val="none"/>
          <w:lang w:val="en-US" w:eastAsia="zh-CN" w:bidi="ar-SA"/>
        </w:rPr>
        <w:t>、项目背景</w:t>
      </w:r>
    </w:p>
    <w:p>
      <w:pPr>
        <w:widowControl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宁波市自然资源和规划研究中心的业务开展包括研究课题和城市展览。</w:t>
      </w:r>
      <w:r>
        <w:rPr>
          <w:rFonts w:hint="eastAsia" w:ascii="宋体" w:hAnsi="宋体" w:eastAsia="宋体" w:cs="宋体"/>
          <w:color w:val="auto"/>
          <w:kern w:val="0"/>
          <w:sz w:val="21"/>
          <w:szCs w:val="21"/>
          <w:highlight w:val="none"/>
          <w:lang w:val="en-US" w:eastAsia="zh-CN" w:bidi="ar-SA"/>
        </w:rPr>
        <w:t>结合</w:t>
      </w:r>
      <w:r>
        <w:rPr>
          <w:rFonts w:hint="eastAsia" w:ascii="宋体" w:hAnsi="宋体" w:eastAsia="宋体" w:cs="宋体"/>
          <w:color w:val="auto"/>
          <w:kern w:val="0"/>
          <w:sz w:val="21"/>
          <w:szCs w:val="21"/>
          <w:highlight w:val="none"/>
          <w:lang w:val="en-US" w:eastAsia="zh-CN" w:bidi="ar-SA"/>
        </w:rPr>
        <w:t>研究中心综合管理和城市展览的</w:t>
      </w:r>
      <w:r>
        <w:rPr>
          <w:rFonts w:hint="eastAsia" w:ascii="宋体" w:hAnsi="宋体" w:eastAsia="宋体" w:cs="宋体"/>
          <w:color w:val="auto"/>
          <w:kern w:val="0"/>
          <w:sz w:val="21"/>
          <w:szCs w:val="21"/>
          <w:highlight w:val="none"/>
          <w:lang w:val="en-US" w:eastAsia="zh-CN" w:bidi="ar-SA"/>
        </w:rPr>
        <w:t>服务保障</w:t>
      </w:r>
      <w:r>
        <w:rPr>
          <w:rFonts w:hint="eastAsia" w:ascii="宋体" w:hAnsi="宋体" w:eastAsia="宋体" w:cs="宋体"/>
          <w:color w:val="auto"/>
          <w:kern w:val="0"/>
          <w:sz w:val="21"/>
          <w:szCs w:val="21"/>
          <w:highlight w:val="none"/>
          <w:lang w:val="en-US" w:eastAsia="zh-CN" w:bidi="ar-SA"/>
        </w:rPr>
        <w:t>工作</w:t>
      </w:r>
      <w:r>
        <w:rPr>
          <w:rFonts w:hint="eastAsia" w:ascii="宋体" w:hAnsi="宋体" w:eastAsia="宋体" w:cs="宋体"/>
          <w:color w:val="auto"/>
          <w:kern w:val="0"/>
          <w:sz w:val="21"/>
          <w:szCs w:val="21"/>
          <w:highlight w:val="none"/>
          <w:lang w:val="en-US" w:eastAsia="zh-CN" w:bidi="ar-SA"/>
        </w:rPr>
        <w:t>需求</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为</w:t>
      </w:r>
      <w:r>
        <w:rPr>
          <w:rFonts w:hint="eastAsia" w:ascii="宋体" w:hAnsi="宋体" w:eastAsia="宋体" w:cs="宋体"/>
          <w:color w:val="auto"/>
          <w:kern w:val="0"/>
          <w:sz w:val="21"/>
          <w:szCs w:val="21"/>
          <w:highlight w:val="none"/>
          <w:lang w:val="en-US" w:eastAsia="zh-CN" w:bidi="ar-SA"/>
        </w:rPr>
        <w:t>更好地做好研究课题综合管理</w:t>
      </w:r>
      <w:r>
        <w:rPr>
          <w:rFonts w:hint="eastAsia" w:ascii="宋体" w:hAnsi="宋体" w:eastAsia="宋体" w:cs="宋体"/>
          <w:color w:val="auto"/>
          <w:kern w:val="0"/>
          <w:sz w:val="21"/>
          <w:szCs w:val="21"/>
          <w:highlight w:val="none"/>
          <w:lang w:val="en-US" w:eastAsia="zh-CN" w:bidi="ar-SA"/>
        </w:rPr>
        <w:t>以及</w:t>
      </w:r>
      <w:r>
        <w:rPr>
          <w:rFonts w:hint="eastAsia" w:ascii="宋体" w:hAnsi="宋体" w:eastAsia="宋体" w:cs="宋体"/>
          <w:color w:val="auto"/>
          <w:kern w:val="0"/>
          <w:sz w:val="21"/>
          <w:szCs w:val="21"/>
          <w:highlight w:val="none"/>
          <w:lang w:val="en-US" w:eastAsia="zh-CN" w:bidi="ar-SA"/>
        </w:rPr>
        <w:t>展馆展厅服务和内业工作，补充在编人员数量不足，需要配置劳务外包人员18名。</w:t>
      </w:r>
    </w:p>
    <w:p>
      <w:pPr>
        <w:widowControl w:val="0"/>
        <w:spacing w:line="360" w:lineRule="auto"/>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、具体服务要求</w:t>
      </w:r>
    </w:p>
    <w:p>
      <w:pPr>
        <w:widowControl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供应商需为本项目配置18个服务岗。</w:t>
      </w:r>
    </w:p>
    <w:p>
      <w:pPr>
        <w:widowControl w:val="0"/>
        <w:spacing w:line="360" w:lineRule="auto"/>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（一）人员总体要求：</w:t>
      </w:r>
    </w:p>
    <w:p>
      <w:pPr>
        <w:widowControl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1.遵纪守法，品行端正，具有良好的职业道德和职业素养；</w:t>
      </w:r>
    </w:p>
    <w:p>
      <w:pPr>
        <w:widowControl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2.非特殊性岗位初聘年龄原则上要求在35周岁以下；</w:t>
      </w:r>
    </w:p>
    <w:p>
      <w:pPr>
        <w:widowControl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3.一般具有本科及以上学历，具备招聘岗位所需的资历、专业、任职资格、职业（执业）资格及技能等其他要求；</w:t>
      </w:r>
    </w:p>
    <w:p>
      <w:pPr>
        <w:widowControl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4.无刑事犯罪记录；</w:t>
      </w:r>
    </w:p>
    <w:p>
      <w:pPr>
        <w:widowControl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5.身体健康，且能胜任岗位工作；</w:t>
      </w:r>
    </w:p>
    <w:p>
      <w:pPr>
        <w:widowControl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6.其他应具备的基本条件。</w:t>
      </w:r>
    </w:p>
    <w:p>
      <w:pPr>
        <w:widowControl w:val="0"/>
        <w:spacing w:line="360" w:lineRule="auto"/>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（二）岗位设置：</w:t>
      </w:r>
    </w:p>
    <w:p>
      <w:pPr>
        <w:widowControl w:val="0"/>
        <w:spacing w:line="360" w:lineRule="auto"/>
        <w:ind w:firstLine="422"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w:t>
      </w:r>
      <w:r>
        <w:rPr>
          <w:rFonts w:hint="eastAsia" w:ascii="宋体" w:hAnsi="宋体" w:eastAsia="宋体" w:cs="宋体"/>
          <w:b/>
          <w:color w:val="auto"/>
          <w:kern w:val="2"/>
          <w:sz w:val="21"/>
          <w:szCs w:val="21"/>
          <w:highlight w:val="none"/>
          <w:lang w:val="en-US" w:eastAsia="zh-CN" w:bidi="ar-SA"/>
        </w:rPr>
        <w:t>.综合服务保障岗位一（设组长1名）：</w:t>
      </w:r>
      <w:r>
        <w:rPr>
          <w:rFonts w:hint="eastAsia" w:ascii="宋体" w:hAnsi="宋体" w:eastAsia="宋体" w:cs="宋体"/>
          <w:b w:val="0"/>
          <w:bCs/>
          <w:color w:val="auto"/>
          <w:kern w:val="2"/>
          <w:sz w:val="21"/>
          <w:szCs w:val="21"/>
          <w:highlight w:val="none"/>
          <w:lang w:val="en-US" w:eastAsia="zh-CN" w:bidi="ar-SA"/>
        </w:rPr>
        <w:t>承担研究中心综合文秘、安全生产、项目采购、信息宣传等工作。本科及以上学历，配置1岗。</w:t>
      </w:r>
    </w:p>
    <w:p>
      <w:pPr>
        <w:widowControl w:val="0"/>
        <w:spacing w:line="360" w:lineRule="auto"/>
        <w:ind w:firstLine="422"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2.综合服务保障岗位</w:t>
      </w:r>
      <w:r>
        <w:rPr>
          <w:rFonts w:hint="eastAsia" w:ascii="宋体" w:hAnsi="宋体" w:eastAsia="宋体" w:cs="宋体"/>
          <w:b/>
          <w:color w:val="auto"/>
          <w:kern w:val="2"/>
          <w:sz w:val="21"/>
          <w:szCs w:val="21"/>
          <w:highlight w:val="none"/>
          <w:lang w:val="en-US" w:eastAsia="zh-CN" w:bidi="ar-SA"/>
        </w:rPr>
        <w:t>二</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承担研究中心行政后勤、群团管理、编外人员人事、网络安全、信息化维护等工作。</w:t>
      </w:r>
      <w:r>
        <w:rPr>
          <w:rFonts w:hint="eastAsia" w:ascii="宋体" w:hAnsi="宋体" w:eastAsia="宋体" w:cs="宋体"/>
          <w:color w:val="auto"/>
          <w:kern w:val="0"/>
          <w:sz w:val="21"/>
          <w:szCs w:val="21"/>
          <w:highlight w:val="none"/>
          <w:lang w:val="en-US" w:eastAsia="zh-CN" w:bidi="ar-SA"/>
        </w:rPr>
        <w:t>本科</w:t>
      </w:r>
      <w:r>
        <w:rPr>
          <w:rFonts w:hint="eastAsia" w:ascii="宋体" w:hAnsi="宋体" w:eastAsia="宋体" w:cs="宋体"/>
          <w:color w:val="auto"/>
          <w:kern w:val="0"/>
          <w:sz w:val="21"/>
          <w:szCs w:val="21"/>
          <w:highlight w:val="none"/>
          <w:lang w:val="en-US" w:eastAsia="zh-CN" w:bidi="ar-SA"/>
        </w:rPr>
        <w:t>及</w:t>
      </w:r>
      <w:r>
        <w:rPr>
          <w:rFonts w:hint="eastAsia" w:ascii="宋体" w:hAnsi="宋体" w:eastAsia="宋体" w:cs="宋体"/>
          <w:color w:val="auto"/>
          <w:kern w:val="0"/>
          <w:sz w:val="21"/>
          <w:szCs w:val="21"/>
          <w:highlight w:val="none"/>
          <w:lang w:val="en-US" w:eastAsia="zh-CN" w:bidi="ar-SA"/>
        </w:rPr>
        <w:t>以上学历</w:t>
      </w:r>
      <w:r>
        <w:rPr>
          <w:rFonts w:hint="eastAsia" w:ascii="宋体" w:hAnsi="宋体" w:eastAsia="宋体" w:cs="宋体"/>
          <w:color w:val="auto"/>
          <w:kern w:val="0"/>
          <w:sz w:val="21"/>
          <w:szCs w:val="21"/>
          <w:highlight w:val="none"/>
          <w:lang w:val="en-US" w:eastAsia="zh-CN" w:bidi="ar-SA"/>
        </w:rPr>
        <w:t>，配置1岗。</w:t>
      </w:r>
    </w:p>
    <w:p>
      <w:pPr>
        <w:widowControl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3.</w:t>
      </w:r>
      <w:r>
        <w:rPr>
          <w:rFonts w:hint="eastAsia" w:ascii="宋体" w:hAnsi="宋体" w:eastAsia="宋体" w:cs="宋体"/>
          <w:b/>
          <w:color w:val="auto"/>
          <w:kern w:val="2"/>
          <w:sz w:val="21"/>
          <w:szCs w:val="21"/>
          <w:highlight w:val="none"/>
          <w:lang w:val="en-US" w:eastAsia="zh-CN" w:bidi="ar-SA"/>
        </w:rPr>
        <w:t>综合服务保障岗位</w:t>
      </w:r>
      <w:r>
        <w:rPr>
          <w:rFonts w:hint="eastAsia" w:ascii="宋体" w:hAnsi="宋体" w:eastAsia="宋体" w:cs="宋体"/>
          <w:b/>
          <w:color w:val="auto"/>
          <w:kern w:val="2"/>
          <w:sz w:val="21"/>
          <w:szCs w:val="21"/>
          <w:highlight w:val="none"/>
          <w:lang w:val="en-US" w:eastAsia="zh-CN" w:bidi="ar-SA"/>
        </w:rPr>
        <w:t>三：</w:t>
      </w:r>
      <w:r>
        <w:rPr>
          <w:rFonts w:hint="eastAsia" w:ascii="宋体" w:hAnsi="宋体" w:eastAsia="宋体" w:cs="宋体"/>
          <w:b w:val="0"/>
          <w:bCs/>
          <w:color w:val="auto"/>
          <w:kern w:val="2"/>
          <w:sz w:val="21"/>
          <w:szCs w:val="21"/>
          <w:highlight w:val="none"/>
          <w:lang w:val="en-US" w:eastAsia="zh-CN" w:bidi="ar-SA"/>
        </w:rPr>
        <w:t>承担业务车辆出车和车辆日常管理，以及其他行政后勤工作，配置1岗。学历不限，具有企事业单位工作经验，配置1岗。</w:t>
      </w:r>
    </w:p>
    <w:p>
      <w:pPr>
        <w:widowControl w:val="0"/>
        <w:spacing w:line="360" w:lineRule="auto"/>
        <w:ind w:firstLine="422"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4.城展馆展厅讲解技术岗</w:t>
      </w:r>
      <w:r>
        <w:rPr>
          <w:rFonts w:hint="eastAsia" w:ascii="宋体" w:hAnsi="宋体" w:eastAsia="宋体" w:cs="宋体"/>
          <w:b/>
          <w:color w:val="auto"/>
          <w:kern w:val="2"/>
          <w:sz w:val="21"/>
          <w:szCs w:val="21"/>
          <w:highlight w:val="none"/>
          <w:lang w:val="en-US" w:eastAsia="zh-CN" w:bidi="ar-SA"/>
        </w:rPr>
        <w:t>位</w:t>
      </w:r>
      <w:r>
        <w:rPr>
          <w:rFonts w:hint="eastAsia" w:ascii="宋体" w:hAnsi="宋体" w:eastAsia="宋体" w:cs="宋体"/>
          <w:b/>
          <w:color w:val="auto"/>
          <w:kern w:val="2"/>
          <w:sz w:val="21"/>
          <w:szCs w:val="21"/>
          <w:highlight w:val="none"/>
          <w:lang w:val="en-US" w:eastAsia="zh-CN" w:bidi="ar-SA"/>
        </w:rPr>
        <w:t>（设组长1名）</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承担展馆</w:t>
      </w:r>
      <w:r>
        <w:rPr>
          <w:rFonts w:hint="eastAsia" w:ascii="宋体" w:hAnsi="宋体" w:eastAsia="宋体" w:cs="宋体"/>
          <w:color w:val="auto"/>
          <w:kern w:val="2"/>
          <w:sz w:val="21"/>
          <w:szCs w:val="21"/>
          <w:highlight w:val="none"/>
          <w:lang w:val="en-US" w:eastAsia="zh-CN" w:bidi="ar-SA"/>
        </w:rPr>
        <w:t>讲解工作，每月讲解数量不低于40场。年龄在18-35周岁之间，女身高160cm以上，男身高170cm以上，品貌端正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本科</w:t>
      </w:r>
      <w:r>
        <w:rPr>
          <w:rFonts w:hint="eastAsia" w:ascii="宋体" w:hAnsi="宋体" w:eastAsia="宋体" w:cs="宋体"/>
          <w:color w:val="auto"/>
          <w:kern w:val="2"/>
          <w:sz w:val="21"/>
          <w:szCs w:val="21"/>
          <w:highlight w:val="none"/>
          <w:lang w:val="en-US" w:eastAsia="zh-CN" w:bidi="ar-SA"/>
        </w:rPr>
        <w:t>及以上学历，</w:t>
      </w:r>
      <w:r>
        <w:rPr>
          <w:rFonts w:hint="eastAsia" w:ascii="宋体" w:hAnsi="宋体" w:eastAsia="宋体" w:cs="宋体"/>
          <w:color w:val="auto"/>
          <w:kern w:val="2"/>
          <w:sz w:val="21"/>
          <w:szCs w:val="21"/>
          <w:highlight w:val="none"/>
          <w:lang w:val="en-US" w:eastAsia="zh-CN" w:bidi="ar-SA"/>
        </w:rPr>
        <w:t>双语优先，</w:t>
      </w:r>
      <w:r>
        <w:rPr>
          <w:rFonts w:hint="eastAsia" w:ascii="宋体" w:hAnsi="宋体" w:eastAsia="宋体" w:cs="宋体"/>
          <w:color w:val="auto"/>
          <w:kern w:val="2"/>
          <w:sz w:val="21"/>
          <w:szCs w:val="21"/>
          <w:highlight w:val="none"/>
          <w:lang w:val="en-US" w:eastAsia="zh-CN" w:bidi="ar-SA"/>
        </w:rPr>
        <w:t>配置6岗。</w:t>
      </w:r>
    </w:p>
    <w:p>
      <w:pPr>
        <w:widowControl w:val="0"/>
        <w:spacing w:line="360" w:lineRule="auto"/>
        <w:ind w:firstLine="422"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w:t>
      </w:r>
      <w:r>
        <w:rPr>
          <w:rFonts w:hint="eastAsia" w:ascii="宋体" w:hAnsi="宋体" w:eastAsia="宋体" w:cs="宋体"/>
          <w:b/>
          <w:color w:val="auto"/>
          <w:kern w:val="2"/>
          <w:sz w:val="21"/>
          <w:szCs w:val="21"/>
          <w:highlight w:val="none"/>
          <w:lang w:val="en-US" w:eastAsia="zh-CN" w:bidi="ar-SA"/>
        </w:rPr>
        <w:t>.城展馆展厅</w:t>
      </w:r>
      <w:r>
        <w:rPr>
          <w:rFonts w:hint="eastAsia" w:ascii="宋体" w:hAnsi="宋体" w:eastAsia="宋体" w:cs="宋体"/>
          <w:b/>
          <w:color w:val="auto"/>
          <w:kern w:val="2"/>
          <w:sz w:val="21"/>
          <w:szCs w:val="21"/>
          <w:highlight w:val="none"/>
          <w:lang w:val="en-US" w:eastAsia="zh-CN" w:bidi="ar-SA"/>
        </w:rPr>
        <w:t>服务</w:t>
      </w:r>
      <w:r>
        <w:rPr>
          <w:rFonts w:hint="eastAsia" w:ascii="宋体" w:hAnsi="宋体" w:eastAsia="宋体" w:cs="宋体"/>
          <w:b/>
          <w:color w:val="auto"/>
          <w:kern w:val="2"/>
          <w:sz w:val="21"/>
          <w:szCs w:val="21"/>
          <w:highlight w:val="none"/>
          <w:lang w:val="en-US" w:eastAsia="zh-CN" w:bidi="ar-SA"/>
        </w:rPr>
        <w:t>岗位</w:t>
      </w:r>
      <w:r>
        <w:rPr>
          <w:rFonts w:hint="eastAsia" w:ascii="宋体" w:hAnsi="宋体" w:eastAsia="宋体" w:cs="宋体"/>
          <w:b/>
          <w:color w:val="auto"/>
          <w:kern w:val="2"/>
          <w:sz w:val="21"/>
          <w:szCs w:val="21"/>
          <w:highlight w:val="none"/>
          <w:lang w:val="en-US" w:eastAsia="zh-CN" w:bidi="ar-SA"/>
        </w:rPr>
        <w:t>一：</w:t>
      </w:r>
      <w:r>
        <w:rPr>
          <w:rFonts w:hint="eastAsia" w:ascii="宋体" w:hAnsi="宋体" w:eastAsia="宋体" w:cs="宋体"/>
          <w:b w:val="0"/>
          <w:bCs/>
          <w:color w:val="auto"/>
          <w:kern w:val="2"/>
          <w:sz w:val="21"/>
          <w:szCs w:val="21"/>
          <w:highlight w:val="none"/>
          <w:lang w:val="en-US" w:eastAsia="zh-CN" w:bidi="ar-SA"/>
        </w:rPr>
        <w:t>负责展馆参观摄影录像、视频编辑等工作。本科以上学历，配置1岗。</w:t>
      </w:r>
    </w:p>
    <w:p>
      <w:pPr>
        <w:widowControl w:val="0"/>
        <w:spacing w:line="360" w:lineRule="auto"/>
        <w:ind w:firstLine="422"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6..城展馆展厅服务岗</w:t>
      </w:r>
      <w:r>
        <w:rPr>
          <w:rFonts w:hint="eastAsia" w:ascii="宋体" w:hAnsi="宋体" w:eastAsia="宋体" w:cs="宋体"/>
          <w:b/>
          <w:color w:val="auto"/>
          <w:kern w:val="2"/>
          <w:sz w:val="21"/>
          <w:szCs w:val="21"/>
          <w:highlight w:val="none"/>
          <w:lang w:val="en-US" w:eastAsia="zh-CN" w:bidi="ar-SA"/>
        </w:rPr>
        <w:t>位</w:t>
      </w:r>
      <w:r>
        <w:rPr>
          <w:rFonts w:hint="eastAsia" w:ascii="宋体" w:hAnsi="宋体" w:eastAsia="宋体" w:cs="宋体"/>
          <w:b/>
          <w:color w:val="auto"/>
          <w:kern w:val="2"/>
          <w:sz w:val="21"/>
          <w:szCs w:val="21"/>
          <w:highlight w:val="none"/>
          <w:lang w:val="en-US" w:eastAsia="zh-CN" w:bidi="ar-SA"/>
        </w:rPr>
        <w:t>二（设组长1名）：</w:t>
      </w:r>
      <w:r>
        <w:rPr>
          <w:rFonts w:hint="eastAsia" w:ascii="宋体" w:hAnsi="宋体" w:eastAsia="宋体" w:cs="宋体"/>
          <w:b w:val="0"/>
          <w:bCs/>
          <w:color w:val="auto"/>
          <w:kern w:val="2"/>
          <w:sz w:val="21"/>
          <w:szCs w:val="21"/>
          <w:highlight w:val="none"/>
          <w:lang w:val="en-US" w:eastAsia="zh-CN" w:bidi="ar-SA"/>
        </w:rPr>
        <w:t>承担</w:t>
      </w:r>
      <w:r>
        <w:rPr>
          <w:rFonts w:hint="eastAsia" w:ascii="宋体" w:hAnsi="宋体" w:eastAsia="宋体" w:cs="宋体"/>
          <w:b w:val="0"/>
          <w:bCs/>
          <w:color w:val="auto"/>
          <w:kern w:val="0"/>
          <w:sz w:val="21"/>
          <w:szCs w:val="21"/>
          <w:highlight w:val="none"/>
          <w:lang w:val="en-US" w:eastAsia="zh-CN" w:bidi="ar-SA"/>
        </w:rPr>
        <w:t>展馆展厅和会议室设备调试、</w:t>
      </w:r>
      <w:r>
        <w:rPr>
          <w:rFonts w:hint="eastAsia" w:ascii="宋体" w:hAnsi="宋体" w:eastAsia="宋体" w:cs="宋体"/>
          <w:b w:val="0"/>
          <w:bCs w:val="0"/>
          <w:color w:val="auto"/>
          <w:kern w:val="0"/>
          <w:sz w:val="21"/>
          <w:szCs w:val="21"/>
          <w:highlight w:val="none"/>
          <w:lang w:val="en-US" w:eastAsia="zh-CN" w:bidi="ar-SA"/>
        </w:rPr>
        <w:t>故障检查、报修和</w:t>
      </w:r>
      <w:r>
        <w:rPr>
          <w:rFonts w:hint="eastAsia" w:ascii="宋体" w:hAnsi="宋体" w:eastAsia="宋体" w:cs="宋体"/>
          <w:b w:val="0"/>
          <w:bCs/>
          <w:color w:val="auto"/>
          <w:kern w:val="0"/>
          <w:sz w:val="21"/>
          <w:szCs w:val="21"/>
          <w:highlight w:val="none"/>
          <w:lang w:val="en-US" w:eastAsia="zh-CN" w:bidi="ar-SA"/>
        </w:rPr>
        <w:t>维护保养工作，以及</w:t>
      </w:r>
      <w:r>
        <w:rPr>
          <w:rFonts w:hint="eastAsia" w:ascii="宋体" w:hAnsi="宋体" w:eastAsia="宋体" w:cs="宋体"/>
          <w:b w:val="0"/>
          <w:bCs w:val="0"/>
          <w:color w:val="auto"/>
          <w:kern w:val="0"/>
          <w:sz w:val="21"/>
          <w:szCs w:val="21"/>
          <w:highlight w:val="none"/>
          <w:lang w:val="en-US" w:eastAsia="zh-CN" w:bidi="ar-SA"/>
        </w:rPr>
        <w:t>网络维护等</w:t>
      </w:r>
      <w:r>
        <w:rPr>
          <w:rFonts w:hint="eastAsia" w:ascii="宋体" w:hAnsi="宋体" w:eastAsia="宋体" w:cs="宋体"/>
          <w:b w:val="0"/>
          <w:bCs/>
          <w:color w:val="auto"/>
          <w:kern w:val="0"/>
          <w:sz w:val="21"/>
          <w:szCs w:val="21"/>
          <w:highlight w:val="none"/>
          <w:lang w:val="en-US" w:eastAsia="zh-CN" w:bidi="ar-SA"/>
        </w:rPr>
        <w:t>技术保障工作。本科以上学历，配置1岗。</w:t>
      </w:r>
    </w:p>
    <w:p>
      <w:pPr>
        <w:widowControl w:val="0"/>
        <w:spacing w:line="360" w:lineRule="auto"/>
        <w:ind w:firstLine="422" w:firstLineChars="20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7.</w:t>
      </w:r>
      <w:r>
        <w:rPr>
          <w:rFonts w:hint="eastAsia" w:ascii="宋体" w:hAnsi="宋体" w:eastAsia="宋体" w:cs="宋体"/>
          <w:b/>
          <w:color w:val="auto"/>
          <w:kern w:val="2"/>
          <w:sz w:val="21"/>
          <w:szCs w:val="21"/>
          <w:highlight w:val="none"/>
          <w:lang w:val="en-US" w:eastAsia="zh-CN" w:bidi="ar-SA"/>
        </w:rPr>
        <w:t>.城展馆展厅</w:t>
      </w:r>
      <w:r>
        <w:rPr>
          <w:rFonts w:hint="eastAsia" w:ascii="宋体" w:hAnsi="宋体" w:eastAsia="宋体" w:cs="宋体"/>
          <w:b/>
          <w:color w:val="auto"/>
          <w:kern w:val="2"/>
          <w:sz w:val="21"/>
          <w:szCs w:val="21"/>
          <w:highlight w:val="none"/>
          <w:lang w:val="en-US" w:eastAsia="zh-CN" w:bidi="ar-SA"/>
        </w:rPr>
        <w:t>内业</w:t>
      </w:r>
      <w:r>
        <w:rPr>
          <w:rFonts w:hint="eastAsia" w:ascii="宋体" w:hAnsi="宋体" w:eastAsia="宋体" w:cs="宋体"/>
          <w:b/>
          <w:color w:val="auto"/>
          <w:kern w:val="2"/>
          <w:sz w:val="21"/>
          <w:szCs w:val="21"/>
          <w:highlight w:val="none"/>
          <w:lang w:val="en-US" w:eastAsia="zh-CN" w:bidi="ar-SA"/>
        </w:rPr>
        <w:t>岗位</w:t>
      </w:r>
      <w:r>
        <w:rPr>
          <w:rFonts w:hint="eastAsia" w:ascii="宋体" w:hAnsi="宋体" w:eastAsia="宋体" w:cs="宋体"/>
          <w:b/>
          <w:color w:val="auto"/>
          <w:kern w:val="2"/>
          <w:sz w:val="21"/>
          <w:szCs w:val="21"/>
          <w:highlight w:val="none"/>
          <w:lang w:val="en-US" w:eastAsia="zh-CN" w:bidi="ar-SA"/>
        </w:rPr>
        <w:t>一（设组长1名）</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承担研究中心</w:t>
      </w:r>
      <w:r>
        <w:rPr>
          <w:rFonts w:hint="eastAsia" w:ascii="宋体" w:hAnsi="宋体" w:eastAsia="宋体" w:cs="宋体"/>
          <w:color w:val="auto"/>
          <w:kern w:val="2"/>
          <w:sz w:val="21"/>
          <w:szCs w:val="21"/>
          <w:highlight w:val="none"/>
          <w:lang w:val="en-US" w:eastAsia="zh-CN" w:bidi="ar-SA"/>
        </w:rPr>
        <w:t>公众号建设</w:t>
      </w:r>
      <w:r>
        <w:rPr>
          <w:rFonts w:hint="eastAsia" w:ascii="宋体" w:hAnsi="宋体" w:eastAsia="宋体" w:cs="宋体"/>
          <w:color w:val="auto"/>
          <w:kern w:val="2"/>
          <w:sz w:val="21"/>
          <w:szCs w:val="21"/>
          <w:highlight w:val="none"/>
          <w:lang w:val="en-US" w:eastAsia="zh-CN" w:bidi="ar-SA"/>
        </w:rPr>
        <w:t>维护和推文编辑推送</w:t>
      </w:r>
      <w:r>
        <w:rPr>
          <w:rFonts w:hint="eastAsia" w:ascii="宋体" w:hAnsi="宋体" w:eastAsia="宋体" w:cs="宋体"/>
          <w:color w:val="auto"/>
          <w:kern w:val="2"/>
          <w:sz w:val="21"/>
          <w:szCs w:val="21"/>
          <w:highlight w:val="none"/>
          <w:lang w:val="en-US" w:eastAsia="zh-CN" w:bidi="ar-SA"/>
        </w:rPr>
        <w:t>工作</w:t>
      </w:r>
      <w:r>
        <w:rPr>
          <w:rFonts w:hint="eastAsia" w:ascii="宋体" w:hAnsi="宋体" w:eastAsia="宋体" w:cs="宋体"/>
          <w:color w:val="auto"/>
          <w:kern w:val="2"/>
          <w:sz w:val="21"/>
          <w:szCs w:val="21"/>
          <w:highlight w:val="none"/>
          <w:lang w:val="en-US" w:eastAsia="zh-CN" w:bidi="ar-SA"/>
        </w:rPr>
        <w:t>，以及负责城展馆展览、活动信息稿件。</w:t>
      </w:r>
      <w:r>
        <w:rPr>
          <w:rFonts w:hint="eastAsia" w:ascii="宋体" w:hAnsi="宋体" w:eastAsia="宋体" w:cs="宋体"/>
          <w:color w:val="auto"/>
          <w:kern w:val="2"/>
          <w:sz w:val="21"/>
          <w:szCs w:val="21"/>
          <w:highlight w:val="none"/>
          <w:lang w:val="en-US" w:eastAsia="zh-CN" w:bidi="ar-SA"/>
        </w:rPr>
        <w:t>本科以上学历，配置1岗。</w:t>
      </w:r>
    </w:p>
    <w:p>
      <w:pPr>
        <w:widowControl w:val="0"/>
        <w:spacing w:line="360" w:lineRule="auto"/>
        <w:ind w:firstLine="422"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8</w:t>
      </w:r>
      <w:r>
        <w:rPr>
          <w:rFonts w:hint="eastAsia" w:ascii="宋体" w:hAnsi="宋体" w:eastAsia="宋体" w:cs="宋体"/>
          <w:b/>
          <w:color w:val="auto"/>
          <w:kern w:val="2"/>
          <w:sz w:val="21"/>
          <w:szCs w:val="21"/>
          <w:highlight w:val="none"/>
          <w:lang w:val="en-US" w:eastAsia="zh-CN" w:bidi="ar-SA"/>
        </w:rPr>
        <w:t>.城展馆展厅</w:t>
      </w:r>
      <w:r>
        <w:rPr>
          <w:rFonts w:hint="eastAsia" w:ascii="宋体" w:hAnsi="宋体" w:eastAsia="宋体" w:cs="宋体"/>
          <w:b/>
          <w:color w:val="auto"/>
          <w:kern w:val="2"/>
          <w:sz w:val="21"/>
          <w:szCs w:val="21"/>
          <w:highlight w:val="none"/>
          <w:lang w:val="en-US" w:eastAsia="zh-CN" w:bidi="ar-SA"/>
        </w:rPr>
        <w:t>内业</w:t>
      </w:r>
      <w:r>
        <w:rPr>
          <w:rFonts w:hint="eastAsia" w:ascii="宋体" w:hAnsi="宋体" w:eastAsia="宋体" w:cs="宋体"/>
          <w:b/>
          <w:color w:val="auto"/>
          <w:kern w:val="2"/>
          <w:sz w:val="21"/>
          <w:szCs w:val="21"/>
          <w:highlight w:val="none"/>
          <w:lang w:val="en-US" w:eastAsia="zh-CN" w:bidi="ar-SA"/>
        </w:rPr>
        <w:t>岗位</w:t>
      </w:r>
      <w:r>
        <w:rPr>
          <w:rFonts w:hint="eastAsia" w:ascii="宋体" w:hAnsi="宋体" w:eastAsia="宋体" w:cs="宋体"/>
          <w:b/>
          <w:color w:val="auto"/>
          <w:kern w:val="2"/>
          <w:sz w:val="21"/>
          <w:szCs w:val="21"/>
          <w:highlight w:val="none"/>
          <w:lang w:val="en-US" w:eastAsia="zh-CN" w:bidi="ar-SA"/>
        </w:rPr>
        <w:t>二：</w:t>
      </w:r>
      <w:r>
        <w:rPr>
          <w:rFonts w:hint="eastAsia" w:ascii="宋体" w:hAnsi="宋体" w:eastAsia="宋体" w:cs="宋体"/>
          <w:color w:val="auto"/>
          <w:kern w:val="2"/>
          <w:sz w:val="21"/>
          <w:szCs w:val="21"/>
          <w:highlight w:val="none"/>
          <w:lang w:val="en-US" w:eastAsia="zh-CN" w:bidi="ar-SA"/>
        </w:rPr>
        <w:t>承担展馆</w:t>
      </w:r>
      <w:r>
        <w:rPr>
          <w:rFonts w:hint="eastAsia" w:ascii="宋体" w:hAnsi="宋体" w:eastAsia="宋体" w:cs="宋体"/>
          <w:b w:val="0"/>
          <w:bCs/>
          <w:color w:val="auto"/>
          <w:kern w:val="2"/>
          <w:sz w:val="21"/>
          <w:szCs w:val="21"/>
          <w:highlight w:val="none"/>
          <w:lang w:val="en-US" w:eastAsia="zh-CN" w:bidi="ar-SA"/>
        </w:rPr>
        <w:t>规划公示、临时借展的对接工作，接收团队参观预约及分配、处理，综合性文字撰写。本科以上学历，配置1岗。</w:t>
      </w:r>
    </w:p>
    <w:p>
      <w:pPr>
        <w:widowControl w:val="0"/>
        <w:spacing w:line="360" w:lineRule="auto"/>
        <w:ind w:firstLine="422"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9.城展馆展厅内业岗位三：</w:t>
      </w:r>
      <w:r>
        <w:rPr>
          <w:rFonts w:hint="eastAsia" w:ascii="宋体" w:hAnsi="宋体" w:eastAsia="宋体" w:cs="宋体"/>
          <w:b w:val="0"/>
          <w:bCs/>
          <w:color w:val="auto"/>
          <w:kern w:val="2"/>
          <w:sz w:val="21"/>
          <w:szCs w:val="21"/>
          <w:highlight w:val="none"/>
          <w:lang w:val="en-US" w:eastAsia="zh-CN" w:bidi="ar-SA"/>
        </w:rPr>
        <w:t>承担展馆档案整理和归档工作，以及对接业务往来单位，和志愿者招募工作。本科以上学历，配置1岗。</w:t>
      </w:r>
    </w:p>
    <w:p>
      <w:pPr>
        <w:widowControl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10.城展馆展厅内业</w:t>
      </w:r>
      <w:r>
        <w:rPr>
          <w:rFonts w:hint="eastAsia" w:ascii="宋体" w:hAnsi="宋体" w:eastAsia="宋体" w:cs="宋体"/>
          <w:b/>
          <w:color w:val="auto"/>
          <w:kern w:val="2"/>
          <w:sz w:val="21"/>
          <w:szCs w:val="21"/>
          <w:highlight w:val="none"/>
          <w:lang w:val="en-US" w:eastAsia="zh-CN" w:bidi="ar-SA"/>
        </w:rPr>
        <w:t>岗</w:t>
      </w:r>
      <w:r>
        <w:rPr>
          <w:rFonts w:hint="eastAsia" w:ascii="宋体" w:hAnsi="宋体" w:eastAsia="宋体" w:cs="宋体"/>
          <w:b/>
          <w:color w:val="auto"/>
          <w:kern w:val="2"/>
          <w:sz w:val="21"/>
          <w:szCs w:val="21"/>
          <w:highlight w:val="none"/>
          <w:lang w:val="en-US" w:eastAsia="zh-CN" w:bidi="ar-SA"/>
        </w:rPr>
        <w:t>位四</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承担</w:t>
      </w:r>
      <w:r>
        <w:rPr>
          <w:rFonts w:hint="eastAsia" w:ascii="宋体" w:hAnsi="宋体" w:eastAsia="宋体" w:cs="宋体"/>
          <w:color w:val="auto"/>
          <w:kern w:val="2"/>
          <w:sz w:val="21"/>
          <w:szCs w:val="21"/>
          <w:highlight w:val="none"/>
          <w:lang w:val="en-US" w:eastAsia="zh-CN" w:bidi="ar-SA"/>
        </w:rPr>
        <w:t>展馆</w:t>
      </w:r>
      <w:r>
        <w:rPr>
          <w:rFonts w:hint="eastAsia" w:ascii="宋体" w:hAnsi="宋体" w:eastAsia="宋体" w:cs="宋体"/>
          <w:color w:val="auto"/>
          <w:kern w:val="2"/>
          <w:sz w:val="21"/>
          <w:szCs w:val="21"/>
          <w:highlight w:val="none"/>
          <w:lang w:val="en-US" w:eastAsia="zh-CN" w:bidi="ar-SA"/>
        </w:rPr>
        <w:t>常展和临展展陈</w:t>
      </w:r>
      <w:r>
        <w:rPr>
          <w:rFonts w:hint="eastAsia" w:ascii="宋体" w:hAnsi="宋体" w:eastAsia="宋体" w:cs="宋体"/>
          <w:color w:val="auto"/>
          <w:kern w:val="2"/>
          <w:sz w:val="21"/>
          <w:szCs w:val="21"/>
          <w:highlight w:val="none"/>
          <w:lang w:val="en-US" w:eastAsia="zh-CN" w:bidi="ar-SA"/>
        </w:rPr>
        <w:t>更新和维护工作。</w:t>
      </w:r>
      <w:r>
        <w:rPr>
          <w:rFonts w:hint="eastAsia" w:ascii="宋体" w:hAnsi="宋体" w:eastAsia="宋体" w:cs="宋体"/>
          <w:color w:val="auto"/>
          <w:kern w:val="0"/>
          <w:sz w:val="21"/>
          <w:szCs w:val="21"/>
          <w:highlight w:val="none"/>
          <w:lang w:val="en-US" w:eastAsia="zh-CN" w:bidi="ar-SA"/>
        </w:rPr>
        <w:t>本科以上学历，配置2岗</w:t>
      </w:r>
      <w:r>
        <w:rPr>
          <w:rFonts w:hint="eastAsia" w:ascii="宋体" w:hAnsi="宋体" w:eastAsia="宋体" w:cs="宋体"/>
          <w:color w:val="auto"/>
          <w:kern w:val="2"/>
          <w:sz w:val="21"/>
          <w:szCs w:val="21"/>
          <w:highlight w:val="none"/>
          <w:lang w:val="en-US" w:eastAsia="zh-CN" w:bidi="ar-SA"/>
        </w:rPr>
        <w:t>。</w:t>
      </w:r>
    </w:p>
    <w:p>
      <w:pPr>
        <w:widowControl w:val="0"/>
        <w:spacing w:line="360" w:lineRule="auto"/>
        <w:ind w:firstLine="422"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11</w:t>
      </w:r>
      <w:r>
        <w:rPr>
          <w:rFonts w:hint="eastAsia" w:ascii="宋体" w:hAnsi="宋体" w:eastAsia="宋体" w:cs="宋体"/>
          <w:b/>
          <w:color w:val="auto"/>
          <w:kern w:val="2"/>
          <w:sz w:val="21"/>
          <w:szCs w:val="21"/>
          <w:highlight w:val="none"/>
          <w:lang w:val="en-US" w:eastAsia="zh-CN" w:bidi="ar-SA"/>
        </w:rPr>
        <w:t>.城展馆展厅</w:t>
      </w:r>
      <w:r>
        <w:rPr>
          <w:rFonts w:hint="eastAsia" w:ascii="宋体" w:hAnsi="宋体" w:eastAsia="宋体" w:cs="宋体"/>
          <w:b/>
          <w:color w:val="auto"/>
          <w:kern w:val="2"/>
          <w:sz w:val="21"/>
          <w:szCs w:val="21"/>
          <w:highlight w:val="none"/>
          <w:lang w:val="en-US" w:eastAsia="zh-CN" w:bidi="ar-SA"/>
        </w:rPr>
        <w:t>内业</w:t>
      </w:r>
      <w:r>
        <w:rPr>
          <w:rFonts w:hint="eastAsia" w:ascii="宋体" w:hAnsi="宋体" w:eastAsia="宋体" w:cs="宋体"/>
          <w:b/>
          <w:color w:val="auto"/>
          <w:kern w:val="2"/>
          <w:sz w:val="21"/>
          <w:szCs w:val="21"/>
          <w:highlight w:val="none"/>
          <w:lang w:val="en-US" w:eastAsia="zh-CN" w:bidi="ar-SA"/>
        </w:rPr>
        <w:t>岗</w:t>
      </w:r>
      <w:r>
        <w:rPr>
          <w:rFonts w:hint="eastAsia" w:ascii="宋体" w:hAnsi="宋体" w:eastAsia="宋体" w:cs="宋体"/>
          <w:b/>
          <w:color w:val="auto"/>
          <w:kern w:val="2"/>
          <w:sz w:val="21"/>
          <w:szCs w:val="21"/>
          <w:highlight w:val="none"/>
          <w:lang w:val="en-US" w:eastAsia="zh-CN" w:bidi="ar-SA"/>
        </w:rPr>
        <w:t>位五</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承担展馆</w:t>
      </w:r>
      <w:r>
        <w:rPr>
          <w:rFonts w:hint="eastAsia" w:ascii="宋体" w:hAnsi="宋体" w:eastAsia="宋体" w:cs="宋体"/>
          <w:color w:val="auto"/>
          <w:kern w:val="2"/>
          <w:sz w:val="21"/>
          <w:szCs w:val="21"/>
          <w:highlight w:val="none"/>
          <w:lang w:val="en-US" w:eastAsia="zh-CN" w:bidi="ar-SA"/>
        </w:rPr>
        <w:t>公众参与</w:t>
      </w:r>
      <w:r>
        <w:rPr>
          <w:rFonts w:hint="eastAsia" w:ascii="宋体" w:hAnsi="宋体" w:eastAsia="宋体" w:cs="宋体"/>
          <w:color w:val="auto"/>
          <w:kern w:val="2"/>
          <w:sz w:val="21"/>
          <w:szCs w:val="21"/>
          <w:highlight w:val="none"/>
          <w:lang w:val="en-US" w:eastAsia="zh-CN" w:bidi="ar-SA"/>
        </w:rPr>
        <w:t>活动策划</w:t>
      </w:r>
      <w:r>
        <w:rPr>
          <w:rFonts w:hint="eastAsia" w:ascii="宋体" w:hAnsi="宋体" w:eastAsia="宋体" w:cs="宋体"/>
          <w:color w:val="auto"/>
          <w:kern w:val="2"/>
          <w:sz w:val="21"/>
          <w:szCs w:val="21"/>
          <w:highlight w:val="none"/>
          <w:lang w:val="en-US" w:eastAsia="zh-CN" w:bidi="ar-SA"/>
        </w:rPr>
        <w:t>和实施监督。</w:t>
      </w:r>
      <w:r>
        <w:rPr>
          <w:rFonts w:hint="eastAsia" w:ascii="宋体" w:hAnsi="宋体" w:eastAsia="宋体" w:cs="宋体"/>
          <w:color w:val="auto"/>
          <w:kern w:val="2"/>
          <w:sz w:val="21"/>
          <w:szCs w:val="21"/>
          <w:highlight w:val="none"/>
          <w:lang w:val="en-US" w:eastAsia="zh-CN" w:bidi="ar-SA"/>
        </w:rPr>
        <w:t>本科以上学历，配置1岗。</w:t>
      </w:r>
    </w:p>
    <w:p>
      <w:pPr>
        <w:widowControl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12</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城展馆展厅</w:t>
      </w:r>
      <w:r>
        <w:rPr>
          <w:rFonts w:hint="eastAsia" w:ascii="宋体" w:hAnsi="宋体" w:eastAsia="宋体" w:cs="宋体"/>
          <w:b/>
          <w:bCs/>
          <w:color w:val="auto"/>
          <w:kern w:val="2"/>
          <w:sz w:val="21"/>
          <w:szCs w:val="21"/>
          <w:highlight w:val="none"/>
          <w:lang w:val="en-US" w:eastAsia="zh-CN" w:bidi="ar-SA"/>
        </w:rPr>
        <w:t>内业岗位六</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承担展馆基建配套设施管理、监督等工作</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本科以上学历，</w:t>
      </w:r>
      <w:r>
        <w:rPr>
          <w:rFonts w:hint="eastAsia" w:ascii="宋体" w:hAnsi="宋体" w:eastAsia="宋体" w:cs="宋体"/>
          <w:color w:val="auto"/>
          <w:kern w:val="0"/>
          <w:sz w:val="21"/>
          <w:szCs w:val="21"/>
          <w:highlight w:val="none"/>
          <w:lang w:val="en-US" w:eastAsia="zh-CN" w:bidi="ar-SA"/>
        </w:rPr>
        <w:t>配置1岗</w:t>
      </w:r>
      <w:r>
        <w:rPr>
          <w:rFonts w:hint="eastAsia" w:ascii="宋体" w:hAnsi="宋体" w:eastAsia="宋体" w:cs="宋体"/>
          <w:color w:val="auto"/>
          <w:kern w:val="2"/>
          <w:sz w:val="21"/>
          <w:szCs w:val="21"/>
          <w:highlight w:val="none"/>
          <w:lang w:val="en-US" w:eastAsia="zh-CN" w:bidi="ar-SA"/>
        </w:rPr>
        <w:t>。</w:t>
      </w:r>
    </w:p>
    <w:p>
      <w:pPr>
        <w:widowControl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四</w:t>
      </w:r>
      <w:r>
        <w:rPr>
          <w:rFonts w:hint="eastAsia" w:ascii="宋体" w:hAnsi="宋体" w:eastAsia="宋体" w:cs="宋体"/>
          <w:b/>
          <w:color w:val="auto"/>
          <w:kern w:val="2"/>
          <w:sz w:val="21"/>
          <w:szCs w:val="21"/>
          <w:highlight w:val="none"/>
          <w:lang w:val="en-US" w:eastAsia="zh-CN" w:bidi="ar-SA"/>
        </w:rPr>
        <w:t>、其他要求</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（一）所有人员必须专职服务，不得兼职。中标后，如有人员需要更换，须及时上报采购人，经采购人认可后方可更换。</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（二）供应商应对进场人员进行培训、考核。如在培训、考核、熟悉环境过程中采购人发现其不能胜任的，采购人有权要求更换，直至胜任为止。</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工作时间为一周五个工作日（双休但具体休息时间按照采购人安排进行调节），节假日、休息日保证值班人员。周末值班采取调休方式，法定假日当天安排值班，按相关规定额外支付工资。如有会议、抗台、重大活动、特殊接待等情况，24小时到场服务。</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（四）人员薪资待遇方案</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1.根据中标价合理设置人员薪资、福利和管理费方案。人均支出不低于90000元，（其中包含应发工资以及需单位缴纳社保的费用和税费）。包含购买</w:t>
      </w:r>
      <w:r>
        <w:rPr>
          <w:rFonts w:hint="eastAsia" w:ascii="宋体" w:hAnsi="宋体" w:eastAsia="宋体" w:cs="宋体"/>
          <w:color w:val="auto"/>
          <w:kern w:val="2"/>
          <w:sz w:val="21"/>
          <w:szCs w:val="21"/>
          <w:highlight w:val="none"/>
          <w:lang w:val="en-US" w:eastAsia="zh-CN" w:bidi="ar-SA"/>
        </w:rPr>
        <w:t>社会保险（所有人员必须交纳包括养老、工伤、失业、生育、医疗、大病保险等在内的社会保障资金，服务期内不得低于宁波市政府规定的当年社保基数）以及缴纳住房公积金、职工医疗互助保险</w:t>
      </w:r>
      <w:r>
        <w:rPr>
          <w:rFonts w:hint="eastAsia" w:ascii="宋体" w:hAnsi="宋体" w:eastAsia="宋体" w:cs="宋体"/>
          <w:color w:val="auto"/>
          <w:kern w:val="2"/>
          <w:sz w:val="21"/>
          <w:szCs w:val="21"/>
          <w:highlight w:val="none"/>
          <w:lang w:val="en-US" w:eastAsia="zh-CN" w:bidi="ar-SA"/>
        </w:rPr>
        <w:t>，服务期内如遇</w:t>
      </w:r>
      <w:r>
        <w:rPr>
          <w:rFonts w:hint="eastAsia" w:ascii="宋体" w:hAnsi="宋体" w:eastAsia="宋体" w:cs="宋体"/>
          <w:color w:val="auto"/>
          <w:kern w:val="2"/>
          <w:sz w:val="21"/>
          <w:szCs w:val="21"/>
          <w:highlight w:val="none"/>
          <w:lang w:val="en-US" w:eastAsia="zh-CN" w:bidi="ar-SA"/>
        </w:rPr>
        <w:t>宁波市政府规定</w:t>
      </w:r>
      <w:r>
        <w:rPr>
          <w:rFonts w:hint="eastAsia" w:ascii="宋体" w:hAnsi="宋体" w:eastAsia="宋体" w:cs="宋体"/>
          <w:color w:val="auto"/>
          <w:kern w:val="2"/>
          <w:sz w:val="21"/>
          <w:szCs w:val="21"/>
          <w:highlight w:val="none"/>
          <w:lang w:val="en-US" w:eastAsia="zh-CN" w:bidi="ar-SA"/>
        </w:rPr>
        <w:t>最低</w:t>
      </w:r>
      <w:r>
        <w:rPr>
          <w:rFonts w:hint="eastAsia" w:ascii="宋体" w:hAnsi="宋体" w:eastAsia="宋体" w:cs="宋体"/>
          <w:color w:val="auto"/>
          <w:kern w:val="2"/>
          <w:sz w:val="21"/>
          <w:szCs w:val="21"/>
          <w:highlight w:val="none"/>
          <w:lang w:val="en-US" w:eastAsia="zh-CN" w:bidi="ar-SA"/>
        </w:rPr>
        <w:t>工资标准和</w:t>
      </w:r>
      <w:r>
        <w:rPr>
          <w:rFonts w:hint="eastAsia" w:ascii="宋体" w:hAnsi="宋体" w:eastAsia="宋体" w:cs="宋体"/>
          <w:color w:val="auto"/>
          <w:kern w:val="2"/>
          <w:sz w:val="21"/>
          <w:szCs w:val="21"/>
          <w:highlight w:val="none"/>
          <w:lang w:val="en-US" w:eastAsia="zh-CN" w:bidi="ar-SA"/>
        </w:rPr>
        <w:t>社保缴费基数</w:t>
      </w:r>
      <w:r>
        <w:rPr>
          <w:rFonts w:hint="eastAsia" w:ascii="宋体" w:hAnsi="宋体" w:eastAsia="宋体" w:cs="宋体"/>
          <w:color w:val="auto"/>
          <w:kern w:val="2"/>
          <w:sz w:val="21"/>
          <w:szCs w:val="21"/>
          <w:highlight w:val="none"/>
          <w:lang w:val="en-US" w:eastAsia="zh-CN" w:bidi="ar-SA"/>
        </w:rPr>
        <w:t>比例上调</w:t>
      </w:r>
      <w:r>
        <w:rPr>
          <w:rFonts w:hint="eastAsia" w:ascii="宋体" w:hAnsi="宋体" w:eastAsia="宋体" w:cs="宋体"/>
          <w:color w:val="auto"/>
          <w:kern w:val="2"/>
          <w:sz w:val="21"/>
          <w:szCs w:val="21"/>
          <w:highlight w:val="none"/>
          <w:lang w:val="en-US" w:eastAsia="zh-CN" w:bidi="ar-SA"/>
        </w:rPr>
        <w:t>，则合同中的人员工资</w:t>
      </w:r>
      <w:r>
        <w:rPr>
          <w:rFonts w:hint="eastAsia" w:ascii="宋体" w:hAnsi="宋体" w:eastAsia="宋体" w:cs="宋体"/>
          <w:color w:val="auto"/>
          <w:kern w:val="2"/>
          <w:sz w:val="21"/>
          <w:szCs w:val="21"/>
          <w:highlight w:val="none"/>
          <w:lang w:val="en-US" w:eastAsia="zh-CN" w:bidi="ar-SA"/>
        </w:rPr>
        <w:t>未达到最低工资标准的按实际上调，社保基数按</w:t>
      </w:r>
      <w:r>
        <w:rPr>
          <w:rFonts w:hint="eastAsia" w:ascii="宋体" w:hAnsi="宋体" w:eastAsia="宋体" w:cs="宋体"/>
          <w:color w:val="auto"/>
          <w:kern w:val="2"/>
          <w:sz w:val="21"/>
          <w:szCs w:val="21"/>
          <w:highlight w:val="none"/>
          <w:lang w:val="en-US" w:eastAsia="zh-CN" w:bidi="ar-SA"/>
        </w:rPr>
        <w:t>实际</w:t>
      </w:r>
      <w:r>
        <w:rPr>
          <w:rFonts w:hint="eastAsia" w:ascii="宋体" w:hAnsi="宋体" w:eastAsia="宋体" w:cs="宋体"/>
          <w:color w:val="auto"/>
          <w:kern w:val="2"/>
          <w:sz w:val="21"/>
          <w:szCs w:val="21"/>
          <w:highlight w:val="none"/>
          <w:lang w:val="en-US" w:eastAsia="zh-CN" w:bidi="ar-SA"/>
        </w:rPr>
        <w:t>上调幅度上调，上调所需费用由供应商按实另行支付，采购人不再另行承担。</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员工福利：</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2.1.每月餐费约每人3</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0元，每年组织一次体检，服务期内举办两次团队建设活动。中标人应为项目服务人员缴纳培训费，服装费。根据项目服务收取人员管理费以及税费。</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2.2.薪酬费用资料必须交由采购人审核,如发现所支付的薪金不符合标准（承诺）或支付的薪金账目有所保留，中标人将承担一切的法律责任或刑事责任。</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3.入职培训主要职业素养、业务知识、仪表礼节等方面的内容。</w:t>
      </w:r>
    </w:p>
    <w:p>
      <w:pPr>
        <w:widowControl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4.中标人必须接收采购人原有在岗的劳务人员，不能辞退原有在岗劳务人员（个人主动提出调岗或离职的除外），并保障其原有待遇。</w:t>
      </w:r>
    </w:p>
    <w:p>
      <w:pPr>
        <w:widowControl w:val="0"/>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kern w:val="2"/>
          <w:sz w:val="21"/>
          <w:szCs w:val="21"/>
          <w:highlight w:val="none"/>
          <w:lang w:val="en-US" w:eastAsia="zh-CN" w:bidi="ar-SA"/>
        </w:rPr>
        <w:t>5.除接收的原有在岗劳务人员外，供应商为本项目配置的其余服务人员必须在双方签订合同后15日内到岗。</w:t>
      </w:r>
    </w:p>
    <w:p>
      <w:pPr>
        <w:widowControl/>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pPr>
        <w:pStyle w:val="4"/>
        <w:rPr>
          <w:rFonts w:hint="eastAsia" w:ascii="宋体" w:hAnsi="宋体" w:eastAsia="宋体" w:cs="宋体"/>
          <w:sz w:val="32"/>
          <w:highlight w:val="none"/>
        </w:rPr>
      </w:pPr>
      <w:bookmarkStart w:id="38" w:name="_Toc21782"/>
      <w:bookmarkStart w:id="39" w:name="_Toc34844743"/>
      <w:r>
        <w:rPr>
          <w:rFonts w:hint="eastAsia" w:ascii="宋体" w:hAnsi="宋体" w:eastAsia="宋体" w:cs="宋体"/>
          <w:highlight w:val="none"/>
        </w:rPr>
        <w:t>第</w:t>
      </w:r>
      <w:r>
        <w:rPr>
          <w:rFonts w:hint="eastAsia" w:ascii="宋体" w:hAnsi="宋体" w:eastAsia="宋体" w:cs="宋体"/>
          <w:highlight w:val="none"/>
          <w:lang w:val="en-US" w:eastAsia="zh-CN"/>
        </w:rPr>
        <w:t>三</w:t>
      </w:r>
      <w:r>
        <w:rPr>
          <w:rFonts w:hint="eastAsia" w:ascii="宋体" w:hAnsi="宋体" w:eastAsia="宋体" w:cs="宋体"/>
          <w:highlight w:val="none"/>
        </w:rPr>
        <w:t>章  投标人须知</w:t>
      </w:r>
      <w:bookmarkEnd w:id="38"/>
      <w:bookmarkEnd w:id="39"/>
    </w:p>
    <w:p>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投标人须知前附表</w:t>
      </w:r>
    </w:p>
    <w:p>
      <w:pPr>
        <w:spacing w:line="360" w:lineRule="auto"/>
        <w:jc w:val="left"/>
        <w:rPr>
          <w:rStyle w:val="390"/>
          <w:rFonts w:hint="eastAsia" w:ascii="宋体" w:hAnsi="宋体" w:eastAsia="宋体" w:cs="宋体"/>
          <w:color w:val="000000" w:themeColor="text1"/>
          <w:sz w:val="21"/>
          <w:highlight w:val="none"/>
          <w14:textFill>
            <w14:solidFill>
              <w14:schemeClr w14:val="tx1"/>
            </w14:solidFill>
          </w14:textFill>
        </w:rPr>
      </w:pPr>
      <w:r>
        <w:rPr>
          <w:rStyle w:val="390"/>
          <w:rFonts w:hint="eastAsia" w:ascii="宋体" w:hAnsi="宋体" w:eastAsia="宋体" w:cs="宋体"/>
          <w:color w:val="000000" w:themeColor="text1"/>
          <w:sz w:val="21"/>
          <w:highlight w:val="none"/>
          <w14:textFill>
            <w14:solidFill>
              <w14:schemeClr w14:val="tx1"/>
            </w14:solidFill>
          </w14:textFill>
        </w:rPr>
        <w:t>注：本表是本项目的具体要求，是对投标人须知的具体补充和修改，如有不一致，以本表为准。</w:t>
      </w:r>
    </w:p>
    <w:tbl>
      <w:tblPr>
        <w:tblStyle w:val="45"/>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806"/>
        <w:gridCol w:w="54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54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p>
        </w:tc>
        <w:tc>
          <w:tcPr>
            <w:tcW w:w="18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w:t>
            </w:r>
          </w:p>
        </w:tc>
        <w:tc>
          <w:tcPr>
            <w:tcW w:w="549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宁波市自然资源和规划研究中心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w:t>
            </w:r>
          </w:p>
        </w:tc>
        <w:tc>
          <w:tcPr>
            <w:tcW w:w="18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w:t>
            </w:r>
          </w:p>
        </w:tc>
        <w:tc>
          <w:tcPr>
            <w:tcW w:w="549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w:t>
            </w:r>
          </w:p>
        </w:tc>
        <w:tc>
          <w:tcPr>
            <w:tcW w:w="18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政府采购监督管理部门</w:t>
            </w:r>
          </w:p>
        </w:tc>
        <w:tc>
          <w:tcPr>
            <w:tcW w:w="5497"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both"/>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宁波市财政局政府采购监管处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w:t>
            </w:r>
          </w:p>
        </w:tc>
        <w:tc>
          <w:tcPr>
            <w:tcW w:w="1806"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是否为专门面向中小企业采购</w:t>
            </w:r>
          </w:p>
        </w:tc>
        <w:tc>
          <w:tcPr>
            <w:tcW w:w="5497"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是  </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w:t>
            </w:r>
          </w:p>
        </w:tc>
        <w:tc>
          <w:tcPr>
            <w:tcW w:w="18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质疑函递交方式、接收部门、联系电话和通讯地址</w:t>
            </w:r>
          </w:p>
        </w:tc>
        <w:tc>
          <w:tcPr>
            <w:tcW w:w="5497"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递交方式：</w:t>
            </w:r>
            <w:r>
              <w:rPr>
                <w:rFonts w:hint="eastAsia" w:ascii="宋体" w:hAnsi="宋体" w:eastAsia="宋体" w:cs="宋体"/>
                <w:color w:val="000000" w:themeColor="text1"/>
                <w:sz w:val="21"/>
                <w:szCs w:val="21"/>
                <w:highlight w:val="none"/>
                <w:u w:val="single"/>
                <w14:textFill>
                  <w14:solidFill>
                    <w14:schemeClr w14:val="tx1"/>
                  </w14:solidFill>
                </w14:textFill>
              </w:rPr>
              <w:t>书面形式</w:t>
            </w:r>
          </w:p>
          <w:p>
            <w:pPr>
              <w:pStyle w:val="328"/>
              <w:widowControl w:val="0"/>
              <w:spacing w:before="0" w:beforeAutospacing="0" w:afterAutospacing="0"/>
              <w:jc w:val="both"/>
              <w:rPr>
                <w:rFonts w:hint="eastAsia" w:ascii="宋体" w:hAnsi="宋体" w:eastAsia="宋体" w:cs="宋体"/>
                <w:b/>
                <w:bCs/>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接收部门：</w:t>
            </w:r>
            <w:r>
              <w:rPr>
                <w:rFonts w:hint="eastAsia" w:ascii="宋体" w:hAnsi="宋体" w:eastAsia="宋体" w:cs="宋体"/>
                <w:color w:val="000000" w:themeColor="text1"/>
                <w:sz w:val="21"/>
                <w:szCs w:val="21"/>
                <w:highlight w:val="none"/>
                <w:u w:val="single"/>
                <w14:textFill>
                  <w14:solidFill>
                    <w14:schemeClr w14:val="tx1"/>
                  </w14:solidFill>
                </w14:textFill>
              </w:rPr>
              <w:t>综合办</w:t>
            </w:r>
          </w:p>
          <w:p>
            <w:pPr>
              <w:pStyle w:val="328"/>
              <w:widowControl w:val="0"/>
              <w:spacing w:before="0" w:beforeAutospacing="0" w:afterAutospacing="0"/>
              <w:jc w:val="both"/>
              <w:rPr>
                <w:rFonts w:hint="eastAsia" w:ascii="宋体" w:hAnsi="宋体" w:eastAsia="宋体" w:cs="宋体"/>
                <w:b/>
                <w:bCs/>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bCs/>
                <w:color w:val="000000" w:themeColor="text1"/>
                <w:sz w:val="21"/>
                <w:szCs w:val="21"/>
                <w:highlight w:val="none"/>
                <w:u w:val="single"/>
                <w14:textFill>
                  <w14:solidFill>
                    <w14:schemeClr w14:val="tx1"/>
                  </w14:solidFill>
                </w14:textFill>
              </w:rPr>
              <w:t>0574-87101271</w:t>
            </w:r>
          </w:p>
          <w:p>
            <w:pPr>
              <w:jc w:val="left"/>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通讯地址：</w:t>
            </w:r>
            <w:r>
              <w:rPr>
                <w:rFonts w:hint="eastAsia" w:ascii="宋体" w:hAnsi="宋体" w:eastAsia="宋体" w:cs="宋体"/>
                <w:bCs/>
                <w:color w:val="000000" w:themeColor="text1"/>
                <w:sz w:val="21"/>
                <w:szCs w:val="21"/>
                <w:highlight w:val="none"/>
                <w:u w:val="single"/>
                <w:lang w:eastAsia="zh-CN"/>
                <w14:textFill>
                  <w14:solidFill>
                    <w14:schemeClr w14:val="tx1"/>
                  </w14:solidFill>
                </w14:textFill>
              </w:rPr>
              <w:t>宁波市海曙区江汇城496号姚江时代14幢3楼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w:t>
            </w:r>
          </w:p>
        </w:tc>
        <w:tc>
          <w:tcPr>
            <w:tcW w:w="18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采购代理服务费用的收取标准</w:t>
            </w:r>
          </w:p>
        </w:tc>
        <w:tc>
          <w:tcPr>
            <w:tcW w:w="549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9" w:firstLineChars="14"/>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1.根据国家发改委发改办价格[2003]857号通知和原国家计委计价格[2002]1980</w:t>
            </w:r>
            <w:r>
              <w:rPr>
                <w:rFonts w:hint="eastAsia" w:ascii="宋体" w:hAnsi="宋体" w:eastAsia="宋体" w:cs="宋体"/>
                <w:bCs/>
                <w:color w:val="000000" w:themeColor="text1"/>
                <w:sz w:val="21"/>
                <w:szCs w:val="21"/>
                <w:highlight w:val="none"/>
                <w14:textFill>
                  <w14:solidFill>
                    <w14:schemeClr w14:val="tx1"/>
                  </w14:solidFill>
                </w14:textFill>
              </w:rPr>
              <w:t>号文件规定的收费费率为取费标准</w:t>
            </w:r>
            <w:r>
              <w:rPr>
                <w:rFonts w:hint="eastAsia" w:ascii="宋体" w:hAnsi="宋体" w:eastAsia="宋体" w:cs="宋体"/>
                <w:color w:val="000000" w:themeColor="text1"/>
                <w:sz w:val="21"/>
                <w:szCs w:val="21"/>
                <w:highlight w:val="none"/>
                <w14:textFill>
                  <w14:solidFill>
                    <w14:schemeClr w14:val="tx1"/>
                  </w14:solidFill>
                </w14:textFill>
              </w:rPr>
              <w:t>；</w:t>
            </w:r>
          </w:p>
          <w:p>
            <w:pPr>
              <w:ind w:firstLine="29" w:firstLineChars="14"/>
              <w:jc w:val="left"/>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以中标通知书确定的总金额为计算基数</w:t>
            </w:r>
            <w:r>
              <w:rPr>
                <w:rFonts w:hint="eastAsia" w:ascii="宋体" w:hAnsi="宋体" w:eastAsia="宋体" w:cs="宋体"/>
                <w:color w:val="000000" w:themeColor="text1"/>
                <w:sz w:val="21"/>
                <w:szCs w:val="21"/>
                <w:highlight w:val="none"/>
                <w14:textFill>
                  <w14:solidFill>
                    <w14:schemeClr w14:val="tx1"/>
                  </w14:solidFill>
                </w14:textFill>
              </w:rPr>
              <w:t>，结合上述费率标准计算本项目的代理服务费用，经计算不足</w:t>
            </w:r>
            <w:r>
              <w:rPr>
                <w:rFonts w:hint="eastAsia" w:ascii="宋体" w:hAnsi="宋体" w:eastAsia="宋体" w:cs="宋体"/>
                <w:color w:val="000000" w:themeColor="text1"/>
                <w:sz w:val="21"/>
                <w:szCs w:val="21"/>
                <w:highlight w:val="none"/>
                <w14:textFill>
                  <w14:solidFill>
                    <w14:schemeClr w14:val="tx1"/>
                  </w14:solidFill>
                </w14:textFill>
              </w:rPr>
              <w:t>3000</w:t>
            </w:r>
            <w:r>
              <w:rPr>
                <w:rFonts w:hint="eastAsia" w:ascii="宋体" w:hAnsi="宋体" w:eastAsia="宋体" w:cs="宋体"/>
                <w:color w:val="000000" w:themeColor="text1"/>
                <w:sz w:val="21"/>
                <w:szCs w:val="21"/>
                <w:highlight w:val="none"/>
                <w14:textFill>
                  <w14:solidFill>
                    <w14:schemeClr w14:val="tx1"/>
                  </w14:solidFill>
                </w14:textFill>
              </w:rPr>
              <w:t>元的，按照</w:t>
            </w:r>
            <w:r>
              <w:rPr>
                <w:rFonts w:hint="eastAsia" w:ascii="宋体" w:hAnsi="宋体" w:eastAsia="宋体" w:cs="宋体"/>
                <w:color w:val="000000" w:themeColor="text1"/>
                <w:sz w:val="21"/>
                <w:szCs w:val="21"/>
                <w:highlight w:val="none"/>
                <w14:textFill>
                  <w14:solidFill>
                    <w14:schemeClr w14:val="tx1"/>
                  </w14:solidFill>
                </w14:textFill>
              </w:rPr>
              <w:t>3000</w:t>
            </w:r>
            <w:r>
              <w:rPr>
                <w:rFonts w:hint="eastAsia" w:ascii="宋体" w:hAnsi="宋体" w:eastAsia="宋体" w:cs="宋体"/>
                <w:color w:val="000000" w:themeColor="text1"/>
                <w:sz w:val="21"/>
                <w:szCs w:val="21"/>
                <w:highlight w:val="none"/>
                <w14:textFill>
                  <w14:solidFill>
                    <w14:schemeClr w14:val="tx1"/>
                  </w14:solidFill>
                </w14:textFill>
              </w:rPr>
              <w:t>元收取。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w:t>
            </w:r>
          </w:p>
        </w:tc>
        <w:tc>
          <w:tcPr>
            <w:tcW w:w="18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采购代理服务费的支付</w:t>
            </w:r>
          </w:p>
        </w:tc>
        <w:tc>
          <w:tcPr>
            <w:tcW w:w="549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9" w:firstLineChars="14"/>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本项目代理服务费由中标人支付，中标人必须在领取中标通知书时一次性全额支付，代理服务费金额为固定金额，不随合同金额的增减而浮动。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17.1</w:t>
            </w:r>
          </w:p>
        </w:tc>
        <w:tc>
          <w:tcPr>
            <w:tcW w:w="1806"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现场考察</w:t>
            </w:r>
          </w:p>
        </w:tc>
        <w:tc>
          <w:tcPr>
            <w:tcW w:w="54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F0FE"/>
            </w:r>
            <w:r>
              <w:rPr>
                <w:rFonts w:hint="eastAsia" w:ascii="宋体" w:hAnsi="宋体" w:eastAsia="宋体" w:cs="宋体"/>
                <w:color w:val="000000" w:themeColor="text1"/>
                <w:sz w:val="21"/>
                <w:szCs w:val="21"/>
                <w:highlight w:val="none"/>
                <w14:textFill>
                  <w14:solidFill>
                    <w14:schemeClr w14:val="tx1"/>
                  </w14:solidFill>
                </w14:textFill>
              </w:rPr>
              <w:t>不</w:t>
            </w:r>
            <w:r>
              <w:rPr>
                <w:rFonts w:hint="eastAsia" w:ascii="宋体" w:hAnsi="宋体" w:eastAsia="宋体" w:cs="宋体"/>
                <w:bCs/>
                <w:color w:val="000000" w:themeColor="text1"/>
                <w:sz w:val="21"/>
                <w:szCs w:val="21"/>
                <w:highlight w:val="none"/>
                <w14:textFill>
                  <w14:solidFill>
                    <w14:schemeClr w14:val="tx1"/>
                  </w14:solidFill>
                </w14:textFill>
              </w:rPr>
              <w:t>统一</w:t>
            </w:r>
            <w:r>
              <w:rPr>
                <w:rFonts w:hint="eastAsia" w:ascii="宋体" w:hAnsi="宋体" w:eastAsia="宋体" w:cs="宋体"/>
                <w:color w:val="000000" w:themeColor="text1"/>
                <w:sz w:val="21"/>
                <w:szCs w:val="21"/>
                <w:highlight w:val="none"/>
                <w14:textFill>
                  <w14:solidFill>
                    <w14:schemeClr w14:val="tx1"/>
                  </w14:solidFill>
                </w14:textFill>
              </w:rPr>
              <w:t>组织，投标人</w:t>
            </w:r>
            <w:r>
              <w:rPr>
                <w:rFonts w:hint="eastAsia" w:ascii="宋体" w:hAnsi="宋体" w:eastAsia="宋体" w:cs="宋体"/>
                <w:bCs/>
                <w:color w:val="000000" w:themeColor="text1"/>
                <w:sz w:val="21"/>
                <w:szCs w:val="21"/>
                <w:highlight w:val="none"/>
                <w14:textFill>
                  <w14:solidFill>
                    <w14:schemeClr w14:val="tx1"/>
                  </w14:solidFill>
                </w14:textFill>
              </w:rPr>
              <w:t>自行考察。</w:t>
            </w:r>
          </w:p>
          <w:p>
            <w:p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统一组织</w:t>
            </w:r>
          </w:p>
          <w:p>
            <w:pPr>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时间：</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日</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时</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分</w:t>
            </w:r>
          </w:p>
          <w:p>
            <w:pPr>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地点：</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pPr>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现场考察联系人及联系电话：</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pPr>
              <w:pStyle w:val="328"/>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备注：如投标人未参加采购人统一组织的现场考察，视同放弃现场考察，由此引起的一切责任由投标人自行承担。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89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w:t>
            </w:r>
          </w:p>
        </w:tc>
        <w:tc>
          <w:tcPr>
            <w:tcW w:w="1806"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资格要求响应文件的组成</w:t>
            </w:r>
          </w:p>
        </w:tc>
        <w:tc>
          <w:tcPr>
            <w:tcW w:w="5497"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1.投标人资格声明函</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2.法人或者其他组织的营业执照等登记证明文件复印件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892" w:type="dxa"/>
            <w:vMerge w:val="continue"/>
            <w:tcBorders>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06"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商务技术文件的组成</w:t>
            </w:r>
          </w:p>
        </w:tc>
        <w:tc>
          <w:tcPr>
            <w:tcW w:w="5497"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1.投标函；</w:t>
            </w:r>
          </w:p>
          <w:p>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法定代表人</w:t>
            </w:r>
            <w:r>
              <w:rPr>
                <w:rFonts w:hint="eastAsia" w:ascii="宋体" w:hAnsi="宋体" w:eastAsia="宋体" w:cs="宋体"/>
                <w:color w:val="000000" w:themeColor="text1"/>
                <w:sz w:val="21"/>
                <w:szCs w:val="21"/>
                <w:highlight w:val="none"/>
                <w:lang w:eastAsia="zh-CN"/>
                <w14:textFill>
                  <w14:solidFill>
                    <w14:schemeClr w14:val="tx1"/>
                  </w14:solidFill>
                </w14:textFill>
              </w:rPr>
              <w:t>身份证复印件（双面）或</w:t>
            </w:r>
            <w:r>
              <w:rPr>
                <w:rFonts w:hint="eastAsia" w:ascii="宋体" w:hAnsi="宋体" w:eastAsia="宋体" w:cs="宋体"/>
                <w:color w:val="000000" w:themeColor="text1"/>
                <w:sz w:val="21"/>
                <w:szCs w:val="21"/>
                <w:highlight w:val="none"/>
                <w:lang w:eastAsia="zh-CN"/>
                <w14:textFill>
                  <w14:solidFill>
                    <w14:schemeClr w14:val="tx1"/>
                  </w14:solidFill>
                </w14:textFill>
              </w:rPr>
              <w:t>法定代表人</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授权委托书及其附件；</w:t>
            </w:r>
          </w:p>
          <w:p>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3.采购需求响应表；</w:t>
            </w:r>
          </w:p>
          <w:p>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4.合同要求响应表；</w:t>
            </w:r>
          </w:p>
          <w:p>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.项目实施人员情况表；</w:t>
            </w:r>
          </w:p>
          <w:p>
            <w:pP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.类似项目业绩一览表；</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.服务方案等与项目评审及履行合同有关的其他资料。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892" w:type="dxa"/>
            <w:vMerge w:val="continue"/>
            <w:tcBorders>
              <w:left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06"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报价要求响应文件的组成</w:t>
            </w:r>
          </w:p>
        </w:tc>
        <w:tc>
          <w:tcPr>
            <w:tcW w:w="5497"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1.开标一览表；</w:t>
            </w:r>
          </w:p>
          <w:p>
            <w:pPr>
              <w:rPr>
                <w:rFonts w:hint="eastAsia" w:ascii="宋体" w:hAnsi="宋体" w:eastAsia="宋体" w:cs="宋体"/>
                <w:color w:val="000000" w:themeColor="text1"/>
                <w:kern w:val="2"/>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2.投标</w:t>
            </w:r>
            <w:r>
              <w:rPr>
                <w:rFonts w:hint="eastAsia" w:ascii="宋体" w:hAnsi="宋体" w:eastAsia="宋体" w:cs="宋体"/>
                <w:color w:val="000000" w:themeColor="text1"/>
                <w:kern w:val="2"/>
                <w:sz w:val="21"/>
                <w:szCs w:val="21"/>
                <w:highlight w:val="none"/>
                <w14:textFill>
                  <w14:solidFill>
                    <w14:schemeClr w14:val="tx1"/>
                  </w14:solidFill>
                </w14:textFill>
              </w:rPr>
              <w:t>报价组成明细表</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p>
          <w:p>
            <w:pPr>
              <w:rPr>
                <w:rFonts w:hint="eastAsia" w:ascii="宋体" w:hAnsi="宋体" w:eastAsia="宋体" w:cs="宋体"/>
                <w:sz w:val="21"/>
                <w:szCs w:val="21"/>
                <w:highlight w:val="none"/>
                <w:lang w:eastAsia="zh-CN"/>
              </w:rPr>
            </w:pPr>
            <w:r>
              <w:rPr>
                <w:rFonts w:hint="eastAsia" w:ascii="宋体" w:hAnsi="宋体" w:eastAsia="宋体" w:cs="宋体"/>
                <w:color w:val="000000" w:themeColor="text1"/>
                <w:kern w:val="2"/>
                <w:sz w:val="21"/>
                <w:szCs w:val="21"/>
                <w:highlight w:val="none"/>
                <w14:textFill>
                  <w14:solidFill>
                    <w14:schemeClr w14:val="tx1"/>
                  </w14:solidFill>
                </w14:textFill>
              </w:rPr>
              <w:t>3.中小企业声明函或残疾人福利性单位声明函或监狱企业证明文件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26.1</w:t>
            </w:r>
          </w:p>
        </w:tc>
        <w:tc>
          <w:tcPr>
            <w:tcW w:w="18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549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29.1</w:t>
            </w:r>
          </w:p>
        </w:tc>
        <w:tc>
          <w:tcPr>
            <w:tcW w:w="1806"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投标截止时间及地点</w:t>
            </w:r>
          </w:p>
        </w:tc>
        <w:tc>
          <w:tcPr>
            <w:tcW w:w="5497"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w:t>
            </w:r>
            <w:r>
              <w:rPr>
                <w:rFonts w:hint="eastAsia" w:ascii="宋体" w:hAnsi="宋体" w:eastAsia="宋体" w:cs="宋体"/>
                <w:bCs/>
                <w:color w:val="000000" w:themeColor="text1"/>
                <w:sz w:val="21"/>
                <w:szCs w:val="21"/>
                <w:highlight w:val="none"/>
                <w:u w:val="single"/>
                <w14:textFill>
                  <w14:solidFill>
                    <w14:schemeClr w14:val="tx1"/>
                  </w14:solidFill>
                </w14:textFill>
              </w:rPr>
              <w:t>招标公告（投标邀请）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31.2</w:t>
            </w:r>
          </w:p>
        </w:tc>
        <w:tc>
          <w:tcPr>
            <w:tcW w:w="1806"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投标文件解密时间</w:t>
            </w:r>
          </w:p>
        </w:tc>
        <w:tc>
          <w:tcPr>
            <w:tcW w:w="5497"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开标后30分钟内（以电子交易系统解密倒计时为准）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35.2</w:t>
            </w:r>
          </w:p>
        </w:tc>
        <w:tc>
          <w:tcPr>
            <w:tcW w:w="1806"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评标方法</w:t>
            </w:r>
          </w:p>
        </w:tc>
        <w:tc>
          <w:tcPr>
            <w:tcW w:w="5497"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□最低评标价法</w:t>
            </w:r>
          </w:p>
          <w:p>
            <w:pPr>
              <w:pStyle w:val="328"/>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F0FE"/>
            </w:r>
            <w:r>
              <w:rPr>
                <w:rFonts w:hint="eastAsia" w:ascii="宋体" w:hAnsi="宋体" w:eastAsia="宋体" w:cs="宋体"/>
                <w:color w:val="000000" w:themeColor="text1"/>
                <w:sz w:val="21"/>
                <w:szCs w:val="21"/>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38</w:t>
            </w:r>
          </w:p>
        </w:tc>
        <w:tc>
          <w:tcPr>
            <w:tcW w:w="1806"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中标候选人的数量</w:t>
            </w:r>
          </w:p>
        </w:tc>
        <w:tc>
          <w:tcPr>
            <w:tcW w:w="5497"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所有有效的投标人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40.1</w:t>
            </w:r>
          </w:p>
        </w:tc>
        <w:tc>
          <w:tcPr>
            <w:tcW w:w="1806"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中标人的确定</w:t>
            </w:r>
          </w:p>
        </w:tc>
        <w:tc>
          <w:tcPr>
            <w:tcW w:w="5497"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□采购人委托评标委员会确定</w:t>
            </w:r>
          </w:p>
          <w:p>
            <w:pPr>
              <w:pStyle w:val="328"/>
              <w:widowControl w:val="0"/>
              <w:spacing w:before="0" w:beforeAutospacing="0" w:afterAutospacing="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F0FE"/>
            </w:r>
            <w:r>
              <w:rPr>
                <w:rFonts w:hint="eastAsia" w:ascii="宋体" w:hAnsi="宋体" w:eastAsia="宋体" w:cs="宋体"/>
                <w:color w:val="000000" w:themeColor="text1"/>
                <w:sz w:val="21"/>
                <w:szCs w:val="21"/>
                <w:highlight w:val="none"/>
                <w14:textFill>
                  <w14:solidFill>
                    <w14:schemeClr w14:val="tx1"/>
                  </w14:solidFill>
                </w14:textFill>
              </w:rPr>
              <w:t>采购人确定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40.2</w:t>
            </w:r>
          </w:p>
        </w:tc>
        <w:tc>
          <w:tcPr>
            <w:tcW w:w="1806"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中标候选人并列的处理原则</w:t>
            </w:r>
          </w:p>
        </w:tc>
        <w:tc>
          <w:tcPr>
            <w:tcW w:w="5497" w:type="dxa"/>
            <w:tcBorders>
              <w:top w:val="single" w:color="auto" w:sz="4" w:space="0"/>
              <w:left w:val="single" w:color="auto" w:sz="4" w:space="0"/>
              <w:bottom w:val="single" w:color="auto" w:sz="4" w:space="0"/>
              <w:right w:val="single" w:color="auto" w:sz="4" w:space="0"/>
            </w:tcBorders>
            <w:vAlign w:val="center"/>
          </w:tcPr>
          <w:p>
            <w:pPr>
              <w:pStyle w:val="328"/>
              <w:widowControl w:val="0"/>
              <w:spacing w:before="0" w:beforeAutospacing="0" w:afterAutospacing="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本项目采用综合评分法，采取</w:t>
            </w:r>
            <w:r>
              <w:rPr>
                <w:rFonts w:hint="eastAsia" w:ascii="宋体" w:hAnsi="宋体" w:eastAsia="宋体" w:cs="宋体"/>
                <w:color w:val="000000" w:themeColor="text1"/>
                <w:sz w:val="21"/>
                <w:szCs w:val="21"/>
                <w:highlight w:val="none"/>
                <w:u w:val="single"/>
                <w14:textFill>
                  <w14:solidFill>
                    <w14:schemeClr w14:val="tx1"/>
                  </w14:solidFill>
                </w14:textFill>
              </w:rPr>
              <w:t>由并列的供应商随机抽取的</w:t>
            </w:r>
            <w:r>
              <w:rPr>
                <w:rFonts w:hint="eastAsia" w:ascii="宋体" w:hAnsi="宋体" w:eastAsia="宋体" w:cs="宋体"/>
                <w:color w:val="000000" w:themeColor="text1"/>
                <w:sz w:val="21"/>
                <w:szCs w:val="21"/>
                <w:highlight w:val="none"/>
                <w14:textFill>
                  <w14:solidFill>
                    <w14:schemeClr w14:val="tx1"/>
                  </w14:solidFill>
                </w14:textFill>
              </w:rPr>
              <w:t>方式确定中标候选顺序。</w:t>
            </w:r>
          </w:p>
        </w:tc>
      </w:tr>
    </w:tbl>
    <w:p>
      <w:pPr>
        <w:spacing w:line="360" w:lineRule="auto"/>
        <w:rPr>
          <w:rFonts w:hint="eastAsia" w:ascii="宋体" w:hAnsi="宋体" w:eastAsia="宋体" w:cs="宋体"/>
          <w:b/>
          <w:color w:val="000000" w:themeColor="text1"/>
          <w:szCs w:val="21"/>
          <w:highlight w:val="none"/>
          <w14:textFill>
            <w14:solidFill>
              <w14:schemeClr w14:val="tx1"/>
            </w14:solidFill>
          </w14:textFill>
        </w:rPr>
      </w:pPr>
    </w:p>
    <w:p>
      <w:pPr>
        <w:pStyle w:val="14"/>
        <w:widowControl w:val="0"/>
        <w:numPr>
          <w:ilvl w:val="0"/>
          <w:numId w:val="0"/>
        </w:numPr>
        <w:tabs>
          <w:tab w:val="clear" w:pos="454"/>
        </w:tabs>
        <w:snapToGrid w:val="0"/>
        <w:spacing w:afterLines="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br w:type="page"/>
      </w:r>
      <w:r>
        <w:rPr>
          <w:rFonts w:hint="eastAsia" w:ascii="宋体" w:hAnsi="宋体" w:eastAsia="宋体" w:cs="宋体"/>
          <w:b/>
          <w:color w:val="000000" w:themeColor="text1"/>
          <w:sz w:val="21"/>
          <w:szCs w:val="21"/>
          <w:highlight w:val="none"/>
          <w14:textFill>
            <w14:solidFill>
              <w14:schemeClr w14:val="tx1"/>
            </w14:solidFill>
          </w14:textFill>
        </w:rPr>
        <w:t>一、总则</w:t>
      </w:r>
    </w:p>
    <w:p>
      <w:pPr>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1.适用范围</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本招标文件适用于本次公开招标所述的服务采购。</w:t>
      </w:r>
    </w:p>
    <w:p>
      <w:pPr>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2.定义</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2.1书面形式：包括信件、电报、电传、传真等可以有形地表现所载内容的形式。以电子数据交换、电子邮件等方式能够有形地表现所载内容，并可以随时调取查用的数据电文，视为书面形式。</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2.2实质性条款：标注“▲”的属于招标文件的实质性要求条款。</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2.3公章:投标人在投标文件及通知等事项的书面文件中的单位盖章、公章等处，均仅指与投标当事人名称全称相一致的标准公章（行政章），不得使用其它形式，如带有“专用章”“业务章”等字样的印章。</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2.4电子签章：为投标人单位法定名称电子公章。</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2.5依法获取招标文件：供应商按照</w:t>
      </w:r>
      <w:r>
        <w:rPr>
          <w:rFonts w:hint="eastAsia" w:ascii="宋体" w:hAnsi="宋体" w:eastAsia="宋体" w:cs="宋体"/>
          <w:bCs/>
          <w:color w:val="000000" w:themeColor="text1"/>
          <w:szCs w:val="21"/>
          <w:highlight w:val="none"/>
          <w:u w:val="single"/>
          <w14:textFill>
            <w14:solidFill>
              <w14:schemeClr w14:val="tx1"/>
            </w14:solidFill>
          </w14:textFill>
        </w:rPr>
        <w:t>招标公告（投标邀请）</w:t>
      </w:r>
      <w:r>
        <w:rPr>
          <w:rFonts w:hint="eastAsia" w:ascii="宋体" w:hAnsi="宋体" w:eastAsia="宋体" w:cs="宋体"/>
          <w:bCs/>
          <w:color w:val="000000" w:themeColor="text1"/>
          <w:szCs w:val="21"/>
          <w:highlight w:val="none"/>
          <w14:textFill>
            <w14:solidFill>
              <w14:schemeClr w14:val="tx1"/>
            </w14:solidFill>
          </w14:textFill>
        </w:rPr>
        <w:t>第三条的约定实施，并最终在</w:t>
      </w:r>
      <w:r>
        <w:rPr>
          <w:rFonts w:hint="eastAsia" w:ascii="宋体" w:hAnsi="宋体" w:eastAsia="宋体" w:cs="宋体"/>
          <w:color w:val="000000" w:themeColor="text1"/>
          <w:highlight w:val="none"/>
          <w14:textFill>
            <w14:solidFill>
              <w14:schemeClr w14:val="tx1"/>
            </w14:solidFill>
          </w14:textFill>
        </w:rPr>
        <w:t>政采云平台系统后台显示通过。</w:t>
      </w:r>
    </w:p>
    <w:p>
      <w:pPr>
        <w:spacing w:line="360" w:lineRule="auto"/>
        <w:ind w:firstLine="437"/>
        <w:outlineLvl w:val="3"/>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3.采购人、采购代理机构及投标人</w:t>
      </w:r>
    </w:p>
    <w:p>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3.1采购人：是指依法开展政府采购活动的国家机关、事业单位、团体组织。本项目的采购人见</w:t>
      </w:r>
      <w:r>
        <w:rPr>
          <w:rFonts w:hint="eastAsia" w:ascii="宋体" w:hAnsi="宋体" w:eastAsia="宋体" w:cs="宋体"/>
          <w:color w:val="000000" w:themeColor="text1"/>
          <w:szCs w:val="21"/>
          <w:highlight w:val="none"/>
          <w:u w:val="single"/>
          <w14:textFill>
            <w14:solidFill>
              <w14:schemeClr w14:val="tx1"/>
            </w14:solidFill>
          </w14:textFill>
        </w:rPr>
        <w:t>投标人须知前附表</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3.2采购代理机构：是指从事采购代理业务的社会中介机构。本项目的采购代理机构见</w:t>
      </w:r>
      <w:r>
        <w:rPr>
          <w:rFonts w:hint="eastAsia" w:ascii="宋体" w:hAnsi="宋体" w:eastAsia="宋体" w:cs="宋体"/>
          <w:color w:val="000000" w:themeColor="text1"/>
          <w:szCs w:val="21"/>
          <w:highlight w:val="none"/>
          <w:u w:val="single"/>
          <w14:textFill>
            <w14:solidFill>
              <w14:schemeClr w14:val="tx1"/>
            </w14:solidFill>
          </w14:textFill>
        </w:rPr>
        <w:t>投标人须知前附表</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3.3政府采购监督管理部门：各级人民政府指定的有关部门依法履行与政府采购活动有关的监督管理职责。本项目的政府采购监督管理部门见</w:t>
      </w:r>
      <w:r>
        <w:rPr>
          <w:rFonts w:hint="eastAsia" w:ascii="宋体" w:hAnsi="宋体" w:eastAsia="宋体" w:cs="宋体"/>
          <w:color w:val="000000" w:themeColor="text1"/>
          <w:szCs w:val="21"/>
          <w:highlight w:val="none"/>
          <w:u w:val="single"/>
          <w14:textFill>
            <w14:solidFill>
              <w14:schemeClr w14:val="tx1"/>
            </w14:solidFill>
          </w14:textFill>
        </w:rPr>
        <w:t>投标人须知前附表</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3.4投标人（供应商）：是指向采购人提供服务、货物或者工程的法人、其他组织或者自然人。本项目的投标人须满足</w:t>
      </w:r>
      <w:r>
        <w:rPr>
          <w:rFonts w:hint="eastAsia" w:ascii="宋体" w:hAnsi="宋体" w:eastAsia="宋体" w:cs="宋体"/>
          <w:color w:val="000000" w:themeColor="text1"/>
          <w:szCs w:val="21"/>
          <w:highlight w:val="none"/>
          <w:u w:val="single"/>
          <w14:textFill>
            <w14:solidFill>
              <w14:schemeClr w14:val="tx1"/>
            </w14:solidFill>
          </w14:textFill>
        </w:rPr>
        <w:t>招标公告（投标邀请）</w:t>
      </w:r>
      <w:r>
        <w:rPr>
          <w:rFonts w:hint="eastAsia" w:ascii="宋体" w:hAnsi="宋体" w:eastAsia="宋体" w:cs="宋体"/>
          <w:color w:val="000000" w:themeColor="text1"/>
          <w:szCs w:val="21"/>
          <w:highlight w:val="none"/>
          <w14:textFill>
            <w14:solidFill>
              <w14:schemeClr w14:val="tx1"/>
            </w14:solidFill>
          </w14:textFill>
        </w:rPr>
        <w:t>中关于申请人的资格要求的规定。</w:t>
      </w:r>
    </w:p>
    <w:p>
      <w:pPr>
        <w:spacing w:line="360" w:lineRule="auto"/>
        <w:ind w:firstLine="435"/>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3.5本项目不接受联合体投标。</w:t>
      </w:r>
    </w:p>
    <w:p>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3.6单位负责人为同一人或者存在直接控股、管理关系的不同供应商，不得参加同一合同项下的政府采购活动。否则其投标将被认定为</w:t>
      </w:r>
      <w:r>
        <w:rPr>
          <w:rFonts w:hint="eastAsia" w:ascii="宋体" w:hAnsi="宋体" w:eastAsia="宋体" w:cs="宋体"/>
          <w:b/>
          <w:bCs/>
          <w:color w:val="000000" w:themeColor="text1"/>
          <w:szCs w:val="21"/>
          <w:highlight w:val="none"/>
          <w14:textFill>
            <w14:solidFill>
              <w14:schemeClr w14:val="tx1"/>
            </w14:solidFill>
          </w14:textFill>
        </w:rPr>
        <w:t>投标无效</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3.7为本项目提供过整体设计、规范编制或者项目管理、监理、检测等服务的供应商，不得再参加本项目的采购活动。</w:t>
      </w:r>
      <w:bookmarkStart w:id="40" w:name="_Hlk13431092"/>
      <w:r>
        <w:rPr>
          <w:rFonts w:hint="eastAsia" w:ascii="宋体" w:hAnsi="宋体" w:eastAsia="宋体" w:cs="宋体"/>
          <w:color w:val="000000" w:themeColor="text1"/>
          <w:szCs w:val="21"/>
          <w:highlight w:val="none"/>
          <w14:textFill>
            <w14:solidFill>
              <w14:schemeClr w14:val="tx1"/>
            </w14:solidFill>
          </w14:textFill>
        </w:rPr>
        <w:t>否则其投标将被认定为</w:t>
      </w:r>
      <w:r>
        <w:rPr>
          <w:rFonts w:hint="eastAsia" w:ascii="宋体" w:hAnsi="宋体" w:eastAsia="宋体" w:cs="宋体"/>
          <w:b/>
          <w:color w:val="000000" w:themeColor="text1"/>
          <w:szCs w:val="21"/>
          <w:highlight w:val="none"/>
          <w14:textFill>
            <w14:solidFill>
              <w14:schemeClr w14:val="tx1"/>
            </w14:solidFill>
          </w14:textFill>
        </w:rPr>
        <w:t>投标无效</w:t>
      </w:r>
      <w:r>
        <w:rPr>
          <w:rFonts w:hint="eastAsia" w:ascii="宋体" w:hAnsi="宋体" w:eastAsia="宋体" w:cs="宋体"/>
          <w:color w:val="000000" w:themeColor="text1"/>
          <w:szCs w:val="21"/>
          <w:highlight w:val="none"/>
          <w14:textFill>
            <w14:solidFill>
              <w14:schemeClr w14:val="tx1"/>
            </w14:solidFill>
          </w14:textFill>
        </w:rPr>
        <w:t>。</w:t>
      </w:r>
      <w:bookmarkEnd w:id="40"/>
    </w:p>
    <w:p>
      <w:pPr>
        <w:spacing w:line="360" w:lineRule="auto"/>
        <w:ind w:firstLine="435"/>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3.8关于分公司投标：除银行、保险、石油石化、电力、电信等特殊行业外，法人的分支机构由于不能独立承担民事责任，不能以分支机构的身份参加政府采购，只能以法人身份参加。</w:t>
      </w:r>
    </w:p>
    <w:p>
      <w:pPr>
        <w:spacing w:line="360" w:lineRule="auto"/>
        <w:ind w:firstLine="435"/>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4.资金来源</w:t>
      </w:r>
    </w:p>
    <w:p>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4.1本项目的采购人已获得足以支付本次招标后所签订的合同项下的资金。</w:t>
      </w:r>
    </w:p>
    <w:p>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bookmarkStart w:id="41" w:name="_Hlk11702998"/>
      <w:r>
        <w:rPr>
          <w:rFonts w:hint="eastAsia" w:ascii="宋体" w:hAnsi="宋体" w:eastAsia="宋体" w:cs="宋体"/>
          <w:color w:val="000000" w:themeColor="text1"/>
          <w:szCs w:val="21"/>
          <w:highlight w:val="none"/>
          <w14:textFill>
            <w14:solidFill>
              <w14:schemeClr w14:val="tx1"/>
            </w14:solidFill>
          </w14:textFill>
        </w:rPr>
        <w:t>4.2项目预算金额和各标项最高限价见</w:t>
      </w:r>
      <w:r>
        <w:rPr>
          <w:rFonts w:hint="eastAsia" w:ascii="宋体" w:hAnsi="宋体" w:eastAsia="宋体" w:cs="宋体"/>
          <w:bCs/>
          <w:color w:val="000000" w:themeColor="text1"/>
          <w:kern w:val="0"/>
          <w:szCs w:val="21"/>
          <w:highlight w:val="none"/>
          <w:u w:val="single"/>
          <w14:textFill>
            <w14:solidFill>
              <w14:schemeClr w14:val="tx1"/>
            </w14:solidFill>
          </w14:textFill>
        </w:rPr>
        <w:t>招标公告（投标邀请）</w:t>
      </w:r>
      <w:r>
        <w:rPr>
          <w:rFonts w:hint="eastAsia" w:ascii="宋体" w:hAnsi="宋体" w:eastAsia="宋体" w:cs="宋体"/>
          <w:color w:val="000000" w:themeColor="text1"/>
          <w:szCs w:val="21"/>
          <w:highlight w:val="none"/>
          <w14:textFill>
            <w14:solidFill>
              <w14:schemeClr w14:val="tx1"/>
            </w14:solidFill>
          </w14:textFill>
        </w:rPr>
        <w:t>。</w:t>
      </w:r>
    </w:p>
    <w:bookmarkEnd w:id="41"/>
    <w:p>
      <w:pPr>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5.投标委托</w:t>
      </w:r>
    </w:p>
    <w:p>
      <w:pPr>
        <w:pStyle w:val="294"/>
        <w:widowControl w:val="0"/>
        <w:spacing w:afterLines="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投标文件的签署人为投标人的</w:t>
      </w:r>
      <w:r>
        <w:rPr>
          <w:rFonts w:hint="eastAsia" w:ascii="宋体" w:hAnsi="宋体" w:eastAsia="宋体" w:cs="宋体"/>
          <w:color w:val="000000" w:themeColor="text1"/>
          <w:sz w:val="21"/>
          <w:szCs w:val="21"/>
          <w:highlight w:val="none"/>
          <w:lang w:eastAsia="zh-CN"/>
          <w14:textFill>
            <w14:solidFill>
              <w14:schemeClr w14:val="tx1"/>
            </w14:solidFill>
          </w14:textFill>
        </w:rPr>
        <w:t>法定代表人</w:t>
      </w:r>
      <w:r>
        <w:rPr>
          <w:rFonts w:hint="eastAsia" w:ascii="宋体" w:hAnsi="宋体" w:eastAsia="宋体" w:cs="宋体"/>
          <w:color w:val="000000" w:themeColor="text1"/>
          <w:sz w:val="21"/>
          <w:szCs w:val="21"/>
          <w:highlight w:val="none"/>
          <w14:textFill>
            <w14:solidFill>
              <w14:schemeClr w14:val="tx1"/>
            </w14:solidFill>
          </w14:textFill>
        </w:rPr>
        <w:t>的，在投标文件中提供</w:t>
      </w:r>
      <w:r>
        <w:rPr>
          <w:rFonts w:hint="eastAsia" w:ascii="宋体" w:hAnsi="宋体" w:eastAsia="宋体" w:cs="宋体"/>
          <w:color w:val="000000" w:themeColor="text1"/>
          <w:sz w:val="21"/>
          <w:szCs w:val="21"/>
          <w:highlight w:val="none"/>
          <w:lang w:eastAsia="zh-CN"/>
          <w14:textFill>
            <w14:solidFill>
              <w14:schemeClr w14:val="tx1"/>
            </w14:solidFill>
          </w14:textFill>
        </w:rPr>
        <w:t>法定代表人</w:t>
      </w:r>
      <w:r>
        <w:rPr>
          <w:rFonts w:hint="eastAsia" w:ascii="宋体" w:hAnsi="宋体" w:eastAsia="宋体" w:cs="宋体"/>
          <w:color w:val="000000" w:themeColor="text1"/>
          <w:sz w:val="21"/>
          <w:szCs w:val="21"/>
          <w:highlight w:val="none"/>
          <w14:textFill>
            <w14:solidFill>
              <w14:schemeClr w14:val="tx1"/>
            </w14:solidFill>
          </w14:textFill>
        </w:rPr>
        <w:t>身份证正反面复印件。如投标人的</w:t>
      </w:r>
      <w:r>
        <w:rPr>
          <w:rFonts w:hint="eastAsia" w:ascii="宋体" w:hAnsi="宋体" w:eastAsia="宋体" w:cs="宋体"/>
          <w:color w:val="000000" w:themeColor="text1"/>
          <w:sz w:val="21"/>
          <w:szCs w:val="21"/>
          <w:highlight w:val="none"/>
          <w:lang w:eastAsia="zh-CN"/>
          <w14:textFill>
            <w14:solidFill>
              <w14:schemeClr w14:val="tx1"/>
            </w14:solidFill>
          </w14:textFill>
        </w:rPr>
        <w:t>法定代表人</w:t>
      </w:r>
      <w:r>
        <w:rPr>
          <w:rFonts w:hint="eastAsia" w:ascii="宋体" w:hAnsi="宋体" w:eastAsia="宋体" w:cs="宋体"/>
          <w:color w:val="000000" w:themeColor="text1"/>
          <w:sz w:val="21"/>
          <w:szCs w:val="21"/>
          <w:highlight w:val="none"/>
          <w14:textFill>
            <w14:solidFill>
              <w14:schemeClr w14:val="tx1"/>
            </w14:solidFill>
          </w14:textFill>
        </w:rPr>
        <w:t>委托他人签署投标文件办理投标事务的，投标文件中提供投标人的</w:t>
      </w:r>
      <w:r>
        <w:rPr>
          <w:rFonts w:hint="eastAsia" w:ascii="宋体" w:hAnsi="宋体" w:eastAsia="宋体" w:cs="宋体"/>
          <w:color w:val="000000" w:themeColor="text1"/>
          <w:sz w:val="21"/>
          <w:szCs w:val="21"/>
          <w:highlight w:val="none"/>
          <w:lang w:eastAsia="zh-CN"/>
          <w14:textFill>
            <w14:solidFill>
              <w14:schemeClr w14:val="tx1"/>
            </w14:solidFill>
          </w14:textFill>
        </w:rPr>
        <w:t>法定代表人</w:t>
      </w:r>
      <w:r>
        <w:rPr>
          <w:rFonts w:hint="eastAsia" w:ascii="宋体" w:hAnsi="宋体" w:eastAsia="宋体" w:cs="宋体"/>
          <w:color w:val="000000" w:themeColor="text1"/>
          <w:sz w:val="21"/>
          <w:szCs w:val="21"/>
          <w:highlight w:val="none"/>
          <w14:textFill>
            <w14:solidFill>
              <w14:schemeClr w14:val="tx1"/>
            </w14:solidFill>
          </w14:textFill>
        </w:rPr>
        <w:t>出具的授权委托书及授权代表的身份证正反面复印件，授权代表应当为投标人的在职员工，并在投标文件中提供投标人为其缴纳社保的证明材料。</w:t>
      </w:r>
    </w:p>
    <w:p>
      <w:pPr>
        <w:pStyle w:val="294"/>
        <w:widowControl w:val="0"/>
        <w:spacing w:afterLines="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根据政府采购相关法律、法规、规章、文件规定并满足招标文件规定资格条件的非法人组织参加本项目投标并由单位负责人签署的相关投标资料与招标文件规定由</w:t>
      </w:r>
      <w:r>
        <w:rPr>
          <w:rFonts w:hint="eastAsia" w:ascii="宋体" w:hAnsi="宋体" w:eastAsia="宋体" w:cs="宋体"/>
          <w:color w:val="000000" w:themeColor="text1"/>
          <w:sz w:val="21"/>
          <w:szCs w:val="21"/>
          <w:highlight w:val="none"/>
          <w:lang w:eastAsia="zh-CN"/>
          <w14:textFill>
            <w14:solidFill>
              <w14:schemeClr w14:val="tx1"/>
            </w14:solidFill>
          </w14:textFill>
        </w:rPr>
        <w:t>法定代表人</w:t>
      </w:r>
      <w:r>
        <w:rPr>
          <w:rFonts w:hint="eastAsia" w:ascii="宋体" w:hAnsi="宋体" w:eastAsia="宋体" w:cs="宋体"/>
          <w:color w:val="000000" w:themeColor="text1"/>
          <w:sz w:val="21"/>
          <w:szCs w:val="21"/>
          <w:highlight w:val="none"/>
          <w14:textFill>
            <w14:solidFill>
              <w14:schemeClr w14:val="tx1"/>
            </w14:solidFill>
          </w14:textFill>
        </w:rPr>
        <w:t>签署的的文件材料具有同等效力。</w:t>
      </w:r>
    </w:p>
    <w:p>
      <w:pPr>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6.投标费用</w:t>
      </w:r>
    </w:p>
    <w:p>
      <w:pPr>
        <w:pStyle w:val="294"/>
        <w:widowControl w:val="0"/>
        <w:spacing w:afterLines="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不论投标的结果如何，投标人自行承担所有与准备和参加投标有关的费用。</w:t>
      </w:r>
    </w:p>
    <w:p>
      <w:pPr>
        <w:spacing w:line="360" w:lineRule="auto"/>
        <w:ind w:firstLine="437"/>
        <w:outlineLvl w:val="3"/>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7.适用法律</w:t>
      </w:r>
    </w:p>
    <w:p>
      <w:pPr>
        <w:pStyle w:val="294"/>
        <w:widowControl w:val="0"/>
        <w:spacing w:afterLines="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8.知识产权</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应保证在本项目使用的任何产品（包括部分使用），不会产生因第三方提出侵犯其著作权、专利权、商标权等知识产权而引起法律或经济纠纷。如果任何第三方提出侵权指控，由投标人与该第三方交涉并承担由此发生的一切责任、费用和赔偿。</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投标人采用自身所不拥有的知识产权，无论是否在投标报价中单独列明，采购人均视为报价已包含投标人合法获取该知识产权的相关费用。</w:t>
      </w:r>
    </w:p>
    <w:p>
      <w:pPr>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9.转包与分包</w:t>
      </w:r>
    </w:p>
    <w:p>
      <w:pPr>
        <w:tabs>
          <w:tab w:val="left" w:pos="426"/>
        </w:tabs>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9.1本项目不允许转包和分包。</w:t>
      </w:r>
    </w:p>
    <w:p>
      <w:pPr>
        <w:tabs>
          <w:tab w:val="left" w:pos="426"/>
        </w:tabs>
        <w:snapToGrid w:val="0"/>
        <w:spacing w:line="360" w:lineRule="auto"/>
        <w:ind w:firstLine="422" w:firstLineChars="2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10.质疑和投诉</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供应商认为招标文件、招标过程和中标结果使自己的权益受到损害的，可以根据《中华人民共和国政府采购法》《中华人民共和国政府采购法实施条例》和《政府采购质疑和投诉办法》的有关规定，依法向采购人或采购代理机构提出质疑。</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10.2供应商应按《第七章  政府采购供应商质疑函及投诉书格式》提供的格式和《政府采购质疑和投诉办法》的要求，在法定质疑期内以书面形式提出质疑，超出法定质疑期提交的质疑将被拒绝。针对同一采购程序环节的质疑应一次性提出。</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10.3采购代理机构质疑函接收部门、联系电话和通讯地址，见</w:t>
      </w:r>
      <w:r>
        <w:rPr>
          <w:rFonts w:hint="eastAsia" w:ascii="宋体" w:hAnsi="宋体" w:eastAsia="宋体" w:cs="宋体"/>
          <w:color w:val="000000" w:themeColor="text1"/>
          <w:sz w:val="21"/>
          <w:szCs w:val="21"/>
          <w:highlight w:val="none"/>
          <w:u w:val="single"/>
          <w14:textFill>
            <w14:solidFill>
              <w14:schemeClr w14:val="tx1"/>
            </w14:solidFill>
          </w14:textFill>
        </w:rPr>
        <w:t>投标人须知前附表</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11.投标人信用记录查询及使用</w:t>
      </w:r>
    </w:p>
    <w:p>
      <w:pPr>
        <w:pStyle w:val="20"/>
        <w:snapToGrid w:val="0"/>
        <w:spacing w:after="0"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11.1信用信息查询渠道：“信用中国”网站（www.creditchina.gov.cn）、中国政府采购网（www.ccgp.gov.cn）。</w:t>
      </w:r>
    </w:p>
    <w:p>
      <w:pPr>
        <w:pStyle w:val="20"/>
        <w:snapToGrid w:val="0"/>
        <w:spacing w:after="0"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11.2信用信息查询截止时点：投标截止时间后至评审结束前。</w:t>
      </w:r>
    </w:p>
    <w:p>
      <w:pPr>
        <w:pStyle w:val="20"/>
        <w:snapToGrid w:val="0"/>
        <w:spacing w:after="0"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11.3信用信息查询记录和证据留存的具体方式：由采购代理机构工作人员将查询网页打印、签字并与其他采购文件一并存档备查。</w:t>
      </w:r>
    </w:p>
    <w:p>
      <w:pPr>
        <w:pStyle w:val="20"/>
        <w:snapToGrid w:val="0"/>
        <w:spacing w:after="0"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投标人不良信用记录以采购代理机构查询结果为准。</w:t>
      </w:r>
      <w:bookmarkStart w:id="42" w:name="_Hlk24663338"/>
      <w:r>
        <w:rPr>
          <w:rFonts w:hint="eastAsia" w:ascii="宋体" w:hAnsi="宋体" w:eastAsia="宋体" w:cs="宋体"/>
          <w:color w:val="000000" w:themeColor="text1"/>
          <w:sz w:val="21"/>
          <w:szCs w:val="21"/>
          <w:highlight w:val="none"/>
          <w14:textFill>
            <w14:solidFill>
              <w14:schemeClr w14:val="tx1"/>
            </w14:solidFill>
          </w14:textFill>
        </w:rPr>
        <w:t>在招标文件规定的查询时间之外，网站信息发生的任何变更均不作为资格审查依据。</w:t>
      </w:r>
      <w:bookmarkEnd w:id="42"/>
      <w:r>
        <w:rPr>
          <w:rFonts w:hint="eastAsia" w:ascii="宋体" w:hAnsi="宋体" w:eastAsia="宋体" w:cs="宋体"/>
          <w:color w:val="000000" w:themeColor="text1"/>
          <w:sz w:val="21"/>
          <w:szCs w:val="21"/>
          <w:highlight w:val="none"/>
          <w14:textFill>
            <w14:solidFill>
              <w14:schemeClr w14:val="tx1"/>
            </w14:solidFill>
          </w14:textFill>
        </w:rPr>
        <w:t>投标人自行提供的网站查询结果材料亦不作为资格审查依据。</w:t>
      </w:r>
    </w:p>
    <w:p>
      <w:pPr>
        <w:pStyle w:val="20"/>
        <w:snapToGrid w:val="0"/>
        <w:spacing w:after="0"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11.4信用信息的使用规则：投标人存在招标文件明确的不良信用记录的，其投标将被认定为</w:t>
      </w:r>
      <w:r>
        <w:rPr>
          <w:rFonts w:hint="eastAsia" w:ascii="宋体" w:hAnsi="宋体" w:eastAsia="宋体" w:cs="宋体"/>
          <w:b/>
          <w:color w:val="000000" w:themeColor="text1"/>
          <w:sz w:val="21"/>
          <w:szCs w:val="21"/>
          <w:highlight w:val="none"/>
          <w14:textFill>
            <w14:solidFill>
              <w14:schemeClr w14:val="tx1"/>
            </w14:solidFill>
          </w14:textFill>
        </w:rPr>
        <w:t>投标无效</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12.政府采购信息发布媒体</w:t>
      </w:r>
    </w:p>
    <w:p>
      <w:pPr>
        <w:pStyle w:val="20"/>
        <w:snapToGrid w:val="0"/>
        <w:spacing w:after="0" w:line="360" w:lineRule="auto"/>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本项目政府采购信息发布在</w:t>
      </w:r>
      <w:r>
        <w:rPr>
          <w:rFonts w:hint="eastAsia" w:ascii="宋体" w:hAnsi="宋体" w:eastAsia="宋体" w:cs="宋体"/>
          <w:bCs/>
          <w:color w:val="000000" w:themeColor="text1"/>
          <w:sz w:val="21"/>
          <w:szCs w:val="21"/>
          <w:highlight w:val="none"/>
          <w14:textFill>
            <w14:solidFill>
              <w14:schemeClr w14:val="tx1"/>
            </w14:solidFill>
          </w14:textFill>
        </w:rPr>
        <w:t>宁波政府采购网（http://www.nbzfcg.cn/）、浙江政府采购网（https://zfcg.czt.zj.gov.cn/）。</w:t>
      </w:r>
    </w:p>
    <w:p>
      <w:pPr>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13.采购代理服务费用的收取标准和方式</w:t>
      </w:r>
    </w:p>
    <w:p>
      <w:pPr>
        <w:pStyle w:val="20"/>
        <w:snapToGrid w:val="0"/>
        <w:spacing w:after="0"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13.1采购代理服务费用的收取标准：见</w:t>
      </w:r>
      <w:r>
        <w:rPr>
          <w:rFonts w:hint="eastAsia" w:ascii="宋体" w:hAnsi="宋体" w:eastAsia="宋体" w:cs="宋体"/>
          <w:color w:val="000000" w:themeColor="text1"/>
          <w:sz w:val="21"/>
          <w:szCs w:val="21"/>
          <w:highlight w:val="none"/>
          <w:u w:val="single"/>
          <w14:textFill>
            <w14:solidFill>
              <w14:schemeClr w14:val="tx1"/>
            </w14:solidFill>
          </w14:textFill>
        </w:rPr>
        <w:t>投标人须知前附表</w:t>
      </w:r>
      <w:r>
        <w:rPr>
          <w:rFonts w:hint="eastAsia" w:ascii="宋体" w:hAnsi="宋体" w:eastAsia="宋体" w:cs="宋体"/>
          <w:color w:val="000000" w:themeColor="text1"/>
          <w:sz w:val="21"/>
          <w:szCs w:val="21"/>
          <w:highlight w:val="none"/>
          <w14:textFill>
            <w14:solidFill>
              <w14:schemeClr w14:val="tx1"/>
            </w14:solidFill>
          </w14:textFill>
        </w:rPr>
        <w:t>。</w:t>
      </w:r>
    </w:p>
    <w:p>
      <w:pPr>
        <w:pStyle w:val="20"/>
        <w:snapToGrid w:val="0"/>
        <w:spacing w:after="0"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13.2采购代理服务费的支付：见</w:t>
      </w:r>
      <w:r>
        <w:rPr>
          <w:rFonts w:hint="eastAsia" w:ascii="宋体" w:hAnsi="宋体" w:eastAsia="宋体" w:cs="宋体"/>
          <w:color w:val="000000" w:themeColor="text1"/>
          <w:sz w:val="21"/>
          <w:szCs w:val="21"/>
          <w:highlight w:val="none"/>
          <w:u w:val="single"/>
          <w14:textFill>
            <w14:solidFill>
              <w14:schemeClr w14:val="tx1"/>
            </w14:solidFill>
          </w14:textFill>
        </w:rPr>
        <w:t>投标人须知前附表</w:t>
      </w:r>
      <w:r>
        <w:rPr>
          <w:rFonts w:hint="eastAsia" w:ascii="宋体" w:hAnsi="宋体" w:eastAsia="宋体" w:cs="宋体"/>
          <w:color w:val="000000" w:themeColor="text1"/>
          <w:sz w:val="21"/>
          <w:szCs w:val="21"/>
          <w:highlight w:val="none"/>
          <w14:textFill>
            <w14:solidFill>
              <w14:schemeClr w14:val="tx1"/>
            </w14:solidFill>
          </w14:textFill>
        </w:rPr>
        <w:t>。</w:t>
      </w:r>
    </w:p>
    <w:p>
      <w:pPr>
        <w:pStyle w:val="24"/>
        <w:snapToGrid w:val="0"/>
        <w:spacing w:beforeLines="0" w:afterLines="0"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14.其他</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14.1招标文件的标题和序号只是为了查阅方便，不影响对招标文件的理解。</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14.2投标人提交的投标文件针对招标文件同一条款出现不同表述（响应）的，在合同签订或履行中发现存在上述情形的，按照有利于采购人的标准执行。</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14.3招标文件要求携带原件备查的资料，如该资料可以通过互联网或者相关信息系统查询的，投标人能够当场提供账号、网址等进行查询、核实资料真伪及有关数据的，视同提供了原件。</w:t>
      </w:r>
    </w:p>
    <w:p>
      <w:pPr>
        <w:pStyle w:val="14"/>
        <w:widowControl w:val="0"/>
        <w:numPr>
          <w:ilvl w:val="0"/>
          <w:numId w:val="0"/>
        </w:numPr>
        <w:tabs>
          <w:tab w:val="clear" w:pos="454"/>
        </w:tabs>
        <w:snapToGrid w:val="0"/>
        <w:spacing w:afterLines="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二、招标文件</w:t>
      </w:r>
    </w:p>
    <w:p>
      <w:pPr>
        <w:pStyle w:val="24"/>
        <w:snapToGrid w:val="0"/>
        <w:spacing w:beforeLines="0" w:afterLines="0"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15.招标文件的编制依据与构成</w:t>
      </w:r>
    </w:p>
    <w:p>
      <w:pPr>
        <w:pStyle w:val="24"/>
        <w:snapToGrid w:val="0"/>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招标文件共七章。由下列文件以及在招标过程中发出的澄清或修改文件组成，内容如下：</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第一章  投标邀请</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第二章  商务要求</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第三章  采购需求</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第四章  投标人须知</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第五章  评标方法和标准</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第六章  合同文本</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第七章  投标文件格式</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第八章  政府采购供应商质疑函及投诉书范本</w:t>
      </w:r>
    </w:p>
    <w:p>
      <w:pPr>
        <w:pStyle w:val="14"/>
        <w:widowControl w:val="0"/>
        <w:numPr>
          <w:ilvl w:val="0"/>
          <w:numId w:val="0"/>
        </w:numPr>
        <w:tabs>
          <w:tab w:val="clear" w:pos="454"/>
        </w:tabs>
        <w:snapToGrid w:val="0"/>
        <w:spacing w:afterLines="0"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16.招标文件的询问、澄清和修改</w:t>
      </w:r>
    </w:p>
    <w:p>
      <w:pPr>
        <w:pStyle w:val="24"/>
        <w:snapToGrid w:val="0"/>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16.1询问</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投标人对招标文件有疑问，可以向</w:t>
      </w:r>
      <w:r>
        <w:rPr>
          <w:rFonts w:hint="eastAsia" w:ascii="宋体" w:hAnsi="宋体" w:eastAsia="宋体" w:cs="宋体"/>
          <w:color w:val="000000" w:themeColor="text1"/>
          <w:sz w:val="21"/>
          <w:szCs w:val="21"/>
          <w:highlight w:val="none"/>
          <w14:textFill>
            <w14:solidFill>
              <w14:schemeClr w14:val="tx1"/>
            </w14:solidFill>
          </w14:textFill>
        </w:rPr>
        <w:t>采购人或采购代理机构</w:t>
      </w:r>
      <w:r>
        <w:rPr>
          <w:rFonts w:hint="eastAsia" w:ascii="宋体" w:hAnsi="宋体" w:eastAsia="宋体" w:cs="宋体"/>
          <w:bCs/>
          <w:color w:val="000000" w:themeColor="text1"/>
          <w:sz w:val="21"/>
          <w:szCs w:val="21"/>
          <w:highlight w:val="none"/>
          <w14:textFill>
            <w14:solidFill>
              <w14:schemeClr w14:val="tx1"/>
            </w14:solidFill>
          </w14:textFill>
        </w:rPr>
        <w:t>询问，</w:t>
      </w:r>
      <w:r>
        <w:rPr>
          <w:rFonts w:hint="eastAsia" w:ascii="宋体" w:hAnsi="宋体" w:eastAsia="宋体" w:cs="宋体"/>
          <w:color w:val="000000" w:themeColor="text1"/>
          <w:sz w:val="21"/>
          <w:szCs w:val="21"/>
          <w:highlight w:val="none"/>
          <w14:textFill>
            <w14:solidFill>
              <w14:schemeClr w14:val="tx1"/>
            </w14:solidFill>
          </w14:textFill>
        </w:rPr>
        <w:t>采购人或采购代理机构将依法</w:t>
      </w:r>
      <w:r>
        <w:rPr>
          <w:rFonts w:hint="eastAsia" w:ascii="宋体" w:hAnsi="宋体" w:eastAsia="宋体" w:cs="宋体"/>
          <w:bCs/>
          <w:color w:val="000000" w:themeColor="text1"/>
          <w:sz w:val="21"/>
          <w:szCs w:val="21"/>
          <w:highlight w:val="none"/>
          <w14:textFill>
            <w14:solidFill>
              <w14:schemeClr w14:val="tx1"/>
            </w14:solidFill>
          </w14:textFill>
        </w:rPr>
        <w:t>对潜在投标人</w:t>
      </w:r>
      <w:r>
        <w:rPr>
          <w:rFonts w:hint="eastAsia" w:ascii="宋体" w:hAnsi="宋体" w:eastAsia="宋体" w:cs="宋体"/>
          <w:color w:val="000000" w:themeColor="text1"/>
          <w:sz w:val="21"/>
          <w:szCs w:val="21"/>
          <w:highlight w:val="none"/>
          <w14:textFill>
            <w14:solidFill>
              <w14:schemeClr w14:val="tx1"/>
            </w14:solidFill>
          </w14:textFill>
        </w:rPr>
        <w:t>的询问作出答复。</w:t>
      </w:r>
    </w:p>
    <w:p>
      <w:pPr>
        <w:pStyle w:val="24"/>
        <w:snapToGrid w:val="0"/>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16.2澄清和修改</w:t>
      </w:r>
    </w:p>
    <w:p>
      <w:pPr>
        <w:pStyle w:val="24"/>
        <w:snapToGrid w:val="0"/>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采购人或采购代理机构</w:t>
      </w:r>
      <w:r>
        <w:rPr>
          <w:rFonts w:hint="eastAsia" w:ascii="宋体" w:hAnsi="宋体" w:eastAsia="宋体" w:cs="宋体"/>
          <w:bCs/>
          <w:color w:val="000000" w:themeColor="text1"/>
          <w:sz w:val="21"/>
          <w:szCs w:val="21"/>
          <w:highlight w:val="none"/>
          <w14:textFill>
            <w14:solidFill>
              <w14:schemeClr w14:val="tx1"/>
            </w14:solidFill>
          </w14:textFill>
        </w:rPr>
        <w:t>可以主动地或在解答投标人提出的问题时对已发出的招标文件进行必要的澄清或者修改。澄清或者修改将在招标公告发布媒体发布更正公告，澄清或者修改的内容为招标文件的组成部分，对投标人起约束作用。</w:t>
      </w:r>
    </w:p>
    <w:p>
      <w:pPr>
        <w:pStyle w:val="24"/>
        <w:snapToGrid w:val="0"/>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（2）潜在投标人在收到书面形式通知后，认为澄清或者修改的内容影响投标文件编制的，应当在收到书面通知后及时将有关意见以书面形式向</w:t>
      </w:r>
      <w:r>
        <w:rPr>
          <w:rFonts w:hint="eastAsia" w:ascii="宋体" w:hAnsi="宋体" w:eastAsia="宋体" w:cs="宋体"/>
          <w:color w:val="000000" w:themeColor="text1"/>
          <w:sz w:val="21"/>
          <w:szCs w:val="21"/>
          <w:highlight w:val="none"/>
          <w14:textFill>
            <w14:solidFill>
              <w14:schemeClr w14:val="tx1"/>
            </w14:solidFill>
          </w14:textFill>
        </w:rPr>
        <w:t>采购人或采购代理机构</w:t>
      </w:r>
      <w:r>
        <w:rPr>
          <w:rFonts w:hint="eastAsia" w:ascii="宋体" w:hAnsi="宋体" w:eastAsia="宋体" w:cs="宋体"/>
          <w:bCs/>
          <w:color w:val="000000" w:themeColor="text1"/>
          <w:sz w:val="21"/>
          <w:szCs w:val="21"/>
          <w:highlight w:val="none"/>
          <w14:textFill>
            <w14:solidFill>
              <w14:schemeClr w14:val="tx1"/>
            </w14:solidFill>
          </w14:textFill>
        </w:rPr>
        <w:t>提出，否则，</w:t>
      </w:r>
      <w:r>
        <w:rPr>
          <w:rFonts w:hint="eastAsia" w:ascii="宋体" w:hAnsi="宋体" w:eastAsia="宋体" w:cs="宋体"/>
          <w:color w:val="000000" w:themeColor="text1"/>
          <w:sz w:val="21"/>
          <w:szCs w:val="21"/>
          <w:highlight w:val="none"/>
          <w14:textFill>
            <w14:solidFill>
              <w14:schemeClr w14:val="tx1"/>
            </w14:solidFill>
          </w14:textFill>
        </w:rPr>
        <w:t>采购人或采购代理机构</w:t>
      </w:r>
      <w:r>
        <w:rPr>
          <w:rFonts w:hint="eastAsia" w:ascii="宋体" w:hAnsi="宋体" w:eastAsia="宋体" w:cs="宋体"/>
          <w:bCs/>
          <w:color w:val="000000" w:themeColor="text1"/>
          <w:sz w:val="21"/>
          <w:szCs w:val="21"/>
          <w:highlight w:val="none"/>
          <w14:textFill>
            <w14:solidFill>
              <w14:schemeClr w14:val="tx1"/>
            </w14:solidFill>
          </w14:textFill>
        </w:rPr>
        <w:t>视为潜在投标人完全接受澄清或者修改的内容，且不影响投标文件编制。</w:t>
      </w:r>
    </w:p>
    <w:p>
      <w:pPr>
        <w:pStyle w:val="24"/>
        <w:snapToGrid w:val="0"/>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（3）潜在投标人要求澄清和回复的书面材料应当加盖单位公章并注明日期。</w:t>
      </w:r>
    </w:p>
    <w:p>
      <w:pPr>
        <w:pStyle w:val="24"/>
        <w:snapToGrid w:val="0"/>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（4）潜在投标人必须保证获取招标文件时所提供资料的真实和准确，并确保联系方式的畅通，否则，由此导致采购人或采购代理机构无法及时通知有关事项造成的后果由投标人自行承担。</w:t>
      </w:r>
    </w:p>
    <w:p>
      <w:pPr>
        <w:pStyle w:val="24"/>
        <w:snapToGrid w:val="0"/>
        <w:spacing w:beforeLines="0" w:afterLines="0"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17.现场考察及召开开标前答疑会</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17.1现场考察事项见</w:t>
      </w:r>
      <w:r>
        <w:rPr>
          <w:rFonts w:hint="eastAsia" w:ascii="宋体" w:hAnsi="宋体" w:eastAsia="宋体" w:cs="宋体"/>
          <w:color w:val="000000" w:themeColor="text1"/>
          <w:sz w:val="21"/>
          <w:szCs w:val="21"/>
          <w:highlight w:val="none"/>
          <w:u w:val="single"/>
          <w14:textFill>
            <w14:solidFill>
              <w14:schemeClr w14:val="tx1"/>
            </w14:solidFill>
          </w14:textFill>
        </w:rPr>
        <w:t>投标人须知前附表</w:t>
      </w:r>
      <w:r>
        <w:rPr>
          <w:rFonts w:hint="eastAsia" w:ascii="宋体" w:hAnsi="宋体" w:eastAsia="宋体" w:cs="宋体"/>
          <w:color w:val="000000" w:themeColor="text1"/>
          <w:sz w:val="21"/>
          <w:szCs w:val="21"/>
          <w:highlight w:val="none"/>
          <w14:textFill>
            <w14:solidFill>
              <w14:schemeClr w14:val="tx1"/>
            </w14:solidFill>
          </w14:textFill>
        </w:rPr>
        <w:t>。</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17.2潜在投标人应当在通知的时间准时参加现场考察，否则自行承担未及时参加造成的后果。除采购人的原因外，投标人自行负责现场考察造成的自身或第三人的人身伤害、财产损失或损坏的责任。</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17.3本项目不组织召开开标前答疑会。</w:t>
      </w:r>
    </w:p>
    <w:p>
      <w:pPr>
        <w:pStyle w:val="14"/>
        <w:widowControl w:val="0"/>
        <w:numPr>
          <w:ilvl w:val="0"/>
          <w:numId w:val="0"/>
        </w:numPr>
        <w:tabs>
          <w:tab w:val="clear" w:pos="454"/>
        </w:tabs>
        <w:snapToGrid w:val="0"/>
        <w:spacing w:afterLines="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三、投标文件的编制</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18.投标范围</w:t>
      </w:r>
    </w:p>
    <w:p>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18.1项目有多个标项，投标人可以对招标文件其中某一个或几个标项进行投标。</w:t>
      </w:r>
    </w:p>
    <w:p>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18.2投标人应当对所投标项的“采购需求”所列的全部内容进行投标，如仅响应所投标项中的部分内容，其对该标项的投标将被认定为</w:t>
      </w:r>
      <w:r>
        <w:rPr>
          <w:rFonts w:hint="eastAsia" w:ascii="宋体" w:hAnsi="宋体" w:eastAsia="宋体" w:cs="宋体"/>
          <w:b/>
          <w:color w:val="000000" w:themeColor="text1"/>
          <w:szCs w:val="21"/>
          <w:highlight w:val="none"/>
          <w14:textFill>
            <w14:solidFill>
              <w14:schemeClr w14:val="tx1"/>
            </w14:solidFill>
          </w14:textFill>
        </w:rPr>
        <w:t>投标无效</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19.投标文件中标准和计量单位的使用</w:t>
      </w:r>
    </w:p>
    <w:p>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bookmarkStart w:id="43" w:name="_Hlk16458980"/>
      <w:r>
        <w:rPr>
          <w:rFonts w:hint="eastAsia" w:ascii="宋体" w:hAnsi="宋体" w:eastAsia="宋体" w:cs="宋体"/>
          <w:color w:val="000000" w:themeColor="text1"/>
          <w:szCs w:val="21"/>
          <w:highlight w:val="none"/>
          <w14:textFill>
            <w14:solidFill>
              <w14:schemeClr w14:val="tx1"/>
            </w14:solidFill>
          </w14:textFill>
        </w:rPr>
        <w:t>19.1无论招标文件中是否要求，投标人所提供的服务及伴随的货物和工程均应符合国家强制性标准。</w:t>
      </w:r>
    </w:p>
    <w:bookmarkEnd w:id="43"/>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19.2投标人与采购人或采购代理机构之间与投标有关的所有往来通知、函件和投标文件均用中文表述。投标人随投标文件提供的证明文件和资料可以为其它语言（文字），但必须附中文译文，未提供中文译文的视为未提供。翻译的中文资料与外文资料出现差异时，以中文为准。</w:t>
      </w:r>
    </w:p>
    <w:p>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19.3除招标文件中有特殊要求外，投标文件中所使用的计量单位，应采用中华人民共和国法定计量单位。</w:t>
      </w:r>
    </w:p>
    <w:p>
      <w:pPr>
        <w:pStyle w:val="24"/>
        <w:snapToGrid w:val="0"/>
        <w:spacing w:beforeLines="0" w:afterLines="0"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20.投标文件的形式</w:t>
      </w:r>
    </w:p>
    <w:p>
      <w:pPr>
        <w:pStyle w:val="24"/>
        <w:snapToGrid w:val="0"/>
        <w:spacing w:beforeLines="0" w:afterLines="0"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本项目采用电子投标文件形式，分为电子加密投标文件和备份投标文件两种。</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20.1电子加密投标文件是指通过“政采云电子投标客户端”完成投标文件编制后生成并加密的数据电文形式的加密标书，后缀名为【.jmbs】。</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20.2备份投标文件是指与电子加密投标文件同时生成的数据电文形式的备份标书，后缀名为【.bfbs】。</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21.投标文件内容的构成</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21.1投标人编写的投标文件应包含资格要求响应文件、商务技术文件和报价要求响应文件。</w:t>
      </w:r>
    </w:p>
    <w:p>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上述各项文件的组成内容见</w:t>
      </w:r>
      <w:r>
        <w:rPr>
          <w:rFonts w:hint="eastAsia" w:ascii="宋体" w:hAnsi="宋体" w:eastAsia="宋体" w:cs="宋体"/>
          <w:color w:val="000000" w:themeColor="text1"/>
          <w:sz w:val="21"/>
          <w:szCs w:val="21"/>
          <w:highlight w:val="none"/>
          <w:u w:val="single"/>
          <w14:textFill>
            <w14:solidFill>
              <w14:schemeClr w14:val="tx1"/>
            </w14:solidFill>
          </w14:textFill>
        </w:rPr>
        <w:t>投标人须知前附表</w:t>
      </w:r>
      <w:r>
        <w:rPr>
          <w:rFonts w:hint="eastAsia" w:ascii="宋体" w:hAnsi="宋体" w:eastAsia="宋体" w:cs="宋体"/>
          <w:color w:val="000000" w:themeColor="text1"/>
          <w:sz w:val="21"/>
          <w:szCs w:val="21"/>
          <w:highlight w:val="none"/>
          <w14:textFill>
            <w14:solidFill>
              <w14:schemeClr w14:val="tx1"/>
            </w14:solidFill>
          </w14:textFill>
        </w:rPr>
        <w:t>，未列入其中的内容，投标人认为需要的可以自行提供相关材料。</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21.2招标文件明确要求在投标文件中附（提交）证明材料而投标人未在投标文件中提供的，不被认定为对具体条款作出响应。</w:t>
      </w:r>
      <w:r>
        <w:rPr>
          <w:rFonts w:hint="eastAsia" w:ascii="宋体" w:hAnsi="宋体" w:eastAsia="宋体" w:cs="宋体"/>
          <w:b/>
          <w:color w:val="000000" w:themeColor="text1"/>
          <w:szCs w:val="21"/>
          <w:highlight w:val="none"/>
          <w14:textFill>
            <w14:solidFill>
              <w14:schemeClr w14:val="tx1"/>
            </w14:solidFill>
          </w14:textFill>
        </w:rPr>
        <w:t>提供的合同等证明材料应当是完整无删减、无遮挡（盖）、页码连续的原始文件的复印件，否则因证明材料缺少评审所需的关键或必要的信息或因中间页码缺失导致无法有效认定造成不予认可的风险和责任由投标人自行承担。</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22.投标文件的制作</w:t>
      </w:r>
    </w:p>
    <w:p>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投标人应当安装“政采云电子投标客户端”，按照招标文件和政采云平台的要求编制并加密投标文件。投标文件的制作应满足以下规定：</w:t>
      </w:r>
    </w:p>
    <w:p>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（1）由投标人使用电子交易系统提供的投标文件制作工具制作生成。</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（2）投标人应完整地填写投标函、开标一览表等招标文件提供的格式文件，以及为响应招标文件的实质性要求及项目评审必须提供的其他材料。</w:t>
      </w:r>
    </w:p>
    <w:p>
      <w:pPr>
        <w:snapToGrid w:val="0"/>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注：投标人应准确设置评审关联定位，避免未设置或设置错误导致投标文件被误读、漏读或者查找不到相关内容。</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23.投标文件的签署及盖章</w:t>
      </w:r>
    </w:p>
    <w:p>
      <w:pPr>
        <w:snapToGrid w:val="0"/>
        <w:spacing w:line="360" w:lineRule="auto"/>
        <w:ind w:firstLine="420"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电子签章操作指南详见《政府采购项目电子交易管理操作指南-供应商》,</w:t>
      </w:r>
      <w:r>
        <w:rPr>
          <w:rFonts w:hint="eastAsia" w:ascii="宋体" w:hAnsi="宋体" w:eastAsia="宋体" w:cs="宋体"/>
          <w:b/>
          <w:color w:val="000000" w:themeColor="text1"/>
          <w:szCs w:val="21"/>
          <w:highlight w:val="none"/>
          <w14:textFill>
            <w14:solidFill>
              <w14:schemeClr w14:val="tx1"/>
            </w14:solidFill>
          </w14:textFill>
        </w:rPr>
        <w:t>系统要求进行电子签章的文件，按系统要求签章。</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（1）招标文件要求签字的应当由投标人的</w:t>
      </w:r>
      <w:r>
        <w:rPr>
          <w:rFonts w:hint="eastAsia" w:ascii="宋体" w:hAnsi="宋体" w:eastAsia="宋体" w:cs="宋体"/>
          <w:color w:val="000000" w:themeColor="text1"/>
          <w:szCs w:val="21"/>
          <w:highlight w:val="none"/>
          <w:lang w:eastAsia="zh-CN"/>
          <w14:textFill>
            <w14:solidFill>
              <w14:schemeClr w14:val="tx1"/>
            </w14:solidFill>
          </w14:textFill>
        </w:rPr>
        <w:t>法定代表人</w:t>
      </w:r>
      <w:r>
        <w:rPr>
          <w:rFonts w:hint="eastAsia" w:ascii="宋体" w:hAnsi="宋体" w:eastAsia="宋体" w:cs="宋体"/>
          <w:color w:val="000000" w:themeColor="text1"/>
          <w:szCs w:val="21"/>
          <w:highlight w:val="none"/>
          <w14:textFill>
            <w14:solidFill>
              <w14:schemeClr w14:val="tx1"/>
            </w14:solidFill>
          </w14:textFill>
        </w:rPr>
        <w:t>或经其正式授权的代表签字或盖章，</w:t>
      </w:r>
      <w:r>
        <w:rPr>
          <w:rFonts w:hint="eastAsia" w:ascii="宋体" w:hAnsi="宋体" w:eastAsia="宋体" w:cs="宋体"/>
          <w:b/>
          <w:color w:val="000000" w:themeColor="text1"/>
          <w:szCs w:val="21"/>
          <w:highlight w:val="none"/>
          <w14:textFill>
            <w14:solidFill>
              <w14:schemeClr w14:val="tx1"/>
            </w14:solidFill>
          </w14:textFill>
        </w:rPr>
        <w:t>因未获取电子姓名签章无法直接在系统中进行</w:t>
      </w:r>
      <w:r>
        <w:rPr>
          <w:rFonts w:hint="eastAsia" w:ascii="宋体" w:hAnsi="宋体" w:eastAsia="宋体" w:cs="宋体"/>
          <w:b/>
          <w:color w:val="000000" w:themeColor="text1"/>
          <w:szCs w:val="21"/>
          <w:highlight w:val="none"/>
          <w:lang w:eastAsia="zh-CN"/>
          <w14:textFill>
            <w14:solidFill>
              <w14:schemeClr w14:val="tx1"/>
            </w14:solidFill>
          </w14:textFill>
        </w:rPr>
        <w:t>法定代表人</w:t>
      </w:r>
      <w:r>
        <w:rPr>
          <w:rFonts w:hint="eastAsia" w:ascii="宋体" w:hAnsi="宋体" w:eastAsia="宋体" w:cs="宋体"/>
          <w:b/>
          <w:color w:val="000000" w:themeColor="text1"/>
          <w:szCs w:val="21"/>
          <w:highlight w:val="none"/>
          <w14:textFill>
            <w14:solidFill>
              <w14:schemeClr w14:val="tx1"/>
            </w14:solidFill>
          </w14:textFill>
        </w:rPr>
        <w:t>或其授权代表电子签名操作的，可以线下签字或盖章后扫描上传。</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（2）《第六章  投标文件格式》提供的相关文件要求加盖公章处，投标人均应加盖公章，</w:t>
      </w:r>
      <w:r>
        <w:rPr>
          <w:rFonts w:hint="eastAsia" w:ascii="宋体" w:hAnsi="宋体" w:eastAsia="宋体" w:cs="宋体"/>
          <w:color w:val="000000" w:themeColor="text1"/>
          <w:szCs w:val="21"/>
          <w:highlight w:val="none"/>
          <w14:textFill>
            <w14:solidFill>
              <w14:schemeClr w14:val="tx1"/>
            </w14:solidFill>
          </w14:textFill>
        </w:rPr>
        <w:t>可使用电子公章在线签章或线下加盖公章后扫描上传。</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（3）投标文件若有错、漏处等必须修改的，修改处应当加盖投标人公章或者由投标人的</w:t>
      </w:r>
      <w:r>
        <w:rPr>
          <w:rFonts w:hint="eastAsia" w:ascii="宋体" w:hAnsi="宋体" w:eastAsia="宋体" w:cs="宋体"/>
          <w:color w:val="000000" w:themeColor="text1"/>
          <w:szCs w:val="21"/>
          <w:highlight w:val="none"/>
          <w:lang w:eastAsia="zh-CN"/>
          <w14:textFill>
            <w14:solidFill>
              <w14:schemeClr w14:val="tx1"/>
            </w14:solidFill>
          </w14:textFill>
        </w:rPr>
        <w:t>法定代表人</w:t>
      </w:r>
      <w:r>
        <w:rPr>
          <w:rFonts w:hint="eastAsia" w:ascii="宋体" w:hAnsi="宋体" w:eastAsia="宋体" w:cs="宋体"/>
          <w:color w:val="000000" w:themeColor="text1"/>
          <w:szCs w:val="21"/>
          <w:highlight w:val="none"/>
          <w14:textFill>
            <w14:solidFill>
              <w14:schemeClr w14:val="tx1"/>
            </w14:solidFill>
          </w14:textFill>
        </w:rPr>
        <w:t>或其授权代表签字或盖章。</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24.投标报价要求</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24.1投标人的报价应当包括满足本次招标全部采购需求所要求提供的服务，以及伴随的货物（如有）。</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24.2投标人应在分项报价表上标明分项服务、伴随的货物的价格（如适用）和总价，未标明的视同包含在投标报价中。</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24.3投标报价及结算货币均为人民币，针对本项目的投标报价（包含分项报价）只允许有一个，不接受有选择的或有附加条件的投标报价（包含分项报价）。</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24.4</w:t>
      </w:r>
      <w:r>
        <w:rPr>
          <w:rFonts w:hint="eastAsia" w:ascii="宋体" w:hAnsi="宋体" w:eastAsia="宋体" w:cs="宋体"/>
          <w:b/>
          <w:color w:val="000000" w:themeColor="text1"/>
          <w:szCs w:val="21"/>
          <w:highlight w:val="none"/>
          <w14:textFill>
            <w14:solidFill>
              <w14:schemeClr w14:val="tx1"/>
            </w14:solidFill>
          </w14:textFill>
        </w:rPr>
        <w:t>投标报价（包含分项报价）不允许为0元（即赠送），采购人不予接受，其投标文件按照投标无效处理。</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25.投标保证金</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本项目无须投标人缴纳投标保证金。</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26.投标有效期</w:t>
      </w:r>
    </w:p>
    <w:p>
      <w:pPr>
        <w:pStyle w:val="24"/>
        <w:snapToGrid w:val="0"/>
        <w:spacing w:beforeLines="0" w:afterLines="0"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26.1投标有效期为从投标截止之日算起的日历天数，投标有效期见</w:t>
      </w:r>
      <w:r>
        <w:rPr>
          <w:rFonts w:hint="eastAsia" w:ascii="宋体" w:hAnsi="宋体" w:eastAsia="宋体" w:cs="宋体"/>
          <w:color w:val="000000" w:themeColor="text1"/>
          <w:sz w:val="21"/>
          <w:szCs w:val="21"/>
          <w:highlight w:val="none"/>
          <w:u w:val="single"/>
          <w14:textFill>
            <w14:solidFill>
              <w14:schemeClr w14:val="tx1"/>
            </w14:solidFill>
          </w14:textFill>
        </w:rPr>
        <w:t>投标人须知前附表</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3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26.2在投标有效期内，投标人的投标保持有效，投标人不得要求撤销或修改其投标文件。投标有效期不满足要求的投标，其投标将被认定为</w:t>
      </w:r>
      <w:r>
        <w:rPr>
          <w:rFonts w:hint="eastAsia" w:ascii="宋体" w:hAnsi="宋体" w:eastAsia="宋体" w:cs="宋体"/>
          <w:b/>
          <w:color w:val="000000" w:themeColor="text1"/>
          <w:kern w:val="0"/>
          <w:szCs w:val="21"/>
          <w:highlight w:val="none"/>
          <w14:textFill>
            <w14:solidFill>
              <w14:schemeClr w14:val="tx1"/>
            </w14:solidFill>
          </w14:textFill>
        </w:rPr>
        <w:t>投标无效</w:t>
      </w:r>
      <w:r>
        <w:rPr>
          <w:rFonts w:hint="eastAsia" w:ascii="宋体" w:hAnsi="宋体" w:eastAsia="宋体" w:cs="宋体"/>
          <w:color w:val="000000" w:themeColor="text1"/>
          <w:kern w:val="0"/>
          <w:szCs w:val="21"/>
          <w:highlight w:val="none"/>
          <w14:textFill>
            <w14:solidFill>
              <w14:schemeClr w14:val="tx1"/>
            </w14:solidFill>
          </w14:textFill>
        </w:rPr>
        <w:t>。</w:t>
      </w:r>
    </w:p>
    <w:p>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26.3因特殊原因，采购人或采购代理机构可在原投标有效期截止之前，要求投标人延长投标文件的有效期。接受该要求的投标人将不会被要求和允许修正其投标文件。投标人也可以拒绝延长投标有效期的要求，且不承担任何责任。上述要求和答复都以书面形式提交。</w:t>
      </w:r>
    </w:p>
    <w:p>
      <w:pPr>
        <w:pStyle w:val="14"/>
        <w:widowControl w:val="0"/>
        <w:numPr>
          <w:ilvl w:val="0"/>
          <w:numId w:val="0"/>
        </w:numPr>
        <w:tabs>
          <w:tab w:val="clear" w:pos="454"/>
        </w:tabs>
        <w:snapToGrid w:val="0"/>
        <w:spacing w:afterLines="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四、投标文件的提交</w:t>
      </w:r>
    </w:p>
    <w:p>
      <w:pPr>
        <w:pStyle w:val="24"/>
        <w:snapToGrid w:val="0"/>
        <w:spacing w:beforeLines="0" w:afterLines="0" w:line="360" w:lineRule="auto"/>
        <w:ind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27.电子加密投标文件的提交</w:t>
      </w:r>
    </w:p>
    <w:p>
      <w:pPr>
        <w:pStyle w:val="24"/>
        <w:snapToGrid w:val="0"/>
        <w:spacing w:beforeLines="0" w:afterLines="0"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投标人应当在投标截止时间前将电子加密投标文件上传至政采云平台，成功上传后，投标人可自行打印投标文件接收回执。</w:t>
      </w:r>
    </w:p>
    <w:p>
      <w:pPr>
        <w:pStyle w:val="24"/>
        <w:snapToGrid w:val="0"/>
        <w:spacing w:beforeLines="0" w:afterLines="0" w:line="360" w:lineRule="auto"/>
        <w:ind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28.备份投标文件的提交</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可以在投标截止时间前提交备份投标文件。备份投标文件的载体必须密封包装，密封包装应当清楚的标明项目名称、项目编号、投标人名称并加盖公章。采购人或采购代理机构拒绝接收未按照规定密封、标注、盖章的备份投标文件。</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29.投标截止时间及地点</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29.1投标截止时间及地点见</w:t>
      </w:r>
      <w:r>
        <w:rPr>
          <w:rFonts w:hint="eastAsia" w:ascii="宋体" w:hAnsi="宋体" w:eastAsia="宋体" w:cs="宋体"/>
          <w:color w:val="000000" w:themeColor="text1"/>
          <w:szCs w:val="21"/>
          <w:highlight w:val="none"/>
          <w:u w:val="single"/>
          <w14:textFill>
            <w14:solidFill>
              <w14:schemeClr w14:val="tx1"/>
            </w14:solidFill>
          </w14:textFill>
        </w:rPr>
        <w:t>招标公告（投标邀请）</w:t>
      </w:r>
      <w:r>
        <w:rPr>
          <w:rFonts w:hint="eastAsia" w:ascii="宋体" w:hAnsi="宋体" w:eastAsia="宋体" w:cs="宋体"/>
          <w:color w:val="000000" w:themeColor="text1"/>
          <w:szCs w:val="21"/>
          <w:highlight w:val="none"/>
          <w14:textFill>
            <w14:solidFill>
              <w14:schemeClr w14:val="tx1"/>
            </w14:solidFill>
          </w14:textFill>
        </w:rPr>
        <w:t>。</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29.2采购人或采购代理机构可以根据项目情况，推迟投标截止时间。在此情况下，采购人、采购代理机构和投标人受投标截止时间约束的所有权利和义务均应延长至新的截止时间。</w:t>
      </w:r>
    </w:p>
    <w:p>
      <w:pPr>
        <w:snapToGrid w:val="0"/>
        <w:spacing w:line="360" w:lineRule="auto"/>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30.投标文件的修改和撤回</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30.1投标人在投标截止时间前，可以对已经提交的投标文件进行补充、修改或者撤回。</w:t>
      </w:r>
    </w:p>
    <w:p>
      <w:pPr>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对已经完成传输递交的电子加密投标文件进行</w:t>
      </w:r>
      <w:r>
        <w:rPr>
          <w:rFonts w:hint="eastAsia" w:ascii="宋体" w:hAnsi="宋体" w:eastAsia="宋体" w:cs="宋体"/>
          <w:color w:val="000000" w:themeColor="text1"/>
          <w:kern w:val="0"/>
          <w:szCs w:val="21"/>
          <w:highlight w:val="none"/>
          <w14:textFill>
            <w14:solidFill>
              <w14:schemeClr w14:val="tx1"/>
            </w14:solidFill>
          </w14:textFill>
        </w:rPr>
        <w:t>补充或者修改的，应当先行撤回原文件，补充、修改后重新传输递交。投标人在投标截止时间前未重新完成传输递交的，</w:t>
      </w:r>
      <w:r>
        <w:rPr>
          <w:rFonts w:hint="eastAsia" w:ascii="宋体" w:hAnsi="宋体" w:eastAsia="宋体" w:cs="宋体"/>
          <w:b/>
          <w:color w:val="000000" w:themeColor="text1"/>
          <w:kern w:val="0"/>
          <w:szCs w:val="21"/>
          <w:highlight w:val="none"/>
          <w14:textFill>
            <w14:solidFill>
              <w14:schemeClr w14:val="tx1"/>
            </w14:solidFill>
          </w14:textFill>
        </w:rPr>
        <w:t>视为撤回投标文件</w:t>
      </w:r>
      <w:r>
        <w:rPr>
          <w:rFonts w:hint="eastAsia" w:ascii="宋体" w:hAnsi="宋体" w:eastAsia="宋体" w:cs="宋体"/>
          <w:color w:val="000000" w:themeColor="text1"/>
          <w:kern w:val="0"/>
          <w:szCs w:val="21"/>
          <w:highlight w:val="none"/>
          <w14:textFill>
            <w14:solidFill>
              <w14:schemeClr w14:val="tx1"/>
            </w14:solidFill>
          </w14:textFill>
        </w:rPr>
        <w:t>。投标截止时间后递交的电子加密投标文件，电子交易平台将拒收。</w:t>
      </w:r>
    </w:p>
    <w:p>
      <w:pPr>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30.2投标人在投标截止时间前递交了需要补充或修改的电子加密投标文件的备份投标文件的，可以重新提交补充或修改后的备份投标文件。</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30.3投标截止时间后，投标人不得对其投标文件进行补充、修改。</w:t>
      </w:r>
    </w:p>
    <w:p>
      <w:pPr>
        <w:pStyle w:val="14"/>
        <w:widowControl w:val="0"/>
        <w:numPr>
          <w:ilvl w:val="0"/>
          <w:numId w:val="0"/>
        </w:numPr>
        <w:tabs>
          <w:tab w:val="clear" w:pos="454"/>
        </w:tabs>
        <w:snapToGrid w:val="0"/>
        <w:spacing w:afterLines="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五、开标与评标</w:t>
      </w:r>
    </w:p>
    <w:p>
      <w:pPr>
        <w:snapToGrid w:val="0"/>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31.开标</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31.1采购代理机构按招标文件规定的时间通过电子交易平台组织公开开标，所有投标人均应当准时在线参加。</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31.2开标时，采购代理机构依托电子交易平台发起开始解密指令，各投标人应在30分钟内（以电子交易系统解密倒计时为准）对本单位的投标文件进行解密。</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31.3开标时，采购代理机构将通过网上开标系统公布开标结果，公布内容包括投标人名称、投标报价及招标文件规定的其他内容。</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31.4投标人如未在线参加开标的，视同认可开标结果，事后不得对开标结果提出异议。同时，投标人因未在线参加开标而导致电子加密投标文件无法按时解密等一切后果由投标人自行承担。</w:t>
      </w:r>
    </w:p>
    <w:p>
      <w:pPr>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31.5发生电子加密投标文件解密失败的情形，如投标人已按招标文件规定提交了备份投标文件，将由采购代理机构按政采云平台操作规范将备份投标文件上传至政采云平台异常端口处理，上传成功后，电子加密投标文件自动失效；使用备份文件仍无法成功或投标人</w:t>
      </w:r>
      <w:r>
        <w:rPr>
          <w:rFonts w:hint="eastAsia" w:ascii="宋体" w:hAnsi="宋体" w:eastAsia="宋体" w:cs="宋体"/>
          <w:color w:val="000000" w:themeColor="text1"/>
          <w:kern w:val="0"/>
          <w:szCs w:val="21"/>
          <w:highlight w:val="none"/>
          <w14:textFill>
            <w14:solidFill>
              <w14:schemeClr w14:val="tx1"/>
            </w14:solidFill>
          </w14:textFill>
        </w:rPr>
        <w:t>未按规定提交备份投标文件的</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视为撤回投标文件</w:t>
      </w:r>
      <w:r>
        <w:rPr>
          <w:rFonts w:hint="eastAsia" w:ascii="宋体" w:hAnsi="宋体" w:eastAsia="宋体" w:cs="宋体"/>
          <w:color w:val="000000" w:themeColor="text1"/>
          <w:szCs w:val="21"/>
          <w:highlight w:val="none"/>
          <w14:textFill>
            <w14:solidFill>
              <w14:schemeClr w14:val="tx1"/>
            </w14:solidFill>
          </w14:textFill>
        </w:rPr>
        <w:t>。</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电子加密投标文件已按时解密的，备份投标文件自动失效。</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31.6开标过程由采购代理机构负责记录，由参加开标的投标人代表和相关工作人员签字确认后随采购文件一并存档。</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投标人代表对开标过程和开标记录有疑义，以及认为采购人或采购代理机构相关工作人员有需要回避的情形的，应当场提出询问或者回避申请。</w:t>
      </w:r>
    </w:p>
    <w:p>
      <w:pPr>
        <w:snapToGrid w:val="0"/>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32.资格审查及组建评标委员会</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32.1开标结束后，采购人或采购代理机构依据法律法规和招标文件中规定的内容对投标人的资格进行审查，未通过资格审查的投标人不进入评标，通过资格审查的投标人不足3家的不得进行评标。</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32.2评标委员会由采购人代表和评审专家组成，成员为5人以上单数。</w:t>
      </w:r>
    </w:p>
    <w:p>
      <w:pPr>
        <w:snapToGrid w:val="0"/>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33.投标文件符合性审查与澄清</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33.1评标委员会负责对符合资格要求的投标人的投标文件进行符合性审查，以确定其是否满足招标文件的实质性要求。</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33.2对于投标文件中含义不明确、同类问题表述不一致或者有明显文字和计算错误的内容，以及评标委员会认为投标人的报价明显低于其他通过符合性审查投标人的报价，有可能</w:t>
      </w:r>
      <w:r>
        <w:rPr>
          <w:rFonts w:hint="eastAsia" w:ascii="宋体" w:hAnsi="宋体" w:eastAsia="宋体" w:cs="宋体"/>
          <w:color w:val="000000" w:themeColor="text1"/>
          <w:szCs w:val="21"/>
          <w:highlight w:val="none"/>
          <w:shd w:val="clear" w:color="auto" w:fill="FFFFFF"/>
          <w14:textFill>
            <w14:solidFill>
              <w14:schemeClr w14:val="tx1"/>
            </w14:solidFill>
          </w14:textFill>
        </w:rPr>
        <w:t>影响产品质量或者不能诚信履约的</w:t>
      </w:r>
      <w:r>
        <w:rPr>
          <w:rFonts w:hint="eastAsia" w:ascii="宋体" w:hAnsi="宋体" w:eastAsia="宋体" w:cs="宋体"/>
          <w:color w:val="000000" w:themeColor="text1"/>
          <w:szCs w:val="21"/>
          <w:highlight w:val="none"/>
          <w14:textFill>
            <w14:solidFill>
              <w14:schemeClr w14:val="tx1"/>
            </w14:solidFill>
          </w14:textFill>
        </w:rPr>
        <w:t>，评标委员会将以书面形式要求投标人作出必要的澄清、说明或者补正。</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投标人的澄清、说明或者补正通过电子交易平台交换数据电文，投标人提交使用电子签名的相关数据电文或通过平台上传投标人的</w:t>
      </w:r>
      <w:r>
        <w:rPr>
          <w:rFonts w:hint="eastAsia" w:ascii="宋体" w:hAnsi="宋体" w:eastAsia="宋体" w:cs="宋体"/>
          <w:color w:val="000000" w:themeColor="text1"/>
          <w:szCs w:val="21"/>
          <w:highlight w:val="none"/>
          <w:lang w:eastAsia="zh-CN"/>
          <w14:textFill>
            <w14:solidFill>
              <w14:schemeClr w14:val="tx1"/>
            </w14:solidFill>
          </w14:textFill>
        </w:rPr>
        <w:t>法定代表人</w:t>
      </w:r>
      <w:r>
        <w:rPr>
          <w:rFonts w:hint="eastAsia" w:ascii="宋体" w:hAnsi="宋体" w:eastAsia="宋体" w:cs="宋体"/>
          <w:color w:val="000000" w:themeColor="text1"/>
          <w:szCs w:val="21"/>
          <w:highlight w:val="none"/>
          <w14:textFill>
            <w14:solidFill>
              <w14:schemeClr w14:val="tx1"/>
            </w14:solidFill>
          </w14:textFill>
        </w:rPr>
        <w:t>或其授权的代表签字或加盖公章的文件的扫描件。给予投标人提交澄清、说明或补正的时间不少于30分钟，投标人已经明确表示澄清说明或补正完毕的除外。投标人的澄清、说明或者补正不得超出投标文件的范围或者改变投标文件的实质性内容。</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33.3投标人的澄清、说明或补正将作为投标文件的一部分。</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33.4报价修正</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电子交易平台客户端里开标一览表录入的投标报价与报价要求响应文件中的开标一览表投标报价不一致的，以报价要求响应文件中的投标报价为准。投标文件报价出现前后不一致的，按照下列规定修正：</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（1）投标文件中开标一览表（报价表）内容与投标文件中相应内容不一致的，以开标一览表（报价表）为准；</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（2）大写金额和小写金额不一致的，以大写金额为准；</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（3）单价金额小数点或者百分比有明显错位的，以开标一览表的总价为准，并修改单价；</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（4）总价金额与按单价汇总金额不一致的，以单价金额计算结果为准。</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同时出现两种以上不一致的，按照前款规定的顺序修正。修正后的报价由投标人确认，经投标人确认后产生约束力，投标人不确认的，</w:t>
      </w:r>
      <w:r>
        <w:rPr>
          <w:rFonts w:hint="eastAsia" w:ascii="宋体" w:hAnsi="宋体" w:eastAsia="宋体" w:cs="宋体"/>
          <w:b/>
          <w:color w:val="000000" w:themeColor="text1"/>
          <w:szCs w:val="21"/>
          <w:highlight w:val="none"/>
          <w14:textFill>
            <w14:solidFill>
              <w14:schemeClr w14:val="tx1"/>
            </w14:solidFill>
          </w14:textFill>
        </w:rPr>
        <w:t>其投标无效</w:t>
      </w:r>
      <w:r>
        <w:rPr>
          <w:rFonts w:hint="eastAsia" w:ascii="宋体" w:hAnsi="宋体" w:eastAsia="宋体" w:cs="宋体"/>
          <w:color w:val="000000" w:themeColor="text1"/>
          <w:szCs w:val="21"/>
          <w:highlight w:val="none"/>
          <w14:textFill>
            <w14:solidFill>
              <w14:schemeClr w14:val="tx1"/>
            </w14:solidFill>
          </w14:textFill>
        </w:rPr>
        <w:t>。</w:t>
      </w:r>
    </w:p>
    <w:p>
      <w:pPr>
        <w:snapToGrid w:val="0"/>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34.投标无效</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34.1根据本招标文件的规定，评标委员会审查每份投标文件，以确定其是否满足招标文件的实质性要求。投标人不得通过修正或撤销不符合要求的偏离，从而使其投标实质上响应招标文件要求。</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评标委员会决定投标文件的响应性只根据招标文件的要求和投标文件内容。</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34.2投标人存在下列情况之一的，投标无效:</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（1）投标文件未按招标文件要求签署、盖章而影响投标文件效力的；</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（2）不具备招标文件中规定的资格要求的（包括未提交有效的资格证明文件）；</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（3）未对招标文件的实质性条款作出响应（包括未按要求提交证明文件）的；</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（4）报价超过招标文件中规定的预算金额或者最高限价或单项限价的；</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（5）投标文件含有采购人不能接受的附加条件的；</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（6）投标文件中含有虚假材料的；</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（7）投标人违背诚实信用原则的；</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（8）仅提交备份投标文件的；</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（9）法律、法规和招标文件规定的其他无效情形。</w:t>
      </w:r>
    </w:p>
    <w:p>
      <w:pPr>
        <w:snapToGrid w:val="0"/>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35.比较与评价</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35.1评标委员会按照招标文件规定的评标方法和标准，对符合性审查合格的投标文件进行商务和技术评估，综合比较与评价。</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35.2评标严格按照招标文件的要求和条件进行。根据实际情况，在投标人须知前附表中规定采用下列一种评标方法，详细评标标准见招标文件第四章：</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（1）最低评标价法，是指投标文件满足招标文件全部实质性要求，且投标报价最低的投标人为中标候选人的评标方法。</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（2）综合评分法，是指投标文件满足招标文件全部实质性要求，且按照评审因素的量化指标评审得分最高的投标人为中标候选人的评标方法。</w:t>
      </w:r>
    </w:p>
    <w:p>
      <w:pPr>
        <w:pStyle w:val="24"/>
        <w:snapToGrid w:val="0"/>
        <w:spacing w:beforeLines="0" w:afterLines="0"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36.废标的情形</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在本项目招标采购中，出现下列情形之一的，应予废标：</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（1）符合资格要求的投标人或者对招标文件作实质响应的投标人不足三家的；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（2）出现影响采购公正的违法、违规行为的；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（3）投标人的报价均超过了采购预算，采购人不能支付的；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（4）因重大变故，采购任务取消的。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（5）电子交易平台无法正常运行，无法保证电子交易的公平、公正和安全的情况。</w:t>
      </w:r>
    </w:p>
    <w:p>
      <w:pPr>
        <w:pStyle w:val="24"/>
        <w:snapToGrid w:val="0"/>
        <w:spacing w:beforeLines="0" w:afterLines="0"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37.中止电子交易活动的情形</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（1）电子交易平台发生故障而无法登录访问的；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（2）电子交易平台应用或数据库出现错误，不能进行正常操作的；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（3）电子交易平台发现严重安全漏洞，有潜在泄密危险的；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（4）病毒发作导致不能进行正常操作的；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（5）其他无法保证电子交易的公平、公正和安全的情况。</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出现前款规定情形，不影响采购公平、公正性的，采购组织机构可以待上述情形消除后继续组织电子交易活动；影响或可能影响采购公平、公正性的，将重新采购。</w:t>
      </w:r>
    </w:p>
    <w:p>
      <w:pPr>
        <w:spacing w:line="360" w:lineRule="auto"/>
        <w:ind w:firstLine="437"/>
        <w:outlineLvl w:val="3"/>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38.中标候选人的确定原则及标准</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本项目评审采用综合评分法的，评标结果按评审后得分由高到低顺序排列。得分相同的，按投标报价由低到高顺序排列。得分且投标报价相同的并列。</w:t>
      </w:r>
    </w:p>
    <w:p>
      <w:pPr>
        <w:snapToGrid w:val="0"/>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39.编写评标报告</w:t>
      </w:r>
    </w:p>
    <w:p>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全体评标委员会成员签字的原始评标记录和评标结果编写评标报告，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pPr>
        <w:pStyle w:val="14"/>
        <w:widowControl w:val="0"/>
        <w:numPr>
          <w:ilvl w:val="0"/>
          <w:numId w:val="0"/>
        </w:numPr>
        <w:tabs>
          <w:tab w:val="clear" w:pos="454"/>
        </w:tabs>
        <w:snapToGrid w:val="0"/>
        <w:spacing w:afterLines="0"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六、授予合同</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40.中标人的确定</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40.1中标人确定主体见</w:t>
      </w:r>
      <w:r>
        <w:rPr>
          <w:rFonts w:hint="eastAsia" w:ascii="宋体" w:hAnsi="宋体" w:eastAsia="宋体" w:cs="宋体"/>
          <w:color w:val="000000" w:themeColor="text1"/>
          <w:szCs w:val="21"/>
          <w:highlight w:val="none"/>
          <w:u w:val="single"/>
          <w14:textFill>
            <w14:solidFill>
              <w14:schemeClr w14:val="tx1"/>
            </w14:solidFill>
          </w14:textFill>
        </w:rPr>
        <w:t>投标人须知前附表，确定排名第一位的中标候选人为中标人</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40.2</w:t>
      </w:r>
      <w:r>
        <w:rPr>
          <w:rFonts w:hint="eastAsia" w:ascii="宋体" w:hAnsi="宋体" w:eastAsia="宋体" w:cs="宋体"/>
          <w:color w:val="000000" w:themeColor="text1"/>
          <w:szCs w:val="21"/>
          <w:highlight w:val="none"/>
          <w:shd w:val="clear" w:color="auto" w:fill="FFFFFF"/>
          <w14:textFill>
            <w14:solidFill>
              <w14:schemeClr w14:val="tx1"/>
            </w14:solidFill>
          </w14:textFill>
        </w:rPr>
        <w:t>中标候选人并列的处理原则见</w:t>
      </w:r>
      <w:r>
        <w:rPr>
          <w:rFonts w:hint="eastAsia" w:ascii="宋体" w:hAnsi="宋体" w:eastAsia="宋体" w:cs="宋体"/>
          <w:color w:val="000000" w:themeColor="text1"/>
          <w:szCs w:val="21"/>
          <w:highlight w:val="none"/>
          <w:u w:val="single"/>
          <w14:textFill>
            <w14:solidFill>
              <w14:schemeClr w14:val="tx1"/>
            </w14:solidFill>
          </w14:textFill>
        </w:rPr>
        <w:t>投标人须知前附表</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41.中标结果公告</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自中标人确定之日起2个工作日内，采购代理机构在招标公告发布媒体上公告中标结果。</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42.中标通知书和招标结果通知书</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42.1在公告中标结果的同时，采购代理机构向中标人发出中标通知书，向未中标的投标人发出招标结果通知书。</w:t>
      </w:r>
    </w:p>
    <w:p>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42.2因重大变故采购任务取消时，采购人有权拒绝任何投标人中标，且对受影响的投标人不承担任何责任。</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43.签订合同</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采购人按照招标文件和中标人投标文件的规定，与中标人签订书面合同。</w:t>
      </w:r>
    </w:p>
    <w:p>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pPr>
        <w:pStyle w:val="4"/>
        <w:rPr>
          <w:rFonts w:hint="eastAsia" w:ascii="宋体" w:hAnsi="宋体" w:eastAsia="宋体" w:cs="宋体"/>
          <w:szCs w:val="21"/>
          <w:highlight w:val="none"/>
        </w:rPr>
      </w:pPr>
      <w:bookmarkStart w:id="44" w:name="_Toc10769"/>
      <w:bookmarkStart w:id="45" w:name="_Toc34844744"/>
      <w:r>
        <w:rPr>
          <w:rFonts w:hint="eastAsia" w:ascii="宋体" w:hAnsi="宋体" w:eastAsia="宋体" w:cs="宋体"/>
          <w:highlight w:val="none"/>
        </w:rPr>
        <w:t>第</w:t>
      </w:r>
      <w:r>
        <w:rPr>
          <w:rFonts w:hint="eastAsia" w:ascii="宋体" w:hAnsi="宋体" w:eastAsia="宋体" w:cs="宋体"/>
          <w:highlight w:val="none"/>
          <w:lang w:val="en-US" w:eastAsia="zh-CN"/>
        </w:rPr>
        <w:t>四</w:t>
      </w:r>
      <w:r>
        <w:rPr>
          <w:rFonts w:hint="eastAsia" w:ascii="宋体" w:hAnsi="宋体" w:eastAsia="宋体" w:cs="宋体"/>
          <w:highlight w:val="none"/>
        </w:rPr>
        <w:t>章  评标方法和标准</w:t>
      </w:r>
      <w:bookmarkEnd w:id="44"/>
      <w:bookmarkEnd w:id="45"/>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一、总则</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遵循公开、公正、公平、择优和诚实信用的原则，评标人员应本着认真、公正、诚实、廉洁的精神进行评标工作，择优推荐中标候选人。评标委员会成员必须严格遵守保密规定，不得泄露评标的有关情况。</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二、评标方法</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评标时，评标委员会各成员独立对每个投标人的投标文件进行评价，根据评委打分表的评分标准和评分范围，逐栏打分并汇总。评分均为小数点后四舍五入保留二位小数。评委打分表中分值重复的数值上限不含本数,下限含本数。各投标人的最终评标得分为所有评委评分的算术平均数，小数点后四舍五入保留二位小数。</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2.价格扣除（价格优惠）</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对满足价格扣除条件且在投标文件中提交了《中小企业声明函》《残疾人福利性单位声明函》或省级以上监狱管理局、戒毒管理局（含新疆生产建设兵团）出具的属于监狱企业的证明文件的投标人，对其投标报价给予</w:t>
      </w:r>
      <w:r>
        <w:rPr>
          <w:rFonts w:hint="eastAsia" w:ascii="宋体" w:hAnsi="宋体" w:eastAsia="宋体" w:cs="宋体"/>
          <w:color w:val="000000" w:themeColor="text1"/>
          <w:szCs w:val="21"/>
          <w:highlight w:val="none"/>
          <w:u w:val="single"/>
          <w14:textFill>
            <w14:solidFill>
              <w14:schemeClr w14:val="tx1"/>
            </w14:solidFill>
          </w14:textFill>
        </w:rPr>
        <w:t xml:space="preserve"> 10 %</w:t>
      </w:r>
      <w:r>
        <w:rPr>
          <w:rFonts w:hint="eastAsia" w:ascii="宋体" w:hAnsi="宋体" w:eastAsia="宋体" w:cs="宋体"/>
          <w:color w:val="000000" w:themeColor="text1"/>
          <w:szCs w:val="21"/>
          <w:highlight w:val="none"/>
          <w14:textFill>
            <w14:solidFill>
              <w14:schemeClr w14:val="tx1"/>
            </w14:solidFill>
          </w14:textFill>
        </w:rPr>
        <w:t>的扣除。</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符合采购标的对应的中小企业划分标准所属行业：</w:t>
      </w:r>
      <w:r>
        <w:rPr>
          <w:rFonts w:hint="eastAsia" w:ascii="宋体" w:hAnsi="宋体" w:eastAsia="宋体" w:cs="宋体"/>
          <w:b/>
          <w:bCs/>
          <w:color w:val="000000" w:themeColor="text1"/>
          <w:szCs w:val="21"/>
          <w:highlight w:val="none"/>
          <w:u w:val="single"/>
          <w:lang w:val="en-US" w:eastAsia="zh-CN"/>
          <w14:textFill>
            <w14:solidFill>
              <w14:schemeClr w14:val="tx1"/>
            </w14:solidFill>
          </w14:textFill>
        </w:rPr>
        <w:t>宁波市自然资源和规划研究中心劳务外包项目（重招）</w:t>
      </w:r>
      <w:r>
        <w:rPr>
          <w:rFonts w:hint="eastAsia" w:ascii="宋体" w:hAnsi="宋体" w:eastAsia="宋体" w:cs="宋体"/>
          <w:color w:val="000000" w:themeColor="text1"/>
          <w:szCs w:val="21"/>
          <w:highlight w:val="none"/>
          <w14:textFill>
            <w14:solidFill>
              <w14:schemeClr w14:val="tx1"/>
            </w14:solidFill>
          </w14:textFill>
        </w:rPr>
        <w:t>，属于</w:t>
      </w:r>
      <w:r>
        <w:rPr>
          <w:rFonts w:hint="eastAsia" w:ascii="宋体" w:hAnsi="宋体" w:eastAsia="宋体" w:cs="宋体"/>
          <w:b/>
          <w:bCs/>
          <w:color w:val="000000" w:themeColor="text1"/>
          <w:szCs w:val="21"/>
          <w:highlight w:val="none"/>
          <w:u w:val="single"/>
          <w:lang w:eastAsia="zh-CN"/>
          <w14:textFill>
            <w14:solidFill>
              <w14:schemeClr w14:val="tx1"/>
            </w14:solidFill>
          </w14:textFill>
        </w:rPr>
        <w:t>其他未列明行业</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中小企业划分标准以《工业和信息化部、国家统计局、国家发展和改革委员会、财政部关于印发中小企业划型标准规定的通知》（工信部联企业[2011]300号）规定的划分标准为准。</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三、评审程序</w:t>
      </w:r>
    </w:p>
    <w:p>
      <w:pPr>
        <w:spacing w:line="360" w:lineRule="auto"/>
        <w:ind w:firstLine="435"/>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1.资格审查</w:t>
      </w:r>
    </w:p>
    <w:p>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由采购人或采购代理机构对投标人进行资格审查。资格审查内容如下：</w:t>
      </w:r>
    </w:p>
    <w:tbl>
      <w:tblPr>
        <w:tblStyle w:val="45"/>
        <w:tblW w:w="88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658"/>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09" w:type="dxa"/>
            <w:tcBorders>
              <w:bottom w:val="single" w:color="auto" w:sz="4" w:space="0"/>
            </w:tcBorders>
            <w:vAlign w:val="center"/>
          </w:tcPr>
          <w:p>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134" w:type="dxa"/>
            <w:tcBorders>
              <w:bottom w:val="single" w:color="auto" w:sz="4" w:space="0"/>
            </w:tcBorders>
            <w:vAlign w:val="center"/>
          </w:tcPr>
          <w:p>
            <w:pPr>
              <w:pStyle w:val="392"/>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评审内容</w:t>
            </w:r>
          </w:p>
        </w:tc>
        <w:tc>
          <w:tcPr>
            <w:tcW w:w="2658" w:type="dxa"/>
            <w:tcBorders>
              <w:bottom w:val="single" w:color="auto" w:sz="4" w:space="0"/>
            </w:tcBorders>
            <w:vAlign w:val="center"/>
          </w:tcPr>
          <w:p>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审查要求</w:t>
            </w:r>
          </w:p>
        </w:tc>
        <w:tc>
          <w:tcPr>
            <w:tcW w:w="4371" w:type="dxa"/>
            <w:tcBorders>
              <w:bottom w:val="single" w:color="auto" w:sz="4" w:space="0"/>
            </w:tcBorders>
            <w:vAlign w:val="center"/>
          </w:tcPr>
          <w:p>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709" w:type="dxa"/>
            <w:vAlign w:val="center"/>
          </w:tcPr>
          <w:p>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134"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基本资质</w:t>
            </w:r>
          </w:p>
        </w:tc>
        <w:tc>
          <w:tcPr>
            <w:tcW w:w="2658"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满足《中华人民共和国政府采购法》第二十二条第一款规定</w:t>
            </w:r>
          </w:p>
        </w:tc>
        <w:tc>
          <w:tcPr>
            <w:tcW w:w="4371" w:type="dxa"/>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资格要求响应文件内提供《供应商资格声明函》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709" w:type="dxa"/>
            <w:vAlign w:val="center"/>
          </w:tcPr>
          <w:p>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134"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营业执照</w:t>
            </w:r>
          </w:p>
        </w:tc>
        <w:tc>
          <w:tcPr>
            <w:tcW w:w="2658" w:type="dxa"/>
            <w:vAlign w:val="center"/>
          </w:tcPr>
          <w:p>
            <w:pPr>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zCs w:val="21"/>
                <w:highlight w:val="none"/>
              </w:rPr>
              <w:t>有效的营业执照等机构登记证明复印件</w:t>
            </w:r>
          </w:p>
        </w:tc>
        <w:tc>
          <w:tcPr>
            <w:tcW w:w="4371" w:type="dxa"/>
            <w:vAlign w:val="center"/>
          </w:tcPr>
          <w:p>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zCs w:val="21"/>
                <w:highlight w:val="none"/>
              </w:rPr>
              <w:t>资格要求响应文件内提供有效的营业执照等机构登记证明，应完整清晰的体现出证明材料的全部内容。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709" w:type="dxa"/>
            <w:vAlign w:val="center"/>
          </w:tcPr>
          <w:p>
            <w:pPr>
              <w:adjustRightInd w:val="0"/>
              <w:snapToGrid w:val="0"/>
              <w:ind w:right="-1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1134" w:type="dxa"/>
            <w:vAlign w:val="center"/>
          </w:tcPr>
          <w:p>
            <w:pPr>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auto"/>
                <w:szCs w:val="21"/>
                <w:highlight w:val="none"/>
              </w:rPr>
              <w:t>特定资质</w:t>
            </w:r>
          </w:p>
        </w:tc>
        <w:tc>
          <w:tcPr>
            <w:tcW w:w="2658" w:type="dxa"/>
            <w:vAlign w:val="center"/>
          </w:tcPr>
          <w:p>
            <w:pPr>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人力资源服务许可证或人力资源服务机构备案凭证</w:t>
            </w:r>
          </w:p>
        </w:tc>
        <w:tc>
          <w:tcPr>
            <w:tcW w:w="4371" w:type="dxa"/>
            <w:vAlign w:val="center"/>
          </w:tcPr>
          <w:p>
            <w:pPr>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资格要求响应文件内提供</w:t>
            </w:r>
            <w:r>
              <w:rPr>
                <w:rFonts w:hint="eastAsia" w:ascii="宋体" w:hAnsi="宋体" w:eastAsia="宋体" w:cs="宋体"/>
                <w:color w:val="000000" w:themeColor="text1"/>
                <w:szCs w:val="21"/>
                <w:highlight w:val="none"/>
                <w:lang w:val="en-US" w:eastAsia="zh-CN"/>
                <w14:textFill>
                  <w14:solidFill>
                    <w14:schemeClr w14:val="tx1"/>
                  </w14:solidFill>
                </w14:textFill>
              </w:rPr>
              <w:t>有效的</w:t>
            </w:r>
            <w:r>
              <w:rPr>
                <w:rFonts w:hint="eastAsia" w:ascii="宋体" w:hAnsi="宋体" w:eastAsia="宋体" w:cs="宋体"/>
                <w:color w:val="000000" w:themeColor="text1"/>
                <w:szCs w:val="21"/>
                <w:highlight w:val="none"/>
                <w14:textFill>
                  <w14:solidFill>
                    <w14:schemeClr w14:val="tx1"/>
                  </w14:solidFill>
                </w14:textFill>
              </w:rPr>
              <w:t>《人力资源服务许可证》或人力资源服务机构备案凭证</w:t>
            </w:r>
            <w:r>
              <w:rPr>
                <w:rFonts w:hint="eastAsia" w:ascii="宋体" w:hAnsi="宋体" w:eastAsia="宋体" w:cs="宋体"/>
                <w:color w:val="000000" w:themeColor="text1"/>
                <w:szCs w:val="21"/>
                <w:highlight w:val="none"/>
                <w:lang w:val="en-US" w:eastAsia="zh-CN"/>
                <w14:textFill>
                  <w14:solidFill>
                    <w14:schemeClr w14:val="tx1"/>
                  </w14:solidFill>
                </w14:textFill>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709" w:type="dxa"/>
            <w:vAlign w:val="center"/>
          </w:tcPr>
          <w:p>
            <w:pPr>
              <w:adjustRightInd w:val="0"/>
              <w:snapToGrid w:val="0"/>
              <w:ind w:right="-10"/>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p>
        </w:tc>
        <w:tc>
          <w:tcPr>
            <w:tcW w:w="1134" w:type="dxa"/>
            <w:vAlign w:val="center"/>
          </w:tcPr>
          <w:p>
            <w:pPr>
              <w:ind w:right="-50" w:rightChars="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auto"/>
                <w:szCs w:val="21"/>
                <w:highlight w:val="none"/>
              </w:rPr>
              <w:t>信用情况</w:t>
            </w:r>
          </w:p>
        </w:tc>
        <w:tc>
          <w:tcPr>
            <w:tcW w:w="2658" w:type="dxa"/>
            <w:vAlign w:val="center"/>
          </w:tcPr>
          <w:p>
            <w:pPr>
              <w:ind w:right="-50" w:rightChars="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auto"/>
                <w:szCs w:val="21"/>
                <w:highlight w:val="none"/>
              </w:rPr>
              <w:t>未被“信用中国”（www.creditchina.gov.cn)、中国政府采购网（www.ccgp.gov.cn）列入失信被执行人、重大税收违法失信主体、政府采购严重违法失信行为记录名单</w:t>
            </w:r>
          </w:p>
        </w:tc>
        <w:tc>
          <w:tcPr>
            <w:tcW w:w="4371" w:type="dxa"/>
            <w:vAlign w:val="center"/>
          </w:tcPr>
          <w:p>
            <w:pPr>
              <w:adjustRightInd w:val="0"/>
              <w:snapToGrid w:val="0"/>
              <w:ind w:right="-50" w:rightChars="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auto"/>
                <w:szCs w:val="21"/>
                <w:highlight w:val="none"/>
              </w:rPr>
              <w:t>无需提供材料。</w:t>
            </w:r>
          </w:p>
        </w:tc>
      </w:tr>
    </w:tbl>
    <w:p>
      <w:pPr>
        <w:spacing w:line="360" w:lineRule="auto"/>
        <w:ind w:firstLine="43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资格审查指标通过标准：</w:t>
      </w:r>
      <w:r>
        <w:rPr>
          <w:rFonts w:hint="eastAsia" w:ascii="宋体" w:hAnsi="宋体" w:eastAsia="宋体" w:cs="宋体"/>
          <w:color w:val="000000" w:themeColor="text1"/>
          <w:szCs w:val="21"/>
          <w:highlight w:val="none"/>
          <w14:textFill>
            <w14:solidFill>
              <w14:schemeClr w14:val="tx1"/>
            </w14:solidFill>
          </w14:textFill>
        </w:rPr>
        <w:t>投标人必须通过资格审查表中的全部评审指标。</w:t>
      </w:r>
    </w:p>
    <w:p>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pPr>
        <w:spacing w:line="360" w:lineRule="auto"/>
        <w:ind w:firstLine="435"/>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2.符合性审查</w:t>
      </w:r>
    </w:p>
    <w:p>
      <w:pPr>
        <w:spacing w:line="360" w:lineRule="auto"/>
        <w:ind w:firstLine="43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评标委员会对通过资格审查的投标人的投标文件进行符合性审查，以确定其是否满足招标文件的实质性要求。符合性审查内容如下：</w:t>
      </w:r>
    </w:p>
    <w:tbl>
      <w:tblPr>
        <w:tblStyle w:val="4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20" w:type="dxa"/>
            <w:tcBorders>
              <w:bottom w:val="single" w:color="auto" w:sz="4" w:space="0"/>
            </w:tcBorders>
            <w:vAlign w:val="center"/>
          </w:tcPr>
          <w:p>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690" w:type="dxa"/>
            <w:tcBorders>
              <w:bottom w:val="single" w:color="auto" w:sz="4" w:space="0"/>
            </w:tcBorders>
            <w:vAlign w:val="center"/>
          </w:tcPr>
          <w:p>
            <w:pPr>
              <w:pStyle w:val="392"/>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评审内容</w:t>
            </w:r>
          </w:p>
        </w:tc>
        <w:tc>
          <w:tcPr>
            <w:tcW w:w="3260" w:type="dxa"/>
            <w:tcBorders>
              <w:bottom w:val="single" w:color="auto" w:sz="4" w:space="0"/>
            </w:tcBorders>
            <w:vAlign w:val="center"/>
          </w:tcPr>
          <w:p>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要求</w:t>
            </w:r>
          </w:p>
        </w:tc>
        <w:tc>
          <w:tcPr>
            <w:tcW w:w="3114" w:type="dxa"/>
            <w:tcBorders>
              <w:bottom w:val="single" w:color="auto" w:sz="4" w:space="0"/>
            </w:tcBorders>
            <w:vAlign w:val="center"/>
          </w:tcPr>
          <w:p>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690"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投标报价</w:t>
            </w:r>
          </w:p>
        </w:tc>
        <w:tc>
          <w:tcPr>
            <w:tcW w:w="3260"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格式、金额符合招标文件要求并加盖公章</w:t>
            </w:r>
          </w:p>
        </w:tc>
        <w:tc>
          <w:tcPr>
            <w:tcW w:w="3114" w:type="dxa"/>
            <w:vAlign w:val="center"/>
          </w:tcPr>
          <w:p>
            <w:pPr>
              <w:adjustRightInd w:val="0"/>
              <w:snapToGrid w:val="0"/>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投标文件内提供《开标一览表》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690"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投标函</w:t>
            </w:r>
          </w:p>
        </w:tc>
        <w:tc>
          <w:tcPr>
            <w:tcW w:w="3260"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投标函格式、填写符合招标文件要求并加盖公章</w:t>
            </w:r>
          </w:p>
        </w:tc>
        <w:tc>
          <w:tcPr>
            <w:tcW w:w="3114" w:type="dxa"/>
            <w:vAlign w:val="center"/>
          </w:tcPr>
          <w:p>
            <w:pPr>
              <w:adjustRightInd w:val="0"/>
              <w:snapToGrid w:val="0"/>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投标文件内提供《投标函》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690"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投标文件签署（或盖姓名章）</w:t>
            </w:r>
          </w:p>
        </w:tc>
        <w:tc>
          <w:tcPr>
            <w:tcW w:w="3260"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投标文件的签署人具有法定签署权或获得有效授权。</w:t>
            </w:r>
          </w:p>
        </w:tc>
        <w:tc>
          <w:tcPr>
            <w:tcW w:w="3114" w:type="dxa"/>
            <w:vAlign w:val="center"/>
          </w:tcPr>
          <w:p>
            <w:pPr>
              <w:adjustRightInd w:val="0"/>
              <w:snapToGrid w:val="0"/>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法定代表人</w:t>
            </w:r>
            <w:r>
              <w:rPr>
                <w:rFonts w:hint="eastAsia" w:ascii="宋体" w:hAnsi="宋体" w:eastAsia="宋体" w:cs="宋体"/>
                <w:color w:val="000000" w:themeColor="text1"/>
                <w:szCs w:val="21"/>
                <w:highlight w:val="none"/>
                <w14:textFill>
                  <w14:solidFill>
                    <w14:schemeClr w14:val="tx1"/>
                  </w14:solidFill>
                </w14:textFill>
              </w:rPr>
              <w:t>参加投标的，投标文件内提供身份证正反面复印件；授权代表参加投标的，投标文件内提供</w:t>
            </w:r>
            <w:r>
              <w:rPr>
                <w:rFonts w:hint="eastAsia" w:ascii="宋体" w:hAnsi="宋体" w:eastAsia="宋体" w:cs="宋体"/>
                <w:color w:val="000000" w:themeColor="text1"/>
                <w:szCs w:val="21"/>
                <w:highlight w:val="none"/>
                <w:lang w:eastAsia="zh-CN"/>
                <w14:textFill>
                  <w14:solidFill>
                    <w14:schemeClr w14:val="tx1"/>
                  </w14:solidFill>
                </w14:textFill>
              </w:rPr>
              <w:t>法定代表人</w:t>
            </w:r>
            <w:r>
              <w:rPr>
                <w:rFonts w:hint="eastAsia" w:ascii="宋体" w:hAnsi="宋体" w:eastAsia="宋体" w:cs="宋体"/>
                <w:color w:val="000000" w:themeColor="text1"/>
                <w:szCs w:val="21"/>
                <w:highlight w:val="none"/>
                <w14:textFill>
                  <w14:solidFill>
                    <w14:schemeClr w14:val="tx1"/>
                  </w14:solidFill>
                </w14:textFill>
              </w:rPr>
              <w:t>授权委托书及其附件。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0" w:type="dxa"/>
            <w:vAlign w:val="center"/>
          </w:tcPr>
          <w:p>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690"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投标文件盖章</w:t>
            </w:r>
          </w:p>
        </w:tc>
        <w:tc>
          <w:tcPr>
            <w:tcW w:w="3260"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投标文件按照招标文件要求进行盖章</w:t>
            </w:r>
          </w:p>
        </w:tc>
        <w:tc>
          <w:tcPr>
            <w:tcW w:w="3114" w:type="dxa"/>
            <w:vAlign w:val="center"/>
          </w:tcPr>
          <w:p>
            <w:pPr>
              <w:adjustRightInd w:val="0"/>
              <w:snapToGrid w:val="0"/>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投标文件相关资料盖章满足招标文件要求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1690"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采购需求要求响应</w:t>
            </w:r>
          </w:p>
        </w:tc>
        <w:tc>
          <w:tcPr>
            <w:tcW w:w="3260"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符合招标文件采购需求中明确的实质性要求。</w:t>
            </w:r>
          </w:p>
        </w:tc>
        <w:tc>
          <w:tcPr>
            <w:tcW w:w="3114" w:type="dxa"/>
            <w:vAlign w:val="center"/>
          </w:tcPr>
          <w:p>
            <w:pPr>
              <w:adjustRightInd w:val="0"/>
              <w:snapToGrid w:val="0"/>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投标文件内提供采购需求响应表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0" w:type="dxa"/>
            <w:vAlign w:val="center"/>
          </w:tcPr>
          <w:p>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1690"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招标文件其他实质性要求</w:t>
            </w:r>
          </w:p>
        </w:tc>
        <w:tc>
          <w:tcPr>
            <w:tcW w:w="3260"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投标文件的响应满足招标文件的实质性要求</w:t>
            </w:r>
          </w:p>
        </w:tc>
        <w:tc>
          <w:tcPr>
            <w:tcW w:w="3114" w:type="dxa"/>
            <w:vAlign w:val="center"/>
          </w:tcPr>
          <w:p>
            <w:pPr>
              <w:adjustRightInd w:val="0"/>
              <w:snapToGrid w:val="0"/>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按照招标文件要求提供响应材料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0" w:type="dxa"/>
            <w:vAlign w:val="center"/>
          </w:tcPr>
          <w:p>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p>
        </w:tc>
        <w:tc>
          <w:tcPr>
            <w:tcW w:w="1690"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其他要求</w:t>
            </w:r>
          </w:p>
        </w:tc>
        <w:tc>
          <w:tcPr>
            <w:tcW w:w="3260" w:type="dxa"/>
            <w:vAlign w:val="center"/>
          </w:tcPr>
          <w:p>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符合法律、行政法规规定的其他条件或不存在招标文件列明的拒绝投标、不允许存在的其他情形</w:t>
            </w:r>
          </w:p>
        </w:tc>
        <w:tc>
          <w:tcPr>
            <w:tcW w:w="3114" w:type="dxa"/>
            <w:vAlign w:val="center"/>
          </w:tcPr>
          <w:p>
            <w:pPr>
              <w:adjustRightInd w:val="0"/>
              <w:snapToGrid w:val="0"/>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无需提供材料</w:t>
            </w:r>
          </w:p>
        </w:tc>
      </w:tr>
    </w:tbl>
    <w:p>
      <w:pPr>
        <w:spacing w:line="360" w:lineRule="auto"/>
        <w:ind w:firstLine="43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符合性审查指标通过标准：</w:t>
      </w:r>
      <w:r>
        <w:rPr>
          <w:rFonts w:hint="eastAsia" w:ascii="宋体" w:hAnsi="宋体" w:eastAsia="宋体" w:cs="宋体"/>
          <w:color w:val="000000" w:themeColor="text1"/>
          <w:szCs w:val="21"/>
          <w:highlight w:val="none"/>
          <w14:textFill>
            <w14:solidFill>
              <w14:schemeClr w14:val="tx1"/>
            </w14:solidFill>
          </w14:textFill>
        </w:rPr>
        <w:t>投标人必须通过符合性审查表中的全部评审指标。</w:t>
      </w:r>
    </w:p>
    <w:p>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3.详细审查和评分（评标标准兼评委打分表）</w:t>
      </w:r>
    </w:p>
    <w:tbl>
      <w:tblPr>
        <w:tblStyle w:val="45"/>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392"/>
        <w:gridCol w:w="527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050" w:type="dxa"/>
            <w:noWrap/>
            <w:vAlign w:val="center"/>
          </w:tcPr>
          <w:p>
            <w:pPr>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类别</w:t>
            </w:r>
          </w:p>
        </w:tc>
        <w:tc>
          <w:tcPr>
            <w:tcW w:w="1392" w:type="dxa"/>
            <w:noWrap/>
            <w:vAlign w:val="center"/>
          </w:tcPr>
          <w:p>
            <w:pPr>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评分内容</w:t>
            </w:r>
          </w:p>
        </w:tc>
        <w:tc>
          <w:tcPr>
            <w:tcW w:w="5274" w:type="dxa"/>
            <w:noWrap/>
            <w:vAlign w:val="center"/>
          </w:tcPr>
          <w:p>
            <w:pPr>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评分标准</w:t>
            </w:r>
          </w:p>
        </w:tc>
        <w:tc>
          <w:tcPr>
            <w:tcW w:w="1072" w:type="dxa"/>
            <w:noWrap/>
            <w:vAlign w:val="center"/>
          </w:tcPr>
          <w:p>
            <w:pPr>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1" w:hRule="atLeast"/>
          <w:jc w:val="center"/>
        </w:trPr>
        <w:tc>
          <w:tcPr>
            <w:tcW w:w="1050" w:type="dxa"/>
            <w:vMerge w:val="restart"/>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商务技术分</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139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人员配置方案</w:t>
            </w:r>
          </w:p>
        </w:tc>
        <w:tc>
          <w:tcPr>
            <w:tcW w:w="5274" w:type="dxa"/>
            <w:noWrap/>
            <w:vAlign w:val="center"/>
          </w:tcPr>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人员配置方案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（7分）：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color w:val="000000" w:themeColor="text1"/>
                <w:sz w:val="21"/>
                <w:szCs w:val="21"/>
                <w:highlight w:val="none"/>
                <w:lang w:val="en-US" w:eastAsia="zh-CN"/>
                <w14:textFill>
                  <w14:solidFill>
                    <w14:schemeClr w14:val="tx1"/>
                  </w14:solidFill>
                </w14:textFill>
              </w:rPr>
              <w:t>所有拟派人员均符合基本要求，各岗位人员配置均衡，且至少80%人员拥有相关专业背景或持有相应职业资格证书，无任何不良记录；各岗位人员技能全面，讲解员、布展助理等关键岗位人员具备出色的专业技能和创新能力，团队成员普遍具有同类项目或相关领域两年以上工作经验</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，得7分；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大部分拟派人员（≥60%）符合基本要求，至少50%人员具有相关工作经验或专业教育背景，无严重不良记录，各岗位人员基本技能达标，关键岗位人员在指导下能完成任务，超过半数人员有一年以上相关工作经验</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，得5分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lang w:val="en-US" w:eastAsia="zh-CN"/>
                <w14:textFill>
                  <w14:solidFill>
                    <w14:schemeClr w14:val="tx1"/>
                  </w14:solidFill>
                </w14:textFill>
              </w:rPr>
              <w:t>满足基本要求，但仅有少于50%的人员具有相关专业背景或工作经验，整体专业技能水平较低，团队成员普遍缺乏实际工作经验，团队配置存在明显短板，某些重要岗位人员不足或专业不对口</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，得3分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④</w:t>
            </w:r>
            <w:r>
              <w:rPr>
                <w:rFonts w:hint="eastAsia" w:ascii="宋体" w:hAnsi="宋体" w:eastAsia="宋体" w:cs="宋体"/>
                <w:color w:val="000000" w:themeColor="text1"/>
                <w:sz w:val="21"/>
                <w:szCs w:val="21"/>
                <w:highlight w:val="none"/>
                <w:lang w:val="en-US" w:eastAsia="zh-CN"/>
                <w14:textFill>
                  <w14:solidFill>
                    <w14:schemeClr w14:val="tx1"/>
                  </w14:solidFill>
                </w14:textFill>
              </w:rPr>
              <w:t>无</w:t>
            </w:r>
            <w:r>
              <w:rPr>
                <w:rFonts w:hint="eastAsia" w:ascii="宋体" w:hAnsi="宋体" w:eastAsia="宋体" w:cs="宋体"/>
                <w:color w:val="000000" w:themeColor="text1"/>
                <w:sz w:val="21"/>
                <w:szCs w:val="21"/>
                <w:highlight w:val="none"/>
                <w14:textFill>
                  <w14:solidFill>
                    <w14:schemeClr w14:val="tx1"/>
                  </w14:solidFill>
                </w14:textFill>
              </w:rPr>
              <w:t>人员配置方案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得0分。</w:t>
            </w:r>
          </w:p>
          <w:p>
            <w:pPr>
              <w:bidi w:val="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highlight w:val="none"/>
                <w:lang w:val="en-US" w:eastAsia="zh-CN"/>
              </w:rPr>
              <w:t>注：投标文件中提供相关证明材料，未提供或不符合不得分。</w:t>
            </w:r>
          </w:p>
        </w:tc>
        <w:tc>
          <w:tcPr>
            <w:tcW w:w="1072" w:type="dxa"/>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050" w:type="dxa"/>
            <w:vMerge w:val="continue"/>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9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培训计划与考核机制</w:t>
            </w:r>
          </w:p>
        </w:tc>
        <w:tc>
          <w:tcPr>
            <w:tcW w:w="5274" w:type="dxa"/>
            <w:noWrap/>
            <w:vAlign w:val="center"/>
          </w:tcPr>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培训计划与考核机制（7分）：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提供全面系统的培训方案，覆盖岗位专业知识、职业道德、安全操作规程、紧急应对措施等内容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针对不同岗位特点设计个性化培训课程，建立了严格的考核体系，包含入职前的能力测试、试用期内的阶段性评估、正式工作后的月度/季度绩效考核</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的，得7分；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培训内容较为全面，覆盖主要工作技能和基础知识，但个性化培训内容较少，组织集中培训，包含理论讲解和简单实操，考核体系较完整，但部分指标量化程度不足</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的，得5分；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lang w:val="en-US" w:eastAsia="zh-CN"/>
                <w14:textFill>
                  <w14:solidFill>
                    <w14:schemeClr w14:val="tx1"/>
                  </w14:solidFill>
                </w14:textFill>
              </w:rPr>
              <w:t>培训计划基本满足需求，但深度和广度不足，主要聚焦于岗位基本操作，总体培训多为理论学习，缺乏实操环节，有基本的考核流程，但考核标准不够细化，或考核频率较低</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的，得3分；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④无</w:t>
            </w:r>
            <w:r>
              <w:rPr>
                <w:rFonts w:hint="eastAsia" w:ascii="宋体" w:hAnsi="宋体" w:eastAsia="宋体" w:cs="宋体"/>
                <w:color w:val="000000" w:themeColor="text1"/>
                <w:sz w:val="21"/>
                <w:szCs w:val="21"/>
                <w:highlight w:val="none"/>
                <w:lang w:val="en-US" w:eastAsia="zh-CN"/>
                <w14:textFill>
                  <w14:solidFill>
                    <w14:schemeClr w14:val="tx1"/>
                  </w14:solidFill>
                </w14:textFill>
              </w:rPr>
              <w:t>培训计划与考核机制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方案的，0分。</w:t>
            </w:r>
          </w:p>
        </w:tc>
        <w:tc>
          <w:tcPr>
            <w:tcW w:w="1072" w:type="dxa"/>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050" w:type="dxa"/>
            <w:vMerge w:val="continue"/>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9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应急预案与风险管理</w:t>
            </w:r>
          </w:p>
        </w:tc>
        <w:tc>
          <w:tcPr>
            <w:tcW w:w="5274" w:type="dxa"/>
            <w:noWrap/>
            <w:vAlign w:val="center"/>
          </w:tcPr>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应急预案与风险管理（7分）：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详尽的应急预案，覆盖自然灾害（如台风）、公共卫生事件、设备故障、信息安全事件、人员突发状况等多方面，预案包含明确的应急响应流程图、详细的应对措施与步骤，以及具体的疏散路线、紧急联系方式，预案中包含针对特殊人群（如残障人士、老人、儿童）的特别保护措施；制定了明确的风险控制措施，建立了风险监控和定期评估机制，确保风险管理的持续改进，有明确的风险报告流程和责任人</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的，得7分；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急预案较为全面，覆盖主要风险类型，但细节处略显不足，如未包含所有紧急联系方式或疏散指示，应急预案框架基本形成，但内容不够详细，未明确应急响应小组的职责分配，或应急流程不清晰，基本的应对措施，但对于特殊人群的考虑不够周到，风险识别与评估较为全面，但评估方法较为单一，有初步的风险监控意识，但监控机制不够完善，风险报告流程不够明确</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的，得5分；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应急预案框架基本形成，但内容不够详细，缺少对特定风险的针对性策略，未明确应急响应小组的职责分配，或应急流程不清晰，风险识别范围有限，评估方法简单，风险管理缺乏系统性</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的，得3分；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④</w:t>
            </w:r>
            <w:r>
              <w:rPr>
                <w:rFonts w:hint="eastAsia" w:ascii="宋体" w:hAnsi="宋体" w:eastAsia="宋体" w:cs="宋体"/>
                <w:color w:val="000000" w:themeColor="text1"/>
                <w:sz w:val="21"/>
                <w:szCs w:val="21"/>
                <w:highlight w:val="none"/>
                <w:lang w:val="en-US" w:eastAsia="zh-CN"/>
                <w14:textFill>
                  <w14:solidFill>
                    <w14:schemeClr w14:val="tx1"/>
                  </w14:solidFill>
                </w14:textFill>
              </w:rPr>
              <w:t>应急预案与风险管理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方案的，0分。</w:t>
            </w:r>
          </w:p>
        </w:tc>
        <w:tc>
          <w:tcPr>
            <w:tcW w:w="107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50" w:type="dxa"/>
            <w:vMerge w:val="continue"/>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9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人员稳定性和替换机制</w:t>
            </w:r>
          </w:p>
        </w:tc>
        <w:tc>
          <w:tcPr>
            <w:tcW w:w="5274" w:type="dxa"/>
            <w:noWrap/>
            <w:vAlign w:val="center"/>
          </w:tcPr>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人员稳定性和替换机制（7分）：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详尽的人员流失预防计划，包括但不限于长期职业发展规划、定期绩效激励措施、员工关怀计划等，针对关键岗位，提供至少为期一年的服务承诺书，确保人员变动不会影响服务连续性，设有内部晋升机制，明确人员替换流程，能在接到通知后48小时内提供备选人员名单，备选人员符合原岗位要求，替换人员需经过严格筛选和培训，确保无缝对接原岗位工作</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的，得7分；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有基本的人员保留策略，如常规的绩效奖励和基本的职业发展指导，但方案不够全面或个性化，关键岗位人员承诺服务期限不少于半年，但缺乏长期承诺的证明，有一定内部晋升机会，但机制不够成熟，，替换流程较为明确，但替换人员的提供时间超过48小时，替换人员有基本的培训记录，但培训内容或深度不够全面</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的，得5分；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人员稳定措施较为笼统，缺乏具体实施方案或数据支持，对关键岗位人员的服务期限无明确承诺或承诺时间较短，替换机制不健全，替换人员的提供时间超过72小时，缺乏有效的培训记录，新人员上岗前准备不足</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的，得3分；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④无</w:t>
            </w:r>
            <w:r>
              <w:rPr>
                <w:rFonts w:hint="eastAsia" w:ascii="宋体" w:hAnsi="宋体" w:eastAsia="宋体" w:cs="宋体"/>
                <w:color w:val="000000" w:themeColor="text1"/>
                <w:sz w:val="21"/>
                <w:szCs w:val="21"/>
                <w:highlight w:val="none"/>
                <w:lang w:val="en-US" w:eastAsia="zh-CN"/>
                <w14:textFill>
                  <w14:solidFill>
                    <w14:schemeClr w14:val="tx1"/>
                  </w14:solidFill>
                </w14:textFill>
              </w:rPr>
              <w:t>人员稳定性和替换机制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方案的，得0分。</w:t>
            </w:r>
          </w:p>
        </w:tc>
        <w:tc>
          <w:tcPr>
            <w:tcW w:w="107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050" w:type="dxa"/>
            <w:vMerge w:val="continue"/>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9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人员</w:t>
            </w:r>
            <w:r>
              <w:rPr>
                <w:rFonts w:hint="eastAsia" w:ascii="宋体" w:hAnsi="宋体" w:eastAsia="宋体" w:cs="宋体"/>
                <w:color w:val="000000" w:themeColor="text1"/>
                <w:sz w:val="21"/>
                <w:szCs w:val="21"/>
                <w:highlight w:val="none"/>
                <w:lang w:val="en-US" w:eastAsia="zh-CN"/>
                <w14:textFill>
                  <w14:solidFill>
                    <w14:schemeClr w14:val="tx1"/>
                  </w14:solidFill>
                </w14:textFill>
              </w:rPr>
              <w:t>薪资及管理费方案</w:t>
            </w:r>
          </w:p>
        </w:tc>
        <w:tc>
          <w:tcPr>
            <w:tcW w:w="5274" w:type="dxa"/>
            <w:noWrap/>
            <w:vAlign w:val="center"/>
          </w:tcPr>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人员</w:t>
            </w:r>
            <w:r>
              <w:rPr>
                <w:rFonts w:hint="eastAsia" w:ascii="宋体" w:hAnsi="宋体" w:eastAsia="宋体" w:cs="宋体"/>
                <w:color w:val="000000" w:themeColor="text1"/>
                <w:sz w:val="21"/>
                <w:szCs w:val="21"/>
                <w:highlight w:val="none"/>
                <w:lang w:val="en-US" w:eastAsia="zh-CN"/>
                <w14:textFill>
                  <w14:solidFill>
                    <w14:schemeClr w14:val="tx1"/>
                  </w14:solidFill>
                </w14:textFill>
              </w:rPr>
              <w:t>薪资及管理费方案（7分）：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的薪资结构清晰，人均支出不低于90000元，确保合法合规，薪资方案具有市场竞争力，能够吸引并留住优秀人才，且承诺随政府政策调整而适时上调薪资与社保基数，管理费报价合理，既反映了供应商合理的运营成本，又未过分增加项目总成本负担</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的，得7分；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薪资方案基本符合要求，薪资具有一定的市场竞争力，但可能在某些方面略逊于顶尖水平，管理费报价相对合理，但在成本效益比上有待优化，可能略微增加了项目成本压力</w:t>
            </w:r>
            <w:r>
              <w:rPr>
                <w:rFonts w:hint="eastAsia" w:ascii="宋体" w:hAnsi="宋体" w:eastAsia="宋体" w:cs="宋体"/>
                <w:color w:val="000000" w:themeColor="text1"/>
                <w:sz w:val="21"/>
                <w:szCs w:val="21"/>
                <w:highlight w:val="none"/>
                <w:lang w:val="en-US" w:eastAsia="zh-CN"/>
                <w14:textFill>
                  <w14:solidFill>
                    <w14:schemeClr w14:val="tx1"/>
                  </w14:solidFill>
                </w14:textFill>
              </w:rPr>
              <w:t>，得5分；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lang w:val="en-US" w:eastAsia="zh-CN"/>
                <w14:textFill>
                  <w14:solidFill>
                    <w14:schemeClr w14:val="tx1"/>
                  </w14:solidFill>
                </w14:textFill>
              </w:rPr>
              <w:t>薪资结构基本合理，但人均成本控制偏紧，薪资整体水平一般，可能影响到人才吸引与保留，管理费报价偏高，可能对项目整体成本造成较大压力</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的，得3分；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④无</w:t>
            </w:r>
            <w:r>
              <w:rPr>
                <w:rFonts w:hint="eastAsia" w:ascii="宋体" w:hAnsi="宋体" w:eastAsia="宋体" w:cs="宋体"/>
                <w:color w:val="000000" w:themeColor="text1"/>
                <w:sz w:val="21"/>
                <w:szCs w:val="21"/>
                <w:highlight w:val="none"/>
                <w:lang w:val="en-US" w:eastAsia="zh-CN"/>
                <w14:textFill>
                  <w14:solidFill>
                    <w14:schemeClr w14:val="tx1"/>
                  </w14:solidFill>
                </w14:textFill>
              </w:rPr>
              <w:t>薪资福利及管理费</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方案的，得0分。</w:t>
            </w:r>
          </w:p>
        </w:tc>
        <w:tc>
          <w:tcPr>
            <w:tcW w:w="1072" w:type="dxa"/>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050" w:type="dxa"/>
            <w:vMerge w:val="continue"/>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9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员工福利与激励机制</w:t>
            </w:r>
          </w:p>
        </w:tc>
        <w:tc>
          <w:tcPr>
            <w:tcW w:w="5274" w:type="dxa"/>
            <w:noWrap/>
            <w:vAlign w:val="center"/>
          </w:tcPr>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员工福利与激励机制（7分）：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提供全面的社会保障，除基本餐补（≥</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元/月/人）、年度体检、团队建设活动外，额外提供如节日礼物、生日福利、带薪年假等多样化福利，设立绩效奖金制度，明确绩效评价标准与奖金计算方法，绩效优异者可获得高额奖金，提供职业晋升通道，包括内部晋升机会、技能提升培训及外部学习资助</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的，得7分；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社会保障齐全，但某些保险缴纳额度接近但未完全达到宁波市政府规定标准，提供基本福利如餐补、年度体检和一定次数的团建，但种类或额度较第一档有所减少，有绩效奖金制度，但标准或计算方法不够明确，或奖金额度相对较低，职业发展路径存在，但晋升机会或培训资源有限</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的，得5分；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lang w:val="en-US" w:eastAsia="zh-CN"/>
                <w14:textFill>
                  <w14:solidFill>
                    <w14:schemeClr w14:val="tx1"/>
                  </w14:solidFill>
                </w14:textFill>
              </w:rPr>
              <w:t>社会保障覆盖主要保险类型，但某些险种缴纳额度低于市场平均水平，基础福利存在，但可能缺少餐补、体检或团队建设活动中的某一项，绩效奖金机制不明确或未设立，缺乏有效激励员工提升工作效率的方式，职业发展支持有限</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得3分；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④无</w:t>
            </w:r>
            <w:r>
              <w:rPr>
                <w:rFonts w:hint="eastAsia" w:ascii="宋体" w:hAnsi="宋体" w:eastAsia="宋体" w:cs="宋体"/>
                <w:color w:val="000000" w:themeColor="text1"/>
                <w:sz w:val="21"/>
                <w:szCs w:val="21"/>
                <w:highlight w:val="none"/>
                <w:lang w:val="en-US" w:eastAsia="zh-CN"/>
                <w14:textFill>
                  <w14:solidFill>
                    <w14:schemeClr w14:val="tx1"/>
                  </w14:solidFill>
                </w14:textFill>
              </w:rPr>
              <w:t>员工福利与激励机制</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方案的，得0分。</w:t>
            </w:r>
          </w:p>
        </w:tc>
        <w:tc>
          <w:tcPr>
            <w:tcW w:w="107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1050" w:type="dxa"/>
            <w:vMerge w:val="continue"/>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9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入职培训方案</w:t>
            </w:r>
          </w:p>
        </w:tc>
        <w:tc>
          <w:tcPr>
            <w:tcW w:w="5274" w:type="dxa"/>
            <w:noWrap/>
            <w:vAlign w:val="center"/>
          </w:tcPr>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入职培训方案（7分）：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color w:val="000000" w:themeColor="text1"/>
                <w:sz w:val="21"/>
                <w:szCs w:val="21"/>
                <w:highlight w:val="none"/>
                <w:lang w:val="en-US" w:eastAsia="zh-CN"/>
                <w14:textFill>
                  <w14:solidFill>
                    <w14:schemeClr w14:val="tx1"/>
                  </w14:solidFill>
                </w14:textFill>
              </w:rPr>
              <w:t>培训内容全面覆盖职业素养、业务知识、操作技能、安全教育、服务礼仪、团队协作、紧急应对等多个维度，且针对不同岗位有专门定制的培训模块，培训材料丰富，确保培训内容的时效性和实用性</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师资队伍由行业专家、资深员工及外部培训机构的专业讲师组成，确保培训的专业性和权威性，采用多种培训方式</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的，得7分；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lang w:val="en-US" w:eastAsia="zh-CN"/>
                <w14:textFill>
                  <w14:solidFill>
                    <w14:schemeClr w14:val="tx1"/>
                  </w14:solidFill>
                </w14:textFill>
              </w:rPr>
              <w:t>培训内容较为全面，但针对性稍弱，部分岗位培训内容未能完全贴合实际工作需求，培训资料基本满足需求，师资队伍较为专业，采用多种培训方式</w:t>
            </w:r>
            <w:r>
              <w:rPr>
                <w:rFonts w:hint="eastAsia" w:ascii="宋体" w:hAnsi="宋体" w:eastAsia="宋体" w:cs="宋体"/>
                <w:color w:val="000000" w:themeColor="text1"/>
                <w:sz w:val="21"/>
                <w:szCs w:val="21"/>
                <w:highlight w:val="none"/>
                <w:lang w:val="en-US" w:eastAsia="zh-CN"/>
                <w14:textFill>
                  <w14:solidFill>
                    <w14:schemeClr w14:val="tx1"/>
                  </w14:solidFill>
                </w14:textFill>
              </w:rPr>
              <w:t>，的5分；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lang w:val="en-US" w:eastAsia="zh-CN"/>
                <w14:textFill>
                  <w14:solidFill>
                    <w14:schemeClr w14:val="tx1"/>
                  </w14:solidFill>
                </w14:textFill>
              </w:rPr>
              <w:t>培训内容基本满足岗位要求，但深度和广度不够，，培训资料较为基础，培训方式单一</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的，得3分；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④无</w:t>
            </w:r>
            <w:r>
              <w:rPr>
                <w:rFonts w:hint="eastAsia" w:ascii="宋体" w:hAnsi="宋体" w:eastAsia="宋体" w:cs="宋体"/>
                <w:color w:val="000000" w:themeColor="text1"/>
                <w:sz w:val="21"/>
                <w:szCs w:val="21"/>
                <w:highlight w:val="none"/>
                <w:lang w:val="en-US" w:eastAsia="zh-CN"/>
                <w14:textFill>
                  <w14:solidFill>
                    <w14:schemeClr w14:val="tx1"/>
                  </w14:solidFill>
                </w14:textFill>
              </w:rPr>
              <w:t>入职培训</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方案的，得0分。</w:t>
            </w:r>
          </w:p>
        </w:tc>
        <w:tc>
          <w:tcPr>
            <w:tcW w:w="107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1050" w:type="dxa"/>
            <w:vMerge w:val="continue"/>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92" w:type="dxa"/>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到岗时间承诺</w:t>
            </w:r>
          </w:p>
        </w:tc>
        <w:tc>
          <w:tcPr>
            <w:tcW w:w="5274" w:type="dxa"/>
            <w:noWrap/>
            <w:vAlign w:val="center"/>
          </w:tcPr>
          <w:p>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到岗时间承诺（</w:t>
            </w:r>
            <w:r>
              <w:rPr>
                <w:rFonts w:hint="eastAsia" w:ascii="宋体" w:hAnsi="宋体" w:eastAsia="宋体" w:cs="宋体"/>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color w:val="000000" w:themeColor="text1"/>
                <w:sz w:val="21"/>
                <w:szCs w:val="21"/>
                <w:highlight w:val="none"/>
                <w:lang w:eastAsia="zh-CN"/>
                <w14:textFill>
                  <w14:solidFill>
                    <w14:schemeClr w14:val="tx1"/>
                  </w14:solidFill>
                </w14:textFill>
              </w:rPr>
              <w:t>承诺1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日内全部人员到岗，得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5分；</w:t>
            </w:r>
          </w:p>
          <w:p>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eastAsia="zh-CN"/>
                <w14:textFill>
                  <w14:solidFill>
                    <w14:schemeClr w14:val="tx1"/>
                  </w14:solidFill>
                </w14:textFill>
              </w:rPr>
              <w:t>日内到岗，得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lang w:eastAsia="zh-CN"/>
                <w14:textFill>
                  <w14:solidFill>
                    <w14:schemeClr w14:val="tx1"/>
                  </w14:solidFill>
                </w14:textFill>
              </w:rPr>
              <w:t>超过</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lang w:eastAsia="zh-CN"/>
                <w14:textFill>
                  <w14:solidFill>
                    <w14:schemeClr w14:val="tx1"/>
                  </w14:solidFill>
                </w14:textFill>
              </w:rPr>
              <w:t>无明确到岗时间承诺，得0分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07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0" w:hRule="atLeast"/>
          <w:jc w:val="center"/>
        </w:trPr>
        <w:tc>
          <w:tcPr>
            <w:tcW w:w="1050" w:type="dxa"/>
            <w:vMerge w:val="continue"/>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92" w:type="dxa"/>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管理制度</w:t>
            </w:r>
          </w:p>
        </w:tc>
        <w:tc>
          <w:tcPr>
            <w:tcW w:w="5274" w:type="dxa"/>
            <w:noWrap/>
            <w:vAlign w:val="center"/>
          </w:tcPr>
          <w:p>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针对本项目的管理制度（包括组织结构、职责分工、决策流程、内部控制方面）进行综合评审（</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w:t>
            </w:r>
          </w:p>
          <w:p>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color w:val="000000" w:themeColor="text1"/>
                <w:sz w:val="21"/>
                <w:szCs w:val="21"/>
                <w:highlight w:val="none"/>
                <w14:textFill>
                  <w14:solidFill>
                    <w14:schemeClr w14:val="tx1"/>
                  </w14:solidFill>
                </w14:textFill>
              </w:rPr>
              <w:t>管理制度规范，制度内容满足本项目实施的风险管理和内控要求的，能确保项目的顺利进行的，得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14:textFill>
                  <w14:solidFill>
                    <w14:schemeClr w14:val="tx1"/>
                  </w14:solidFill>
                </w14:textFill>
              </w:rPr>
              <w:t>管理制度比较规范，制度内容基本能够满足项目实施的风险管理和内控要求的，能基本确保项目的顺利进行的，得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14:textFill>
                  <w14:solidFill>
                    <w14:schemeClr w14:val="tx1"/>
                  </w14:solidFill>
                </w14:textFill>
              </w:rPr>
              <w:t>管理制度欠规范，制度内容不能良好满足项目实施的风险管理和内控要求的，无法有效管理和控制项目风险的，得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④</w:t>
            </w:r>
            <w:r>
              <w:rPr>
                <w:rFonts w:hint="eastAsia" w:ascii="宋体" w:hAnsi="宋体" w:eastAsia="宋体" w:cs="宋体"/>
                <w:color w:val="000000" w:themeColor="text1"/>
                <w:sz w:val="21"/>
                <w:szCs w:val="21"/>
                <w:highlight w:val="none"/>
                <w14:textFill>
                  <w14:solidFill>
                    <w14:schemeClr w14:val="tx1"/>
                  </w14:solidFill>
                </w14:textFill>
              </w:rPr>
              <w:t>未提供的不得分。</w:t>
            </w:r>
          </w:p>
        </w:tc>
        <w:tc>
          <w:tcPr>
            <w:tcW w:w="107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7" w:hRule="atLeast"/>
          <w:jc w:val="center"/>
        </w:trPr>
        <w:tc>
          <w:tcPr>
            <w:tcW w:w="1050" w:type="dxa"/>
            <w:vMerge w:val="continue"/>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92" w:type="dxa"/>
            <w:vMerge w:val="restart"/>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售后服务与支持</w:t>
            </w:r>
          </w:p>
        </w:tc>
        <w:tc>
          <w:tcPr>
            <w:tcW w:w="5274" w:type="dxa"/>
            <w:noWrap/>
            <w:vAlign w:val="center"/>
          </w:tcPr>
          <w:p>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售后服务体系（</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color w:val="000000" w:themeColor="text1"/>
                <w:sz w:val="21"/>
                <w:szCs w:val="21"/>
                <w:highlight w:val="none"/>
                <w14:textFill>
                  <w14:solidFill>
                    <w14:schemeClr w14:val="tx1"/>
                  </w14:solidFill>
                </w14:textFill>
              </w:rPr>
              <w:t>售后服务方案内容详实，能为采购人提供高效便捷且高标准的售后保障服务，同时提供问题解决报告和后续预防措施，建立定期沟通机制，及时反馈服务表现，主动征求客户意见，对客户反馈积极响应并快速调整服务策略</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的，得6分；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14:textFill>
                  <w14:solidFill>
                    <w14:schemeClr w14:val="tx1"/>
                  </w14:solidFill>
                </w14:textFill>
              </w:rPr>
              <w:t>售后服务方案内容比较详细，服务标准较高，能为采购人提供较完善的售后保障服务的，能够给出解决方案的时间表，并在大部分情况下按时完成，定期向客户报告服务情况，能够接受并处理客户反馈的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得4分；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14:textFill>
                  <w14:solidFill>
                    <w14:schemeClr w14:val="tx1"/>
                  </w14:solidFill>
                </w14:textFill>
              </w:rPr>
              <w:t>售后服务方案与维保方案售后服务方案内容笼统，服务内容少，服务标准低的，且在问题解决的透明度和反馈机制上有所欠缺，缺乏主动反馈</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的，得2分；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④</w:t>
            </w:r>
            <w:r>
              <w:rPr>
                <w:rFonts w:hint="eastAsia" w:ascii="宋体" w:hAnsi="宋体" w:eastAsia="宋体" w:cs="宋体"/>
                <w:color w:val="000000" w:themeColor="text1"/>
                <w:sz w:val="21"/>
                <w:szCs w:val="21"/>
                <w:highlight w:val="none"/>
                <w14:textFill>
                  <w14:solidFill>
                    <w14:schemeClr w14:val="tx1"/>
                  </w14:solidFill>
                </w14:textFill>
              </w:rPr>
              <w:t>未提供的不得分。</w:t>
            </w:r>
          </w:p>
        </w:tc>
        <w:tc>
          <w:tcPr>
            <w:tcW w:w="1072" w:type="dxa"/>
            <w:vMerge w:val="restart"/>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050" w:type="dxa"/>
            <w:vMerge w:val="continue"/>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92" w:type="dxa"/>
            <w:vMerge w:val="continue"/>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274" w:type="dxa"/>
            <w:noWrap/>
            <w:vAlign w:val="center"/>
          </w:tcPr>
          <w:p>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改进与支持（</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①方案</w:t>
            </w:r>
            <w:r>
              <w:rPr>
                <w:rFonts w:hint="eastAsia" w:ascii="宋体" w:hAnsi="宋体" w:eastAsia="宋体" w:cs="宋体"/>
                <w:color w:val="000000" w:themeColor="text1"/>
                <w:sz w:val="21"/>
                <w:szCs w:val="21"/>
                <w:highlight w:val="none"/>
                <w14:textFill>
                  <w14:solidFill>
                    <w14:schemeClr w14:val="tx1"/>
                  </w14:solidFill>
                </w14:textFill>
              </w:rPr>
              <w:t>每季度实施一次全面服务效果评估，涵盖客户满意度、服务效率、质量控制等关键指标，评估结果以书面形式报告给采购人，建立了一个闭环改进系统，明确列出改进措施、责任人员、预期效果及完成时限，每项改进措施完成后，进行效果验证并记录在案，对于特定时段（如大型活动、紧急情况）提供定制化服务保障计划，包括增派人员、加强培训等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的，得6分；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②方案</w:t>
            </w:r>
            <w:r>
              <w:rPr>
                <w:rFonts w:hint="eastAsia" w:ascii="宋体" w:hAnsi="宋体" w:eastAsia="宋体" w:cs="宋体"/>
                <w:color w:val="000000" w:themeColor="text1"/>
                <w:sz w:val="21"/>
                <w:szCs w:val="21"/>
                <w:highlight w:val="none"/>
                <w14:textFill>
                  <w14:solidFill>
                    <w14:schemeClr w14:val="tx1"/>
                  </w14:solidFill>
                </w14:textFill>
              </w:rPr>
              <w:t>每半年进行一次服务效果评估，但能覆盖主要服务领域，有明确的改进计划，但具体措施的跟踪与验证</w:t>
            </w:r>
            <w:r>
              <w:rPr>
                <w:rFonts w:hint="eastAsia" w:ascii="宋体" w:hAnsi="宋体" w:eastAsia="宋体" w:cs="宋体"/>
                <w:color w:val="000000" w:themeColor="text1"/>
                <w:sz w:val="21"/>
                <w:szCs w:val="21"/>
                <w:highlight w:val="none"/>
                <w:lang w:val="en-US" w:eastAsia="zh-CN"/>
                <w14:textFill>
                  <w14:solidFill>
                    <w14:schemeClr w14:val="tx1"/>
                  </w14:solidFill>
                </w14:textFill>
              </w:rPr>
              <w:t>较</w:t>
            </w:r>
            <w:r>
              <w:rPr>
                <w:rFonts w:hint="eastAsia" w:ascii="宋体" w:hAnsi="宋体" w:eastAsia="宋体" w:cs="宋体"/>
                <w:color w:val="000000" w:themeColor="text1"/>
                <w:sz w:val="21"/>
                <w:szCs w:val="21"/>
                <w:highlight w:val="none"/>
                <w14:textFill>
                  <w14:solidFill>
                    <w14:schemeClr w14:val="tx1"/>
                  </w14:solidFill>
                </w14:textFill>
              </w:rPr>
              <w:t>详细，改进周期可能稍长，能基本满足项目需求，对于特殊时期有一定的服务增强计划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的，得4分；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③方案</w:t>
            </w:r>
            <w:r>
              <w:rPr>
                <w:rFonts w:hint="eastAsia" w:ascii="宋体" w:hAnsi="宋体" w:eastAsia="宋体" w:cs="宋体"/>
                <w:color w:val="000000" w:themeColor="text1"/>
                <w:sz w:val="21"/>
                <w:szCs w:val="21"/>
                <w:highlight w:val="none"/>
                <w14:textFill>
                  <w14:solidFill>
                    <w14:schemeClr w14:val="tx1"/>
                  </w14:solidFill>
                </w14:textFill>
              </w:rPr>
              <w:t>年度进行一次服务评估，评估内容覆盖面较窄，反馈周期较长，有改进意愿，但缺乏明确的改进流程和时间表，改进效果不易量化，对特殊时期的服务支持考虑不足，缺乏具体的应对措施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的，得2分；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④</w:t>
            </w:r>
            <w:r>
              <w:rPr>
                <w:rFonts w:hint="eastAsia" w:ascii="宋体" w:hAnsi="宋体" w:eastAsia="宋体" w:cs="宋体"/>
                <w:color w:val="000000" w:themeColor="text1"/>
                <w:sz w:val="21"/>
                <w:szCs w:val="21"/>
                <w:highlight w:val="none"/>
                <w14:textFill>
                  <w14:solidFill>
                    <w14:schemeClr w14:val="tx1"/>
                  </w14:solidFill>
                </w14:textFill>
              </w:rPr>
              <w:t>未提供的不得分。</w:t>
            </w:r>
          </w:p>
        </w:tc>
        <w:tc>
          <w:tcPr>
            <w:tcW w:w="1072" w:type="dxa"/>
            <w:vMerge w:val="continue"/>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jc w:val="center"/>
        </w:trPr>
        <w:tc>
          <w:tcPr>
            <w:tcW w:w="1050" w:type="dxa"/>
            <w:vMerge w:val="continue"/>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9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项目负责人</w:t>
            </w:r>
            <w:r>
              <w:rPr>
                <w:rFonts w:hint="eastAsia" w:ascii="宋体" w:hAnsi="宋体" w:eastAsia="宋体" w:cs="宋体"/>
                <w:color w:val="000000" w:themeColor="text1"/>
                <w:sz w:val="21"/>
                <w:szCs w:val="21"/>
                <w:highlight w:val="none"/>
                <w14:textFill>
                  <w14:solidFill>
                    <w14:schemeClr w14:val="tx1"/>
                  </w14:solidFill>
                </w14:textFill>
              </w:rPr>
              <w:t>资质</w:t>
            </w:r>
          </w:p>
        </w:tc>
        <w:tc>
          <w:tcPr>
            <w:tcW w:w="5274" w:type="dxa"/>
            <w:noWrap/>
            <w:vAlign w:val="center"/>
          </w:tcPr>
          <w:p>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项目负责人资质（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14:textFill>
                  <w14:solidFill>
                    <w14:schemeClr w14:val="tx1"/>
                  </w14:solidFill>
                </w14:textFill>
              </w:rPr>
              <w:t>高级人力资源管理师（原国家职业资格一级）</w:t>
            </w:r>
            <w:r>
              <w:rPr>
                <w:rFonts w:hint="eastAsia" w:ascii="宋体" w:hAnsi="宋体" w:eastAsia="宋体" w:cs="宋体"/>
                <w:color w:val="000000" w:themeColor="text1"/>
                <w:sz w:val="21"/>
                <w:szCs w:val="21"/>
                <w:highlight w:val="none"/>
                <w:lang w:val="en-US" w:eastAsia="zh-CN"/>
                <w14:textFill>
                  <w14:solidFill>
                    <w14:schemeClr w14:val="tx1"/>
                  </w14:solidFill>
                </w14:textFill>
              </w:rPr>
              <w:t>及以上职业资格证书的，得6分；</w:t>
            </w:r>
          </w:p>
          <w:p>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具有中级人力资源管理师（原国家职业资格二级）的职业资格证书的，得3分，</w:t>
            </w:r>
            <w:r>
              <w:rPr>
                <w:rFonts w:hint="eastAsia" w:ascii="宋体" w:hAnsi="宋体" w:eastAsia="宋体" w:cs="宋体"/>
                <w:color w:val="000000" w:themeColor="text1"/>
                <w:sz w:val="21"/>
                <w:szCs w:val="21"/>
                <w:highlight w:val="none"/>
                <w14:textFill>
                  <w14:solidFill>
                    <w14:schemeClr w14:val="tx1"/>
                  </w14:solidFill>
                </w14:textFill>
              </w:rPr>
              <w:t>其余不得分。</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注：投标文件内提供由国家认可的机构颁发</w:t>
            </w:r>
            <w:r>
              <w:rPr>
                <w:rFonts w:hint="eastAsia" w:ascii="宋体" w:hAnsi="宋体" w:eastAsia="宋体" w:cs="宋体"/>
                <w:color w:val="000000" w:themeColor="text1"/>
                <w:sz w:val="21"/>
                <w:szCs w:val="21"/>
                <w:highlight w:val="none"/>
                <w:lang w:val="en-US" w:eastAsia="zh-CN"/>
                <w14:textFill>
                  <w14:solidFill>
                    <w14:schemeClr w14:val="tx1"/>
                  </w14:solidFill>
                </w14:textFill>
              </w:rPr>
              <w:t>的证书扫描件，未按照要求提供材料或不符合要求的不予计分。</w:t>
            </w:r>
          </w:p>
        </w:tc>
        <w:tc>
          <w:tcPr>
            <w:tcW w:w="107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1050" w:type="dxa"/>
            <w:vMerge w:val="continue"/>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9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体系认证</w:t>
            </w:r>
          </w:p>
        </w:tc>
        <w:tc>
          <w:tcPr>
            <w:tcW w:w="5274" w:type="dxa"/>
            <w:noWrap/>
            <w:vAlign w:val="center"/>
          </w:tcPr>
          <w:p>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持有下述由国家认证认可监督管理委员会批准的认证机构颁发的有效认证</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（1）质量管理体系认证；</w:t>
            </w:r>
          </w:p>
          <w:p>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（2）环境管理体系认证；</w:t>
            </w:r>
          </w:p>
          <w:p>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（3）职业健康安全管理体系认证；</w:t>
            </w:r>
          </w:p>
          <w:p>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信息安全管理体系认证</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每提供1个得1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w:t>
            </w:r>
          </w:p>
          <w:p>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注：投标文件中提供证书</w:t>
            </w:r>
            <w:r>
              <w:rPr>
                <w:rFonts w:hint="eastAsia" w:ascii="宋体" w:hAnsi="宋体" w:eastAsia="宋体" w:cs="宋体"/>
                <w:color w:val="000000" w:themeColor="text1"/>
                <w:sz w:val="21"/>
                <w:szCs w:val="21"/>
                <w:highlight w:val="none"/>
                <w:lang w:val="en-US" w:eastAsia="zh-CN"/>
                <w14:textFill>
                  <w14:solidFill>
                    <w14:schemeClr w14:val="tx1"/>
                  </w14:solidFill>
                </w14:textFill>
              </w:rPr>
              <w:t>扫描件</w:t>
            </w:r>
            <w:r>
              <w:rPr>
                <w:rFonts w:hint="eastAsia" w:ascii="宋体" w:hAnsi="宋体" w:eastAsia="宋体" w:cs="宋体"/>
                <w:color w:val="000000" w:themeColor="text1"/>
                <w:sz w:val="21"/>
                <w:szCs w:val="21"/>
                <w:highlight w:val="none"/>
                <w14:textFill>
                  <w14:solidFill>
                    <w14:schemeClr w14:val="tx1"/>
                  </w14:solidFill>
                </w14:textFill>
              </w:rPr>
              <w:t>及全国认证认可信息公共服务平台官网证书信息查询截图，认证覆盖的业务范围包含人力资源服务，</w:t>
            </w:r>
            <w:r>
              <w:rPr>
                <w:rFonts w:hint="eastAsia" w:ascii="宋体" w:hAnsi="宋体" w:eastAsia="宋体" w:cs="宋体"/>
                <w:color w:val="000000" w:themeColor="text1"/>
                <w:sz w:val="21"/>
                <w:szCs w:val="21"/>
                <w:highlight w:val="none"/>
                <w:lang w:val="en-US" w:eastAsia="zh-CN"/>
                <w14:textFill>
                  <w14:solidFill>
                    <w14:schemeClr w14:val="tx1"/>
                  </w14:solidFill>
                </w14:textFill>
              </w:rPr>
              <w:t>未提供或不符合不得分</w:t>
            </w:r>
            <w:r>
              <w:rPr>
                <w:rFonts w:hint="eastAsia" w:ascii="宋体" w:hAnsi="宋体" w:eastAsia="宋体" w:cs="宋体"/>
                <w:color w:val="000000" w:themeColor="text1"/>
                <w:sz w:val="21"/>
                <w:szCs w:val="21"/>
                <w:highlight w:val="none"/>
                <w14:textFill>
                  <w14:solidFill>
                    <w14:schemeClr w14:val="tx1"/>
                  </w14:solidFill>
                </w14:textFill>
              </w:rPr>
              <w:t>。</w:t>
            </w:r>
          </w:p>
        </w:tc>
        <w:tc>
          <w:tcPr>
            <w:tcW w:w="1072" w:type="dxa"/>
            <w:noWrap/>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1050" w:type="dxa"/>
            <w:vMerge w:val="continue"/>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92" w:type="dxa"/>
            <w:noWrap/>
            <w:vAlign w:val="center"/>
          </w:tcPr>
          <w:p>
            <w:pPr>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类似项目业绩</w:t>
            </w:r>
          </w:p>
        </w:tc>
        <w:tc>
          <w:tcPr>
            <w:tcW w:w="5274" w:type="dxa"/>
            <w:noWrap/>
            <w:vAlign w:val="center"/>
          </w:tcPr>
          <w:p>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自2021年1月1日至今（以签订日期为准），具有同类项目业绩的，每提供一份合同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协议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的得0.</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分，本项最高得1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pPr>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注：投标文件中提供相关合同（协议）</w:t>
            </w:r>
            <w:r>
              <w:rPr>
                <w:rFonts w:hint="eastAsia" w:ascii="宋体" w:hAnsi="宋体" w:eastAsia="宋体" w:cs="宋体"/>
                <w:color w:val="000000" w:themeColor="text1"/>
                <w:sz w:val="21"/>
                <w:szCs w:val="21"/>
                <w:highlight w:val="none"/>
                <w14:textFill>
                  <w14:solidFill>
                    <w14:schemeClr w14:val="tx1"/>
                  </w14:solidFill>
                </w14:textFill>
              </w:rPr>
              <w:t>扫描件</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未按照要求提供材料或不符合要求的不予计分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1072" w:type="dxa"/>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0" w:type="dxa"/>
            <w:noWrap/>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w:t>
            </w:r>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738" w:type="dxa"/>
            <w:gridSpan w:val="3"/>
            <w:noWrap/>
            <w:vAlign w:val="center"/>
          </w:tcPr>
          <w:p>
            <w:pPr>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价格分统一采用低价优先法，即满足招标文件要求且投标价格最低的投标报价为评标基准价，其价格分为满分。其他投标人的价格分统一按照下列公式计算：</w:t>
            </w:r>
          </w:p>
          <w:p>
            <w:pPr>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投标报价得分＝（评标基准价/投标报价）× 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r>
    </w:tbl>
    <w:p>
      <w:pPr>
        <w:spacing w:line="360" w:lineRule="auto"/>
        <w:rPr>
          <w:rFonts w:hint="eastAsia" w:ascii="宋体" w:hAnsi="宋体" w:eastAsia="宋体" w:cs="宋体"/>
          <w:color w:val="000000" w:themeColor="text1"/>
          <w:spacing w:val="14"/>
          <w:szCs w:val="21"/>
          <w:highlight w:val="none"/>
          <w14:textFill>
            <w14:solidFill>
              <w14:schemeClr w14:val="tx1"/>
            </w14:solidFill>
          </w14:textFill>
        </w:rPr>
      </w:pPr>
      <w:r>
        <w:rPr>
          <w:rFonts w:hint="eastAsia" w:ascii="宋体" w:hAnsi="宋体" w:eastAsia="宋体" w:cs="宋体"/>
          <w:color w:val="000000" w:themeColor="text1"/>
          <w:spacing w:val="14"/>
          <w:szCs w:val="21"/>
          <w:highlight w:val="none"/>
          <w14:textFill>
            <w14:solidFill>
              <w14:schemeClr w14:val="tx1"/>
            </w14:solidFill>
          </w14:textFill>
        </w:rPr>
        <w:t>评委签名：                                 日  期：</w:t>
      </w:r>
    </w:p>
    <w:p>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pPr>
        <w:pStyle w:val="4"/>
        <w:rPr>
          <w:rFonts w:hint="eastAsia" w:ascii="宋体" w:hAnsi="宋体" w:eastAsia="宋体" w:cs="宋体"/>
          <w:highlight w:val="none"/>
        </w:rPr>
      </w:pPr>
      <w:bookmarkStart w:id="46" w:name="_Toc34844745"/>
      <w:bookmarkStart w:id="47" w:name="_Toc4394"/>
      <w:r>
        <w:rPr>
          <w:rFonts w:hint="eastAsia" w:ascii="宋体" w:hAnsi="宋体" w:eastAsia="宋体" w:cs="宋体"/>
          <w:highlight w:val="none"/>
        </w:rPr>
        <w:t>第</w:t>
      </w:r>
      <w:r>
        <w:rPr>
          <w:rFonts w:hint="eastAsia" w:ascii="宋体" w:hAnsi="宋体" w:eastAsia="宋体" w:cs="宋体"/>
          <w:highlight w:val="none"/>
          <w:lang w:val="en-US" w:eastAsia="zh-CN"/>
        </w:rPr>
        <w:t>五</w:t>
      </w:r>
      <w:r>
        <w:rPr>
          <w:rFonts w:hint="eastAsia" w:ascii="宋体" w:hAnsi="宋体" w:eastAsia="宋体" w:cs="宋体"/>
          <w:highlight w:val="none"/>
        </w:rPr>
        <w:t>章  合同文本</w:t>
      </w:r>
      <w:bookmarkEnd w:id="46"/>
      <w:bookmarkEnd w:id="47"/>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adjustRightInd w:val="0"/>
        <w:snapToGrid w:val="0"/>
        <w:spacing w:line="560" w:lineRule="exact"/>
        <w:ind w:left="3045" w:leftChars="1450" w:firstLine="422" w:firstLineChars="200"/>
        <w:rPr>
          <w:rFonts w:hint="eastAsia" w:ascii="宋体" w:hAnsi="宋体" w:eastAsia="宋体" w:cs="宋体"/>
          <w:b/>
          <w:color w:val="000000" w:themeColor="text1"/>
          <w:kern w:val="0"/>
          <w:highlight w:val="none"/>
          <w14:textFill>
            <w14:solidFill>
              <w14:schemeClr w14:val="tx1"/>
            </w14:solidFill>
          </w14:textFill>
        </w:rPr>
      </w:pPr>
    </w:p>
    <w:p>
      <w:pPr>
        <w:adjustRightInd w:val="0"/>
        <w:snapToGrid w:val="0"/>
        <w:spacing w:line="560" w:lineRule="exact"/>
        <w:ind w:left="3045" w:leftChars="1450" w:firstLine="422" w:firstLineChars="200"/>
        <w:rPr>
          <w:rFonts w:hint="eastAsia"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 xml:space="preserve"> </w:t>
      </w:r>
    </w:p>
    <w:p>
      <w:pPr>
        <w:adjustRightInd w:val="0"/>
        <w:snapToGrid w:val="0"/>
        <w:spacing w:line="560" w:lineRule="exact"/>
        <w:ind w:left="3045" w:leftChars="1450" w:firstLine="422" w:firstLineChars="200"/>
        <w:rPr>
          <w:rFonts w:hint="eastAsia" w:ascii="宋体" w:hAnsi="宋体" w:eastAsia="宋体" w:cs="宋体"/>
          <w:b/>
          <w:color w:val="000000" w:themeColor="text1"/>
          <w:kern w:val="0"/>
          <w:highlight w:val="none"/>
          <w14:textFill>
            <w14:solidFill>
              <w14:schemeClr w14:val="tx1"/>
            </w14:solidFill>
          </w14:textFill>
        </w:rPr>
      </w:pPr>
    </w:p>
    <w:p>
      <w:pPr>
        <w:adjustRightInd w:val="0"/>
        <w:snapToGrid w:val="0"/>
        <w:spacing w:line="560" w:lineRule="exact"/>
        <w:ind w:left="3045" w:leftChars="1450" w:firstLine="422" w:firstLineChars="200"/>
        <w:rPr>
          <w:rFonts w:hint="eastAsia" w:ascii="宋体" w:hAnsi="宋体" w:eastAsia="宋体" w:cs="宋体"/>
          <w:b/>
          <w:color w:val="000000" w:themeColor="text1"/>
          <w:kern w:val="0"/>
          <w:highlight w:val="none"/>
          <w14:textFill>
            <w14:solidFill>
              <w14:schemeClr w14:val="tx1"/>
            </w14:solidFill>
          </w14:textFill>
        </w:rPr>
      </w:pPr>
    </w:p>
    <w:p>
      <w:pPr>
        <w:adjustRightInd w:val="0"/>
        <w:snapToGrid w:val="0"/>
        <w:spacing w:line="480" w:lineRule="auto"/>
        <w:jc w:val="center"/>
        <w:rPr>
          <w:rFonts w:hint="eastAsia" w:ascii="宋体" w:hAnsi="宋体" w:eastAsia="宋体" w:cs="宋体"/>
          <w:b/>
          <w:color w:val="000000" w:themeColor="text1"/>
          <w:kern w:val="0"/>
          <w:sz w:val="44"/>
          <w:szCs w:val="44"/>
          <w:highlight w:val="none"/>
          <w14:textFill>
            <w14:solidFill>
              <w14:schemeClr w14:val="tx1"/>
            </w14:solidFill>
          </w14:textFill>
        </w:rPr>
      </w:pPr>
      <w:r>
        <w:rPr>
          <w:rFonts w:hint="eastAsia" w:ascii="宋体" w:hAnsi="宋体" w:eastAsia="宋体" w:cs="宋体"/>
          <w:b/>
          <w:color w:val="000000" w:themeColor="text1"/>
          <w:kern w:val="0"/>
          <w:sz w:val="44"/>
          <w:szCs w:val="44"/>
          <w:highlight w:val="none"/>
          <w14:textFill>
            <w14:solidFill>
              <w14:schemeClr w14:val="tx1"/>
            </w14:solidFill>
          </w14:textFill>
        </w:rPr>
        <w:t>政府采购合同</w:t>
      </w:r>
    </w:p>
    <w:p>
      <w:pPr>
        <w:adjustRightInd w:val="0"/>
        <w:snapToGrid w:val="0"/>
        <w:spacing w:line="48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(服务类）</w:t>
      </w: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pacing w:line="360" w:lineRule="auto"/>
        <w:ind w:firstLine="1280" w:firstLineChars="40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项目名称:</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spacing w:line="360" w:lineRule="auto"/>
        <w:ind w:firstLine="1280" w:firstLineChars="40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采购人（全称）:</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spacing w:line="360" w:lineRule="auto"/>
        <w:ind w:firstLine="1280" w:firstLineChars="40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供应商（全称）:</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spacing w:line="360" w:lineRule="auto"/>
        <w:ind w:firstLine="1280" w:firstLineChars="40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签订日期:</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p>
    <w:p>
      <w:pPr>
        <w:spacing w:line="360" w:lineRule="auto"/>
        <w:ind w:firstLine="1280" w:firstLineChars="40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签订地点:</w:t>
      </w:r>
      <w:r>
        <w:rPr>
          <w:rFonts w:hint="eastAsia" w:ascii="宋体" w:hAnsi="宋体" w:eastAsia="宋体" w:cs="宋体"/>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采购人（全称，以下简称甲方）：</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供应商（全称，以下简称乙方）：</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为了保护甲、乙双方合法权益，根据《中华人民共和国民法典》、《中华人民共和国政府采购法》及其他有关法律法规规定，为保证政府采购服务质量，明确双方的权利义务，经甲乙双方协商，本着平等互利和诚实信用的原则，双方一致同意，签订本合同。</w:t>
      </w:r>
    </w:p>
    <w:p>
      <w:pPr>
        <w:adjustRightInd w:val="0"/>
        <w:snapToGrid w:val="0"/>
        <w:spacing w:line="360" w:lineRule="auto"/>
        <w:ind w:firstLine="422" w:firstLineChars="2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w:t>
      </w:r>
      <w:r>
        <w:rPr>
          <w:rFonts w:hint="eastAsia" w:ascii="宋体" w:hAnsi="宋体" w:eastAsia="宋体" w:cs="宋体"/>
          <w:b/>
          <w:color w:val="000000" w:themeColor="text1"/>
          <w:kern w:val="0"/>
          <w:szCs w:val="21"/>
          <w:highlight w:val="none"/>
          <w14:textFill>
            <w14:solidFill>
              <w14:schemeClr w14:val="tx1"/>
            </w14:solidFill>
          </w14:textFill>
        </w:rPr>
        <w:t>服务项目内容</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1.1甲方通过</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方</w:t>
      </w:r>
      <w:r>
        <w:rPr>
          <w:rFonts w:hint="eastAsia" w:ascii="宋体" w:hAnsi="宋体" w:eastAsia="宋体" w:cs="宋体"/>
          <w:color w:val="000000" w:themeColor="text1"/>
          <w:kern w:val="0"/>
          <w:szCs w:val="21"/>
          <w:highlight w:val="none"/>
          <w14:textFill>
            <w14:solidFill>
              <w14:schemeClr w14:val="tx1"/>
            </w14:solidFill>
          </w14:textFill>
        </w:rPr>
        <w:t>式确定由乙方提供以下服务</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 服务内容及数量（可另附明细附件）</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210" w:firstLineChars="1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1.3 服务地点：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1.4 </w:t>
      </w:r>
      <w:r>
        <w:rPr>
          <w:rFonts w:hint="eastAsia" w:ascii="宋体" w:hAnsi="宋体" w:eastAsia="宋体" w:cs="宋体"/>
          <w:color w:val="000000" w:themeColor="text1"/>
          <w:kern w:val="0"/>
          <w:szCs w:val="21"/>
          <w:highlight w:val="none"/>
          <w14:textFill>
            <w14:solidFill>
              <w14:schemeClr w14:val="tx1"/>
            </w14:solidFill>
          </w14:textFill>
        </w:rPr>
        <w:t>服务期限：自</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日至</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14:textFill>
            <w14:solidFill>
              <w14:schemeClr w14:val="tx1"/>
            </w14:solidFill>
          </w14:textFill>
        </w:rPr>
        <w:t>。</w:t>
      </w:r>
    </w:p>
    <w:p>
      <w:pPr>
        <w:spacing w:line="360" w:lineRule="auto"/>
        <w:ind w:firstLine="422"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2.</w:t>
      </w:r>
      <w:r>
        <w:rPr>
          <w:rFonts w:hint="eastAsia" w:ascii="宋体" w:hAnsi="宋体" w:eastAsia="宋体" w:cs="宋体"/>
          <w:b/>
          <w:color w:val="000000" w:themeColor="text1"/>
          <w:kern w:val="0"/>
          <w:szCs w:val="21"/>
          <w:highlight w:val="none"/>
          <w14:textFill>
            <w14:solidFill>
              <w14:schemeClr w14:val="tx1"/>
            </w14:solidFill>
          </w14:textFill>
        </w:rPr>
        <w:t xml:space="preserve"> 服务项目质量标准和要求</w:t>
      </w:r>
      <w:r>
        <w:rPr>
          <w:rFonts w:hint="eastAsia" w:ascii="宋体" w:hAnsi="宋体" w:eastAsia="宋体" w:cs="宋体"/>
          <w:color w:val="000000" w:themeColor="text1"/>
          <w:kern w:val="0"/>
          <w:szCs w:val="21"/>
          <w:highlight w:val="none"/>
          <w14:textFill>
            <w14:solidFill>
              <w14:schemeClr w14:val="tx1"/>
            </w14:solidFill>
          </w14:textFill>
        </w:rPr>
        <w:t>（可另附明细附件)</w:t>
      </w:r>
    </w:p>
    <w:p>
      <w:pPr>
        <w:adjustRightInd w:val="0"/>
        <w:snapToGrid w:val="0"/>
        <w:spacing w:line="360" w:lineRule="auto"/>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2" w:firstLineChars="2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3.</w:t>
      </w:r>
      <w:r>
        <w:rPr>
          <w:rFonts w:hint="eastAsia" w:ascii="宋体" w:hAnsi="宋体" w:eastAsia="宋体" w:cs="宋体"/>
          <w:b/>
          <w:color w:val="000000" w:themeColor="text1"/>
          <w:kern w:val="0"/>
          <w:szCs w:val="21"/>
          <w:highlight w:val="none"/>
          <w14:textFill>
            <w14:solidFill>
              <w14:schemeClr w14:val="tx1"/>
            </w14:solidFill>
          </w14:textFill>
        </w:rPr>
        <w:t xml:space="preserve"> 合同金额及报价明细</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3.1本合同服务费用总金额为（大写）：</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元人民币</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3.2报价明细：</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3.3合同服务费用应包括履约验收产生的检验（监测）费、劳务报酬等费用；</w:t>
      </w:r>
    </w:p>
    <w:p>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3.4乙方开户名称：</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开户银行</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银行帐号：</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2"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4.</w:t>
      </w:r>
      <w:r>
        <w:rPr>
          <w:rFonts w:hint="eastAsia" w:ascii="宋体" w:hAnsi="宋体" w:eastAsia="宋体" w:cs="宋体"/>
          <w:b/>
          <w:color w:val="000000" w:themeColor="text1"/>
          <w:kern w:val="0"/>
          <w:szCs w:val="21"/>
          <w:highlight w:val="none"/>
          <w14:textFill>
            <w14:solidFill>
              <w14:schemeClr w14:val="tx1"/>
            </w14:solidFill>
          </w14:textFill>
        </w:rPr>
        <w:t xml:space="preserve"> 付款方式</w:t>
      </w: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甲方以下述第</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项方式支付合同款项。</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4.1一次性付款：</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乙方履约完毕后且甲方按照本合同第5条规定验收合格后，</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日内一次性支付全部服务费。</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4.2分期支付：</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（1）按年/按季度/按月支付等额的服务费；</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本合同签订后</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日内，甲方向乙方支付</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元（或服务费总额的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%)；在交付服务成果并经验收合格后，支付服务费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元（或服务费总额的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4.3</w:t>
      </w:r>
      <w:r>
        <w:rPr>
          <w:rFonts w:hint="eastAsia" w:ascii="宋体" w:hAnsi="宋体" w:eastAsia="宋体" w:cs="宋体"/>
          <w:color w:val="000000" w:themeColor="text1"/>
          <w:kern w:val="0"/>
          <w:szCs w:val="21"/>
          <w:highlight w:val="none"/>
          <w14:textFill>
            <w14:solidFill>
              <w14:schemeClr w14:val="tx1"/>
            </w14:solidFill>
          </w14:textFill>
        </w:rPr>
        <w:t>按本合同项下的项目进度支付服务费（应根据项目特点具体约定,以下阶段支付仅为参考）：</w:t>
      </w:r>
    </w:p>
    <w:p>
      <w:pPr>
        <w:adjustRightInd w:val="0"/>
        <w:snapToGrid w:val="0"/>
        <w:spacing w:line="360" w:lineRule="auto"/>
        <w:ind w:left="105" w:leftChars="50" w:firstLine="315" w:firstLineChars="1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乙方服务人员到达服务地点并提交服务实施方案后</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日内，甲方将总服务费的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%支付给乙方；</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第二次付款为总服务费的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%,甲方在乙方提交服务阶段报告及其它文件,且该报告及相关文件符合本合同要求并经甲方验收后</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日内付给乙方；</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最后一次付款为总服务费的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%，甲方应在乙方完全履行合同，递交服务总报告及相关文件资料并经甲方验收完毕日内付给乙方。</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4.4其他付款：</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2" w:firstLineChars="2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5.</w:t>
      </w:r>
      <w:r>
        <w:rPr>
          <w:rFonts w:hint="eastAsia" w:ascii="宋体" w:hAnsi="宋体" w:eastAsia="宋体" w:cs="宋体"/>
          <w:b/>
          <w:color w:val="000000" w:themeColor="text1"/>
          <w:kern w:val="0"/>
          <w:szCs w:val="21"/>
          <w:highlight w:val="none"/>
          <w14:textFill>
            <w14:solidFill>
              <w14:schemeClr w14:val="tx1"/>
            </w14:solidFill>
          </w14:textFill>
        </w:rPr>
        <w:t>验收</w:t>
      </w:r>
      <w:r>
        <w:rPr>
          <w:rFonts w:hint="eastAsia" w:ascii="宋体" w:hAnsi="宋体" w:eastAsia="宋体" w:cs="宋体"/>
          <w:b/>
          <w:color w:val="000000" w:themeColor="text1"/>
          <w:kern w:val="0"/>
          <w:szCs w:val="21"/>
          <w:highlight w:val="none"/>
          <w14:textFill>
            <w14:solidFill>
              <w14:schemeClr w14:val="tx1"/>
            </w14:solidFill>
          </w14:textFill>
        </w:rPr>
        <w:t>程序、方法</w:t>
      </w:r>
      <w:r>
        <w:rPr>
          <w:rFonts w:hint="eastAsia" w:ascii="宋体" w:hAnsi="宋体" w:eastAsia="宋体" w:cs="宋体"/>
          <w:b/>
          <w:color w:val="000000" w:themeColor="text1"/>
          <w:kern w:val="0"/>
          <w:szCs w:val="21"/>
          <w:highlight w:val="none"/>
          <w14:textFill>
            <w14:solidFill>
              <w14:schemeClr w14:val="tx1"/>
            </w14:solidFill>
          </w14:textFill>
        </w:rPr>
        <w:t>及标准</w:t>
      </w:r>
    </w:p>
    <w:p>
      <w:pPr>
        <w:widowControl/>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5.1本项目验收按照《宁波市政府采购履约验收管理办法》（甬财采〔2021〕1051号）文件执行。</w:t>
      </w:r>
    </w:p>
    <w:p>
      <w:pPr>
        <w:pStyle w:val="410"/>
        <w:spacing w:before="0" w:beforeAutospacing="0" w:after="12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5.2验收程序，可按照简易程序验收</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或一般程序验收</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进行验收。</w:t>
      </w:r>
    </w:p>
    <w:p>
      <w:pPr>
        <w:pStyle w:val="410"/>
        <w:spacing w:before="0" w:beforeAutospacing="0" w:after="12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5.3验收方法，可按照一次性验收</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、分段验收</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或分期验收</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进行验收。</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5.4验收标准（可另附明细附件)：</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widowControl/>
        <w:spacing w:line="360" w:lineRule="auto"/>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6.履约保证金（如有）</w:t>
      </w:r>
    </w:p>
    <w:p>
      <w:pPr>
        <w:widowControl/>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6.1乙方在签订本合同之日，向甲方或甲方指定的机构提交履约保证金</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元。</w:t>
      </w:r>
    </w:p>
    <w:p>
      <w:pPr>
        <w:widowControl/>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6.2履约保证金的有效期为甲、乙双方签署验收单后的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天。</w:t>
      </w:r>
    </w:p>
    <w:p>
      <w:pPr>
        <w:widowControl/>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6.3如乙方未能履行合同规定的义务，甲方有权从履约保证金中取得补偿。</w:t>
      </w:r>
    </w:p>
    <w:p>
      <w:pPr>
        <w:widowControl/>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6.4履约保证金扣除甲方应得的补偿后的余额在有效期满后</w:t>
      </w:r>
      <w:r>
        <w:rPr>
          <w:rFonts w:hint="eastAsia" w:ascii="宋体" w:hAnsi="宋体" w:eastAsia="宋体" w:cs="宋体"/>
          <w:color w:val="000000" w:themeColor="text1"/>
          <w:kern w:val="0"/>
          <w:szCs w:val="21"/>
          <w:highlight w:val="none"/>
          <w14:textFill>
            <w14:solidFill>
              <w14:schemeClr w14:val="tx1"/>
            </w14:solidFill>
          </w14:textFill>
        </w:rPr>
        <w:t>____天</w:t>
      </w:r>
      <w:r>
        <w:rPr>
          <w:rFonts w:hint="eastAsia" w:ascii="宋体" w:hAnsi="宋体" w:eastAsia="宋体" w:cs="宋体"/>
          <w:color w:val="000000" w:themeColor="text1"/>
          <w:kern w:val="0"/>
          <w:szCs w:val="21"/>
          <w:highlight w:val="none"/>
          <w14:textFill>
            <w14:solidFill>
              <w14:schemeClr w14:val="tx1"/>
            </w14:solidFill>
          </w14:textFill>
        </w:rPr>
        <w:t>内退还乙方。</w:t>
      </w:r>
    </w:p>
    <w:p>
      <w:pPr>
        <w:adjustRightInd w:val="0"/>
        <w:snapToGrid w:val="0"/>
        <w:spacing w:line="360" w:lineRule="auto"/>
        <w:ind w:firstLine="422" w:firstLineChars="2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7.</w:t>
      </w:r>
      <w:r>
        <w:rPr>
          <w:rFonts w:hint="eastAsia" w:ascii="宋体" w:hAnsi="宋体" w:eastAsia="宋体" w:cs="宋体"/>
          <w:b/>
          <w:color w:val="000000" w:themeColor="text1"/>
          <w:kern w:val="0"/>
          <w:szCs w:val="21"/>
          <w:highlight w:val="none"/>
          <w14:textFill>
            <w14:solidFill>
              <w14:schemeClr w14:val="tx1"/>
            </w14:solidFill>
          </w14:textFill>
        </w:rPr>
        <w:t>甲方的权利和义务</w:t>
      </w:r>
    </w:p>
    <w:p>
      <w:pPr>
        <w:widowControl/>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7.1甲方的权利</w:t>
      </w:r>
    </w:p>
    <w:p>
      <w:pPr>
        <w:widowControl/>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（1）甲方有权随时向乙方了解项目进度，并要求乙方提供项目相关资料。</w:t>
      </w:r>
    </w:p>
    <w:p>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（2）甲方有权对项目资金使用情况进行监督、检查，并要求乙方提供相关资料。</w:t>
      </w:r>
    </w:p>
    <w:p>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widowControl/>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（4）甲方有权在乙方履行合同过程中出现损害或可能损害公共利益、公共安全情形时终</w:t>
      </w:r>
      <w:r>
        <w:rPr>
          <w:rFonts w:hint="eastAsia" w:ascii="宋体" w:hAnsi="宋体" w:eastAsia="宋体" w:cs="宋体"/>
          <w:color w:val="000000" w:themeColor="text1"/>
          <w:kern w:val="0"/>
          <w:szCs w:val="21"/>
          <w:highlight w:val="none"/>
          <w14:textFill>
            <w14:solidFill>
              <w14:schemeClr w14:val="tx1"/>
            </w14:solidFill>
          </w14:textFill>
        </w:rPr>
        <w:t>止本合同。</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甲方有权根据国家政策或法律法规的变动对服务项目的需求标准和质量要求作出相应变动或者取消项目。</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甲方有权将乙方履行合同情况及不符合</w:t>
      </w:r>
      <w:r>
        <w:rPr>
          <w:rFonts w:hint="eastAsia" w:ascii="宋体" w:hAnsi="宋体" w:eastAsia="宋体" w:cs="宋体"/>
          <w:color w:val="000000" w:themeColor="text1"/>
          <w:kern w:val="0"/>
          <w:szCs w:val="21"/>
          <w:highlight w:val="none"/>
          <w14:textFill>
            <w14:solidFill>
              <w14:schemeClr w14:val="tx1"/>
            </w14:solidFill>
          </w14:textFill>
        </w:rPr>
        <w:t>相关法律法规的</w:t>
      </w:r>
      <w:r>
        <w:rPr>
          <w:rFonts w:hint="eastAsia" w:ascii="宋体" w:hAnsi="宋体" w:eastAsia="宋体" w:cs="宋体"/>
          <w:color w:val="000000" w:themeColor="text1"/>
          <w:kern w:val="0"/>
          <w:szCs w:val="21"/>
          <w:highlight w:val="none"/>
          <w14:textFill>
            <w14:solidFill>
              <w14:schemeClr w14:val="tx1"/>
            </w14:solidFill>
          </w14:textFill>
        </w:rPr>
        <w:t>规定情况，向相关部门报告并纳入不良信用记录、年检（报）、评估、执法等监管体系中。</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7.2</w:t>
      </w:r>
      <w:r>
        <w:rPr>
          <w:rFonts w:hint="eastAsia" w:ascii="宋体" w:hAnsi="宋体" w:eastAsia="宋体" w:cs="宋体"/>
          <w:color w:val="000000" w:themeColor="text1"/>
          <w:kern w:val="0"/>
          <w:szCs w:val="21"/>
          <w:highlight w:val="none"/>
          <w14:textFill>
            <w14:solidFill>
              <w14:schemeClr w14:val="tx1"/>
            </w14:solidFill>
          </w14:textFill>
        </w:rPr>
        <w:t>甲方的义务</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甲方应及时向乙方提供与履行本合同相关的所有必须的文件、资料。</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甲方应为乙方履行本合同过程中与相关政府部门及其他第三方的沟通、协调提供必要的协助。</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甲方应按照合同约定支付服务费用。</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2" w:firstLineChars="2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8.</w:t>
      </w:r>
      <w:r>
        <w:rPr>
          <w:rFonts w:hint="eastAsia" w:ascii="宋体" w:hAnsi="宋体" w:eastAsia="宋体" w:cs="宋体"/>
          <w:b/>
          <w:color w:val="000000" w:themeColor="text1"/>
          <w:kern w:val="0"/>
          <w:szCs w:val="21"/>
          <w:highlight w:val="none"/>
          <w14:textFill>
            <w14:solidFill>
              <w14:schemeClr w14:val="tx1"/>
            </w14:solidFill>
          </w14:textFill>
        </w:rPr>
        <w:t>乙方的权利和义务</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8.1</w:t>
      </w:r>
      <w:r>
        <w:rPr>
          <w:rFonts w:hint="eastAsia" w:ascii="宋体" w:hAnsi="宋体" w:eastAsia="宋体" w:cs="宋体"/>
          <w:color w:val="000000" w:themeColor="text1"/>
          <w:kern w:val="0"/>
          <w:szCs w:val="21"/>
          <w:highlight w:val="none"/>
          <w14:textFill>
            <w14:solidFill>
              <w14:schemeClr w14:val="tx1"/>
            </w14:solidFill>
          </w14:textFill>
        </w:rPr>
        <w:t>乙方的权利</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乙方有权按照本合同约定向甲方收取服务费用。</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乙方有权自甲方处获得与提供本合同项下服务相关的所有必须的文件、资料。</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8.2</w:t>
      </w:r>
      <w:r>
        <w:rPr>
          <w:rFonts w:hint="eastAsia" w:ascii="宋体" w:hAnsi="宋体" w:eastAsia="宋体" w:cs="宋体"/>
          <w:color w:val="000000" w:themeColor="text1"/>
          <w:kern w:val="0"/>
          <w:szCs w:val="21"/>
          <w:highlight w:val="none"/>
          <w14:textFill>
            <w14:solidFill>
              <w14:schemeClr w14:val="tx1"/>
            </w14:solidFill>
          </w14:textFill>
        </w:rPr>
        <w:t>乙方的义务</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乙方应配备具有相应资质、特定经验的工作人员负责项目实施，按照本合同约定的标准、要求和时间完成项目。</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乙方不得以任何理由将本合同项下的服务项目转包给第三方承担。</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乙方应全面履行本项目实施过程中的相关安全管理职责，因乙方未尽到管理职责发生安全事故的，由乙方承担相应的法律责任。</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乙方承诺根据本合同提供的服务及相关的软件和技术资料，均已取得有关知识产权的权利人的合法授权。如发生涉及到专利权、著作权、商标权等争议，乙方负责处理并承担由此引起的全部法律及经济责任。</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r>
        <w:rPr>
          <w:rFonts w:hint="eastAsia" w:ascii="宋体" w:hAnsi="宋体" w:eastAsia="宋体" w:cs="宋体"/>
          <w:color w:val="000000" w:themeColor="text1"/>
          <w:kern w:val="0"/>
          <w:szCs w:val="21"/>
          <w:highlight w:val="none"/>
          <w14:textFill>
            <w14:solidFill>
              <w14:schemeClr w14:val="tx1"/>
            </w14:solidFill>
          </w14:textFill>
        </w:rPr>
        <w:t>乙方应接受并配合甲方或甲方组织的对本合同履行情况的监督与检查，对于甲方指出的问题，应及时作出合理解释或予以纠正。</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乙方应对项目资金进行规范的财务管理和会计核算，加强自身监督，确保资金规范管理和使用。</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r>
        <w:rPr>
          <w:rFonts w:hint="eastAsia" w:ascii="宋体" w:hAnsi="宋体" w:eastAsia="宋体" w:cs="宋体"/>
          <w:color w:val="000000" w:themeColor="text1"/>
          <w:kern w:val="0"/>
          <w:szCs w:val="21"/>
          <w:highlight w:val="none"/>
          <w14:textFill>
            <w14:solidFill>
              <w14:schemeClr w14:val="tx1"/>
            </w14:solidFill>
          </w14:textFill>
        </w:rPr>
        <w:t>乙方应建立健全财务管理与报告制度，按要求向甲方提供资金的使用情况、项目执行情况、成果总结等材料，并配合甲方及甲方组织的监督检查或绩效评价。</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r>
        <w:rPr>
          <w:rFonts w:hint="eastAsia" w:ascii="宋体" w:hAnsi="宋体" w:eastAsia="宋体" w:cs="宋体"/>
          <w:color w:val="000000" w:themeColor="text1"/>
          <w:kern w:val="0"/>
          <w:szCs w:val="21"/>
          <w:highlight w:val="none"/>
          <w14:textFill>
            <w14:solidFill>
              <w14:schemeClr w14:val="tx1"/>
            </w14:solidFill>
          </w14:textFill>
        </w:rPr>
        <w:t>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项目交付后，乙方应无条件返还甲方向其提供的文件、资料并向甲方移交项目资料，同时乙方应当自留一份完整的项目档案并予以妥善保存。</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2" w:firstLineChars="2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9.</w:t>
      </w:r>
      <w:r>
        <w:rPr>
          <w:rFonts w:hint="eastAsia" w:ascii="宋体" w:hAnsi="宋体" w:eastAsia="宋体" w:cs="宋体"/>
          <w:b/>
          <w:color w:val="000000" w:themeColor="text1"/>
          <w:kern w:val="0"/>
          <w:szCs w:val="21"/>
          <w:highlight w:val="none"/>
          <w14:textFill>
            <w14:solidFill>
              <w14:schemeClr w14:val="tx1"/>
            </w14:solidFill>
          </w14:textFill>
        </w:rPr>
        <w:t xml:space="preserve"> 违约责任</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9.1</w:t>
      </w:r>
      <w:r>
        <w:rPr>
          <w:rFonts w:hint="eastAsia" w:ascii="宋体" w:hAnsi="宋体" w:eastAsia="宋体" w:cs="宋体"/>
          <w:color w:val="000000" w:themeColor="text1"/>
          <w:kern w:val="0"/>
          <w:szCs w:val="21"/>
          <w:highlight w:val="none"/>
          <w14:textFill>
            <w14:solidFill>
              <w14:schemeClr w14:val="tx1"/>
            </w14:solidFill>
          </w14:textFill>
        </w:rPr>
        <w:t>甲方无正当理由拒绝接收服务，到期拒付服务费的，甲方向乙方偿付本合同总服务费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%的违约金。甲方逾期付款的，则每日按逾期金额的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%向乙方偿付违约金。</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9.2</w:t>
      </w:r>
      <w:r>
        <w:rPr>
          <w:rFonts w:hint="eastAsia" w:ascii="宋体" w:hAnsi="宋体" w:eastAsia="宋体" w:cs="宋体"/>
          <w:color w:val="000000" w:themeColor="text1"/>
          <w:kern w:val="0"/>
          <w:szCs w:val="21"/>
          <w:highlight w:val="none"/>
          <w14:textFill>
            <w14:solidFill>
              <w14:schemeClr w14:val="tx1"/>
            </w14:solidFill>
          </w14:textFill>
        </w:rPr>
        <w:t>乙方提供的服务不符合本项目相关文件和本合同规定的，甲方有权拒收，并且乙方须向甲方支付本合同总服务费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%的违约金。</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9.3</w:t>
      </w:r>
      <w:r>
        <w:rPr>
          <w:rFonts w:hint="eastAsia" w:ascii="宋体" w:hAnsi="宋体" w:eastAsia="宋体" w:cs="宋体"/>
          <w:color w:val="000000" w:themeColor="text1"/>
          <w:kern w:val="0"/>
          <w:szCs w:val="21"/>
          <w:highlight w:val="none"/>
          <w14:textFill>
            <w14:solidFill>
              <w14:schemeClr w14:val="tx1"/>
            </w14:solidFill>
          </w14:textFill>
        </w:rPr>
        <w:t>乙方未能按照本合同约定时间提供服务或完成约定的项目服务内容的，从逾期之日起每日按本合同总服务费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%的数额向甲方支付违约金；逾期</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日以上的，甲方有权终止合同，由此造成的甲方经济损失由乙方承担。</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4其他违约责任按《中华人民共和国</w:t>
      </w:r>
      <w:r>
        <w:rPr>
          <w:rFonts w:hint="eastAsia" w:ascii="宋体" w:hAnsi="宋体" w:eastAsia="宋体" w:cs="宋体"/>
          <w:color w:val="000000" w:themeColor="text1"/>
          <w:kern w:val="0"/>
          <w:szCs w:val="21"/>
          <w:highlight w:val="none"/>
          <w14:textFill>
            <w14:solidFill>
              <w14:schemeClr w14:val="tx1"/>
            </w14:solidFill>
          </w14:textFill>
        </w:rPr>
        <w:t>民</w:t>
      </w:r>
      <w:r>
        <w:rPr>
          <w:rFonts w:hint="eastAsia" w:ascii="宋体" w:hAnsi="宋体" w:eastAsia="宋体" w:cs="宋体"/>
          <w:color w:val="000000" w:themeColor="text1"/>
          <w:kern w:val="0"/>
          <w:szCs w:val="21"/>
          <w:highlight w:val="none"/>
          <w14:textFill>
            <w14:solidFill>
              <w14:schemeClr w14:val="tx1"/>
            </w14:solidFill>
          </w14:textFill>
        </w:rPr>
        <w:t>法</w:t>
      </w:r>
      <w:r>
        <w:rPr>
          <w:rFonts w:hint="eastAsia" w:ascii="宋体" w:hAnsi="宋体" w:eastAsia="宋体" w:cs="宋体"/>
          <w:color w:val="000000" w:themeColor="text1"/>
          <w:kern w:val="0"/>
          <w:szCs w:val="21"/>
          <w:highlight w:val="none"/>
          <w14:textFill>
            <w14:solidFill>
              <w14:schemeClr w14:val="tx1"/>
            </w14:solidFill>
          </w14:textFill>
        </w:rPr>
        <w:t>典</w:t>
      </w:r>
      <w:r>
        <w:rPr>
          <w:rFonts w:hint="eastAsia" w:ascii="宋体" w:hAnsi="宋体" w:eastAsia="宋体" w:cs="宋体"/>
          <w:color w:val="000000" w:themeColor="text1"/>
          <w:kern w:val="0"/>
          <w:szCs w:val="21"/>
          <w:highlight w:val="none"/>
          <w14:textFill>
            <w14:solidFill>
              <w14:schemeClr w14:val="tx1"/>
            </w14:solidFill>
          </w14:textFill>
        </w:rPr>
        <w:t>》处理。</w:t>
      </w:r>
    </w:p>
    <w:p>
      <w:pPr>
        <w:adjustRightInd w:val="0"/>
        <w:snapToGrid w:val="0"/>
        <w:spacing w:line="360" w:lineRule="auto"/>
        <w:ind w:firstLine="422" w:firstLineChars="2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10.</w:t>
      </w:r>
      <w:r>
        <w:rPr>
          <w:rFonts w:hint="eastAsia" w:ascii="宋体" w:hAnsi="宋体" w:eastAsia="宋体" w:cs="宋体"/>
          <w:b/>
          <w:color w:val="000000" w:themeColor="text1"/>
          <w:kern w:val="0"/>
          <w:szCs w:val="21"/>
          <w:highlight w:val="none"/>
          <w14:textFill>
            <w14:solidFill>
              <w14:schemeClr w14:val="tx1"/>
            </w14:solidFill>
          </w14:textFill>
        </w:rPr>
        <w:t xml:space="preserve"> 知识产权归属</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2" w:firstLineChars="2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11.</w:t>
      </w:r>
      <w:r>
        <w:rPr>
          <w:rFonts w:hint="eastAsia" w:ascii="宋体" w:hAnsi="宋体" w:eastAsia="宋体" w:cs="宋体"/>
          <w:b/>
          <w:color w:val="000000" w:themeColor="text1"/>
          <w:kern w:val="0"/>
          <w:szCs w:val="21"/>
          <w:highlight w:val="none"/>
          <w14:textFill>
            <w14:solidFill>
              <w14:schemeClr w14:val="tx1"/>
            </w14:solidFill>
          </w14:textFill>
        </w:rPr>
        <w:t>保密条款</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11.1</w:t>
      </w:r>
      <w:r>
        <w:rPr>
          <w:rFonts w:hint="eastAsia" w:ascii="宋体" w:hAnsi="宋体" w:eastAsia="宋体" w:cs="宋体"/>
          <w:color w:val="000000" w:themeColor="text1"/>
          <w:kern w:val="0"/>
          <w:szCs w:val="21"/>
          <w:highlight w:val="none"/>
          <w14:textFill>
            <w14:solidFill>
              <w14:schemeClr w14:val="tx1"/>
            </w14:solidFill>
          </w14:textFill>
        </w:rPr>
        <w:t>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11.2</w:t>
      </w:r>
      <w:r>
        <w:rPr>
          <w:rFonts w:hint="eastAsia" w:ascii="宋体" w:hAnsi="宋体" w:eastAsia="宋体" w:cs="宋体"/>
          <w:color w:val="000000" w:themeColor="text1"/>
          <w:kern w:val="0"/>
          <w:szCs w:val="21"/>
          <w:highlight w:val="none"/>
          <w14:textFill>
            <w14:solidFill>
              <w14:schemeClr w14:val="tx1"/>
            </w14:solidFill>
          </w14:textFill>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adjustRightInd w:val="0"/>
        <w:snapToGrid w:val="0"/>
        <w:spacing w:line="360" w:lineRule="auto"/>
        <w:ind w:firstLine="422" w:firstLineChars="2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12.</w:t>
      </w:r>
      <w:r>
        <w:rPr>
          <w:rFonts w:hint="eastAsia" w:ascii="宋体" w:hAnsi="宋体" w:eastAsia="宋体" w:cs="宋体"/>
          <w:b/>
          <w:color w:val="000000" w:themeColor="text1"/>
          <w:kern w:val="0"/>
          <w:szCs w:val="21"/>
          <w:highlight w:val="none"/>
          <w14:textFill>
            <w14:solidFill>
              <w14:schemeClr w14:val="tx1"/>
            </w14:solidFill>
          </w14:textFill>
        </w:rPr>
        <w:t xml:space="preserve"> 争议的解决</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本合同在履行过程中发生的任何争议，如双方不能通过友好协商解决，通过</w:t>
      </w:r>
      <w:r>
        <w:rPr>
          <w:rFonts w:hint="eastAsia" w:ascii="宋体" w:hAnsi="宋体" w:eastAsia="宋体" w:cs="宋体"/>
          <w:color w:val="000000" w:themeColor="text1"/>
          <w:kern w:val="0"/>
          <w:szCs w:val="21"/>
          <w:highlight w:val="none"/>
          <w14:textFill>
            <w14:solidFill>
              <w14:schemeClr w14:val="tx1"/>
            </w14:solidFill>
          </w14:textFill>
        </w:rPr>
        <w:t>项目</w:t>
      </w:r>
      <w:r>
        <w:rPr>
          <w:rFonts w:hint="eastAsia" w:ascii="宋体" w:hAnsi="宋体" w:eastAsia="宋体" w:cs="宋体"/>
          <w:color w:val="000000" w:themeColor="text1"/>
          <w:kern w:val="0"/>
          <w:szCs w:val="21"/>
          <w:highlight w:val="none"/>
          <w14:textFill>
            <w14:solidFill>
              <w14:schemeClr w14:val="tx1"/>
            </w14:solidFill>
          </w14:textFill>
        </w:rPr>
        <w:t>所在地有管辖权的人民法院诉讼处理。</w:t>
      </w:r>
    </w:p>
    <w:p>
      <w:pPr>
        <w:adjustRightInd w:val="0"/>
        <w:snapToGrid w:val="0"/>
        <w:spacing w:line="360" w:lineRule="auto"/>
        <w:ind w:firstLine="422" w:firstLineChars="2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13.</w:t>
      </w:r>
      <w:r>
        <w:rPr>
          <w:rFonts w:hint="eastAsia" w:ascii="宋体" w:hAnsi="宋体" w:eastAsia="宋体" w:cs="宋体"/>
          <w:b/>
          <w:color w:val="000000" w:themeColor="text1"/>
          <w:kern w:val="0"/>
          <w:szCs w:val="21"/>
          <w:highlight w:val="none"/>
          <w14:textFill>
            <w14:solidFill>
              <w14:schemeClr w14:val="tx1"/>
            </w14:solidFill>
          </w14:textFill>
        </w:rPr>
        <w:t xml:space="preserve"> 不可抗力</w:t>
      </w:r>
    </w:p>
    <w:p>
      <w:pPr>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13.1 不可抗力是指合同双方不可预见、不可避免、不可克服的自然灾害和社会事件。</w:t>
      </w:r>
    </w:p>
    <w:p>
      <w:pPr>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13.2 任何一方对由于不可抗力造成的部分或全部不能履行合同不承担违约责任。但迟延履行后发生不可抗力的，不能免除责任。</w:t>
      </w:r>
    </w:p>
    <w:p>
      <w:pPr>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13.3 遇有不可抗力的一方，应在三日内将事件的情况以书面形式通知另一方，并在事件发生后十日内，向另一方提交合同不能履行或部分不能履行或需要延期履行理由的报告。</w:t>
      </w:r>
    </w:p>
    <w:p>
      <w:pPr>
        <w:adjustRightInd w:val="0"/>
        <w:snapToGrid w:val="0"/>
        <w:spacing w:line="360" w:lineRule="auto"/>
        <w:ind w:firstLine="422" w:firstLineChars="2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14.</w:t>
      </w:r>
      <w:r>
        <w:rPr>
          <w:rFonts w:hint="eastAsia" w:ascii="宋体" w:hAnsi="宋体" w:eastAsia="宋体" w:cs="宋体"/>
          <w:b/>
          <w:color w:val="000000" w:themeColor="text1"/>
          <w:kern w:val="0"/>
          <w:szCs w:val="21"/>
          <w:highlight w:val="none"/>
          <w14:textFill>
            <w14:solidFill>
              <w14:schemeClr w14:val="tx1"/>
            </w14:solidFill>
          </w14:textFill>
        </w:rPr>
        <w:t xml:space="preserve"> 合同的终止</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14.1</w:t>
      </w:r>
      <w:r>
        <w:rPr>
          <w:rFonts w:hint="eastAsia" w:ascii="宋体" w:hAnsi="宋体" w:eastAsia="宋体" w:cs="宋体"/>
          <w:color w:val="000000" w:themeColor="text1"/>
          <w:kern w:val="0"/>
          <w:szCs w:val="21"/>
          <w:highlight w:val="none"/>
          <w14:textFill>
            <w14:solidFill>
              <w14:schemeClr w14:val="tx1"/>
            </w14:solidFill>
          </w14:textFill>
        </w:rPr>
        <w:t>本合同期满，双方未续签合同的；</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14.2</w:t>
      </w:r>
      <w:r>
        <w:rPr>
          <w:rFonts w:hint="eastAsia" w:ascii="宋体" w:hAnsi="宋体" w:eastAsia="宋体" w:cs="宋体"/>
          <w:color w:val="000000" w:themeColor="text1"/>
          <w:kern w:val="0"/>
          <w:szCs w:val="21"/>
          <w:highlight w:val="none"/>
          <w14:textFill>
            <w14:solidFill>
              <w14:schemeClr w14:val="tx1"/>
            </w14:solidFill>
          </w14:textFill>
        </w:rPr>
        <w:t>乙方服务能力丧失，致使本合同服务无法正常提供的；</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14.3</w:t>
      </w:r>
      <w:r>
        <w:rPr>
          <w:rFonts w:hint="eastAsia" w:ascii="宋体" w:hAnsi="宋体" w:eastAsia="宋体" w:cs="宋体"/>
          <w:color w:val="000000" w:themeColor="text1"/>
          <w:kern w:val="0"/>
          <w:szCs w:val="21"/>
          <w:highlight w:val="none"/>
          <w14:textFill>
            <w14:solidFill>
              <w14:schemeClr w14:val="tx1"/>
            </w14:solidFill>
          </w14:textFill>
        </w:rPr>
        <w:t>在履行合同过程中，发现乙方已不符合承接主体应具备的条件，造成合同无法履行的；</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14.4</w:t>
      </w:r>
      <w:r>
        <w:rPr>
          <w:rFonts w:hint="eastAsia" w:ascii="宋体" w:hAnsi="宋体" w:eastAsia="宋体" w:cs="宋体"/>
          <w:color w:val="000000" w:themeColor="text1"/>
          <w:kern w:val="0"/>
          <w:szCs w:val="21"/>
          <w:highlight w:val="none"/>
          <w14:textFill>
            <w14:solidFill>
              <w14:schemeClr w14:val="tx1"/>
            </w14:solidFill>
          </w14:textFill>
        </w:rPr>
        <w:t>受国家政策或法律法规变动影响，经双方协商终止本合同的。</w:t>
      </w:r>
    </w:p>
    <w:p>
      <w:pPr>
        <w:adjustRightInd w:val="0"/>
        <w:snapToGrid w:val="0"/>
        <w:spacing w:line="360" w:lineRule="auto"/>
        <w:ind w:firstLine="422" w:firstLineChars="2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15.</w:t>
      </w:r>
      <w:r>
        <w:rPr>
          <w:rFonts w:hint="eastAsia" w:ascii="宋体" w:hAnsi="宋体" w:eastAsia="宋体" w:cs="宋体"/>
          <w:b/>
          <w:color w:val="000000" w:themeColor="text1"/>
          <w:kern w:val="0"/>
          <w:szCs w:val="21"/>
          <w:highlight w:val="none"/>
          <w14:textFill>
            <w14:solidFill>
              <w14:schemeClr w14:val="tx1"/>
            </w14:solidFill>
          </w14:textFill>
        </w:rPr>
        <w:t xml:space="preserve"> 税费发生与履行</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本合同有关的一切税费均由乙方负担。</w:t>
      </w:r>
    </w:p>
    <w:p>
      <w:pPr>
        <w:adjustRightInd w:val="0"/>
        <w:snapToGrid w:val="0"/>
        <w:spacing w:line="360" w:lineRule="auto"/>
        <w:ind w:firstLine="422" w:firstLineChars="2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16.</w:t>
      </w:r>
      <w:r>
        <w:rPr>
          <w:rFonts w:hint="eastAsia" w:ascii="宋体" w:hAnsi="宋体" w:eastAsia="宋体" w:cs="宋体"/>
          <w:b/>
          <w:color w:val="000000" w:themeColor="text1"/>
          <w:kern w:val="0"/>
          <w:szCs w:val="21"/>
          <w:highlight w:val="none"/>
          <w14:textFill>
            <w14:solidFill>
              <w14:schemeClr w14:val="tx1"/>
            </w14:solidFill>
          </w14:textFill>
        </w:rPr>
        <w:t xml:space="preserve"> 其他</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16.1</w:t>
      </w:r>
      <w:r>
        <w:rPr>
          <w:rFonts w:hint="eastAsia" w:ascii="宋体" w:hAnsi="宋体" w:eastAsia="宋体" w:cs="宋体"/>
          <w:color w:val="000000" w:themeColor="text1"/>
          <w:kern w:val="0"/>
          <w:szCs w:val="21"/>
          <w:highlight w:val="none"/>
          <w14:textFill>
            <w14:solidFill>
              <w14:schemeClr w14:val="tx1"/>
            </w14:solidFill>
          </w14:textFill>
        </w:rPr>
        <w:t>本合同所有附件及相关购买文件均为本合同的有效组成部分，与本合同具有同等法律效力。若合同附件与本合同存在不一致的，则以本合同为准。</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16.2</w:t>
      </w:r>
      <w:r>
        <w:rPr>
          <w:rFonts w:hint="eastAsia" w:ascii="宋体" w:hAnsi="宋体" w:eastAsia="宋体" w:cs="宋体"/>
          <w:color w:val="000000" w:themeColor="text1"/>
          <w:kern w:val="0"/>
          <w:szCs w:val="21"/>
          <w:highlight w:val="none"/>
          <w14:textFill>
            <w14:solidFill>
              <w14:schemeClr w14:val="tx1"/>
            </w14:solidFill>
          </w14:textFill>
        </w:rPr>
        <w:t>在履行本合同过程中，所有经双方签署确认的文件（包括</w:t>
      </w:r>
      <w:r>
        <w:rPr>
          <w:rFonts w:hint="eastAsia" w:ascii="宋体" w:hAnsi="宋体" w:eastAsia="宋体" w:cs="宋体"/>
          <w:color w:val="000000" w:themeColor="text1"/>
          <w:spacing w:val="-6"/>
          <w:kern w:val="0"/>
          <w:szCs w:val="21"/>
          <w:highlight w:val="none"/>
          <w14:textFill>
            <w14:solidFill>
              <w14:schemeClr w14:val="tx1"/>
            </w14:solidFill>
          </w14:textFill>
        </w:rPr>
        <w:t>会议纪要、补充协议、往来信函）即成为本合同的有效组成部分。</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16.3</w:t>
      </w:r>
      <w:r>
        <w:rPr>
          <w:rFonts w:hint="eastAsia" w:ascii="宋体" w:hAnsi="宋体" w:eastAsia="宋体" w:cs="宋体"/>
          <w:color w:val="000000" w:themeColor="text1"/>
          <w:kern w:val="0"/>
          <w:szCs w:val="21"/>
          <w:highlight w:val="none"/>
          <w14:textFill>
            <w14:solidFill>
              <w14:schemeClr w14:val="tx1"/>
            </w14:solidFill>
          </w14:textFill>
        </w:rPr>
        <w:t>如一方地址、电话、传真号码及乙方银行账户信息有变更，应在变更当日书面通知对方，否则，应承担相应责任。</w:t>
      </w:r>
    </w:p>
    <w:p>
      <w:pPr>
        <w:numPr>
          <w:ilvl w:val="0"/>
          <w:numId w:val="2"/>
        </w:numPr>
        <w:adjustRightInd w:val="0"/>
        <w:snapToGrid w:val="0"/>
        <w:spacing w:line="360" w:lineRule="auto"/>
        <w:ind w:firstLine="422" w:firstLineChars="200"/>
        <w:rPr>
          <w:rFonts w:hint="eastAsia" w:ascii="宋体" w:hAnsi="宋体" w:eastAsia="宋体" w:cs="宋体"/>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补充条款</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left="422"/>
        <w:rPr>
          <w:rFonts w:hint="eastAsia" w:ascii="宋体" w:hAnsi="宋体" w:eastAsia="宋体" w:cs="宋体"/>
          <w:b/>
          <w:color w:val="000000" w:themeColor="text1"/>
          <w:kern w:val="0"/>
          <w:szCs w:val="21"/>
          <w:highlight w:val="none"/>
          <w:u w:val="single"/>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b/>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2" w:firstLineChars="2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18.</w:t>
      </w:r>
      <w:r>
        <w:rPr>
          <w:rFonts w:hint="eastAsia" w:ascii="宋体" w:hAnsi="宋体" w:eastAsia="宋体" w:cs="宋体"/>
          <w:b/>
          <w:color w:val="000000" w:themeColor="text1"/>
          <w:kern w:val="0"/>
          <w:szCs w:val="21"/>
          <w:highlight w:val="none"/>
          <w14:textFill>
            <w14:solidFill>
              <w14:schemeClr w14:val="tx1"/>
            </w14:solidFill>
          </w14:textFill>
        </w:rPr>
        <w:t xml:space="preserve"> 合同生效</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18.1</w:t>
      </w:r>
      <w:r>
        <w:rPr>
          <w:rFonts w:hint="eastAsia" w:ascii="宋体" w:hAnsi="宋体" w:eastAsia="宋体" w:cs="宋体"/>
          <w:color w:val="000000" w:themeColor="text1"/>
          <w:kern w:val="0"/>
          <w:szCs w:val="21"/>
          <w:highlight w:val="none"/>
          <w14:textFill>
            <w14:solidFill>
              <w14:schemeClr w14:val="tx1"/>
            </w14:solidFill>
          </w14:textFill>
        </w:rPr>
        <w:t>本合同订立时间：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18.2</w:t>
      </w:r>
      <w:r>
        <w:rPr>
          <w:rFonts w:hint="eastAsia" w:ascii="宋体" w:hAnsi="宋体" w:eastAsia="宋体" w:cs="宋体"/>
          <w:color w:val="000000" w:themeColor="text1"/>
          <w:kern w:val="0"/>
          <w:szCs w:val="21"/>
          <w:highlight w:val="none"/>
          <w14:textFill>
            <w14:solidFill>
              <w14:schemeClr w14:val="tx1"/>
            </w14:solidFill>
          </w14:textFill>
        </w:rPr>
        <w:t>本合同订立地点：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18.3</w:t>
      </w:r>
      <w:r>
        <w:rPr>
          <w:rFonts w:hint="eastAsia" w:ascii="宋体" w:hAnsi="宋体" w:eastAsia="宋体" w:cs="宋体"/>
          <w:color w:val="000000" w:themeColor="text1"/>
          <w:kern w:val="0"/>
          <w:szCs w:val="21"/>
          <w:highlight w:val="none"/>
          <w14:textFill>
            <w14:solidFill>
              <w14:schemeClr w14:val="tx1"/>
            </w14:solidFill>
          </w14:textFill>
        </w:rPr>
        <w:t>本合同在甲、乙双方法人代表或其授权代表签章之日起生效。</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18.4</w:t>
      </w:r>
      <w:r>
        <w:rPr>
          <w:rFonts w:hint="eastAsia" w:ascii="宋体" w:hAnsi="宋体" w:eastAsia="宋体" w:cs="宋体"/>
          <w:color w:val="000000" w:themeColor="text1"/>
          <w:kern w:val="0"/>
          <w:szCs w:val="21"/>
          <w:highlight w:val="none"/>
          <w14:textFill>
            <w14:solidFill>
              <w14:schemeClr w14:val="tx1"/>
            </w14:solidFill>
          </w14:textFill>
        </w:rPr>
        <w:t>本合同一式二份，具有同等法律效力，甲乙双方各执一份。</w:t>
      </w:r>
    </w:p>
    <w:p>
      <w:pPr>
        <w:adjustRightInd w:val="0"/>
        <w:snapToGrid w:val="0"/>
        <w:spacing w:line="360" w:lineRule="auto"/>
        <w:ind w:firstLine="422"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19.</w:t>
      </w:r>
      <w:r>
        <w:rPr>
          <w:rFonts w:hint="eastAsia" w:ascii="宋体" w:hAnsi="宋体" w:eastAsia="宋体" w:cs="宋体"/>
          <w:b/>
          <w:color w:val="000000" w:themeColor="text1"/>
          <w:kern w:val="0"/>
          <w:szCs w:val="21"/>
          <w:highlight w:val="none"/>
          <w14:textFill>
            <w14:solidFill>
              <w14:schemeClr w14:val="tx1"/>
            </w14:solidFill>
          </w14:textFill>
        </w:rPr>
        <w:t xml:space="preserve"> 合同附件</w:t>
      </w:r>
      <w:r>
        <w:rPr>
          <w:rFonts w:hint="eastAsia" w:ascii="宋体" w:hAnsi="宋体" w:eastAsia="宋体" w:cs="宋体"/>
          <w:color w:val="000000" w:themeColor="text1"/>
          <w:kern w:val="0"/>
          <w:szCs w:val="21"/>
          <w:highlight w:val="none"/>
          <w14:textFill>
            <w14:solidFill>
              <w14:schemeClr w14:val="tx1"/>
            </w14:solidFill>
          </w14:textFill>
        </w:rPr>
        <w:t>（若有附件应注明附件名称）</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p>
    <w:p>
      <w:pPr>
        <w:widowControl/>
        <w:wordWrap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采购人（盖章）：</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lang w:val="en"/>
          <w14:textFill>
            <w14:solidFill>
              <w14:schemeClr w14:val="tx1"/>
            </w14:solidFill>
          </w14:textFill>
        </w:rPr>
        <w:t xml:space="preserve"> </w:t>
      </w:r>
      <w:r>
        <w:rPr>
          <w:rFonts w:hint="eastAsia" w:ascii="宋体" w:hAnsi="宋体" w:eastAsia="宋体" w:cs="宋体"/>
          <w:color w:val="000000" w:themeColor="text1"/>
          <w:kern w:val="0"/>
          <w:szCs w:val="21"/>
          <w:highlight w:val="none"/>
          <w:lang w:val="e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供应商（盖章）：</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法定代表人（盖章或签字）: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法定代表人（盖章或签字）: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委托代理人（签字）：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委托代理人（签字）：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地址：</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电话：</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传真：</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传真：</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日期：</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日      </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日期：</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w:t>
      </w:r>
    </w:p>
    <w:p>
      <w:pP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pPr>
        <w:pStyle w:val="24"/>
        <w:spacing w:beforeLines="0" w:afterLines="0" w:line="360" w:lineRule="auto"/>
        <w:ind w:firstLine="6661" w:firstLineChars="3172"/>
        <w:rPr>
          <w:rFonts w:hint="eastAsia" w:ascii="宋体" w:hAnsi="宋体" w:eastAsia="宋体" w:cs="宋体"/>
          <w:color w:val="000000" w:themeColor="text1"/>
          <w:sz w:val="21"/>
          <w:szCs w:val="21"/>
          <w:highlight w:val="none"/>
          <w14:textFill>
            <w14:solidFill>
              <w14:schemeClr w14:val="tx1"/>
            </w14:solidFill>
          </w14:textFill>
        </w:rPr>
      </w:pPr>
    </w:p>
    <w:p>
      <w:pPr>
        <w:pStyle w:val="4"/>
        <w:rPr>
          <w:rFonts w:hint="eastAsia" w:ascii="宋体" w:hAnsi="宋体" w:eastAsia="宋体" w:cs="宋体"/>
          <w:highlight w:val="none"/>
        </w:rPr>
      </w:pPr>
      <w:bookmarkStart w:id="48" w:name="_Toc8881"/>
      <w:bookmarkStart w:id="49" w:name="_Toc34844746"/>
      <w:r>
        <w:rPr>
          <w:rFonts w:hint="eastAsia" w:ascii="宋体" w:hAnsi="宋体" w:eastAsia="宋体" w:cs="宋体"/>
          <w:highlight w:val="none"/>
        </w:rPr>
        <w:t>第</w:t>
      </w:r>
      <w:r>
        <w:rPr>
          <w:rFonts w:hint="eastAsia" w:ascii="宋体" w:hAnsi="宋体" w:eastAsia="宋体" w:cs="宋体"/>
          <w:highlight w:val="none"/>
          <w:lang w:val="en-US" w:eastAsia="zh-CN"/>
        </w:rPr>
        <w:t>六</w:t>
      </w:r>
      <w:r>
        <w:rPr>
          <w:rFonts w:hint="eastAsia" w:ascii="宋体" w:hAnsi="宋体" w:eastAsia="宋体" w:cs="宋体"/>
          <w:highlight w:val="none"/>
        </w:rPr>
        <w:t>章  投标文件格式</w:t>
      </w:r>
      <w:bookmarkEnd w:id="48"/>
      <w:bookmarkEnd w:id="49"/>
    </w:p>
    <w:p>
      <w:pPr>
        <w:snapToGrid w:val="0"/>
        <w:spacing w:line="360" w:lineRule="auto"/>
        <w:ind w:left="-23" w:leftChars="-11" w:right="-214" w:rightChars="-102" w:firstLine="21" w:firstLineChars="1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1.资格要求响应文件的有关格式</w:t>
      </w:r>
    </w:p>
    <w:p>
      <w:pPr>
        <w:pStyle w:val="20"/>
        <w:spacing w:line="360" w:lineRule="auto"/>
        <w:ind w:left="0" w:leftChars="0"/>
        <w:jc w:val="center"/>
        <w:rPr>
          <w:rFonts w:hint="eastAsia" w:ascii="宋体" w:hAnsi="宋体" w:eastAsia="宋体" w:cs="宋体"/>
          <w:b/>
          <w:color w:val="000000" w:themeColor="text1"/>
          <w:kern w:val="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（1）投标人资格声明函</w:t>
      </w:r>
    </w:p>
    <w:p>
      <w:pPr>
        <w:spacing w:line="360" w:lineRule="auto"/>
        <w:rPr>
          <w:rFonts w:hint="eastAsia" w:ascii="宋体" w:hAnsi="宋体" w:eastAsia="宋体" w:cs="宋体"/>
          <w:b/>
          <w:color w:val="000000" w:themeColor="text1"/>
          <w:kern w:val="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lang w:eastAsia="zh-CN"/>
          <w14:textFill>
            <w14:solidFill>
              <w14:schemeClr w14:val="tx1"/>
            </w14:solidFill>
          </w14:textFill>
        </w:rPr>
        <w:t>宁波市自然资源和规划研究中心</w:t>
      </w:r>
      <w:r>
        <w:rPr>
          <w:rFonts w:hint="eastAsia" w:ascii="宋体" w:hAnsi="宋体" w:eastAsia="宋体" w:cs="宋体"/>
          <w:color w:val="000000" w:themeColor="text1"/>
          <w:szCs w:val="21"/>
          <w:highlight w:val="none"/>
          <w:u w:val="single"/>
          <w14:textFill>
            <w14:solidFill>
              <w14:schemeClr w14:val="tx1"/>
            </w14:solidFill>
          </w14:textFill>
        </w:rPr>
        <w:t>、宁波名诚招标代理有限公司</w:t>
      </w:r>
    </w:p>
    <w:p>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我方参与本项目政府采购活动，郑重承诺：</w:t>
      </w:r>
    </w:p>
    <w:p>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一、具备《中华人民共和国政府采购法》第二十二条第一款规定的条件：</w:t>
      </w:r>
    </w:p>
    <w:p>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1.具有独立承担民事责任的能力；</w:t>
      </w:r>
    </w:p>
    <w:p>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2.具有良好的商业信誉和健全的财务会计制度；</w:t>
      </w:r>
    </w:p>
    <w:p>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3.具有履行本项目合同所必需的设备和专业技术能力；</w:t>
      </w:r>
    </w:p>
    <w:p>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4.有依法缴纳税收和社会保障资金的良好记录；</w:t>
      </w:r>
    </w:p>
    <w:p>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6.具有法律、行政法规规定的其他条件。</w:t>
      </w:r>
    </w:p>
    <w:p>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三、不存在以下情况：</w:t>
      </w:r>
    </w:p>
    <w:p>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1、单位负责人为同一人或者存在直接控股、管理关系的不同供应商参加同一合同项下的政府采购活动的；</w:t>
      </w:r>
    </w:p>
    <w:p>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2、为采购项目提供整体设计、规范编制或者项目管理、监理、检测等服务后再参加该采购项目的其他采购活动的。</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napToGrid w:val="0"/>
        <w:spacing w:line="360" w:lineRule="auto"/>
        <w:ind w:firstLine="3685" w:firstLineChars="175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（填写全称并加盖公章)</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p>
      <w:pPr>
        <w:snapToGrid w:val="0"/>
        <w:spacing w:line="360" w:lineRule="auto"/>
        <w:ind w:firstLine="3685" w:firstLineChars="175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p>
    <w:p>
      <w:pPr>
        <w:widowControl/>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pPr>
        <w:snapToGrid w:val="0"/>
        <w:spacing w:line="360" w:lineRule="auto"/>
        <w:ind w:left="-23" w:leftChars="-11" w:right="-214" w:rightChars="-102" w:firstLine="21" w:firstLineChars="1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2.商务技术文件的有关格式</w:t>
      </w:r>
    </w:p>
    <w:p>
      <w:pPr>
        <w:pStyle w:val="20"/>
        <w:spacing w:line="360" w:lineRule="auto"/>
        <w:ind w:left="0" w:leftChars="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（1）投标函</w:t>
      </w:r>
    </w:p>
    <w:p>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lang w:eastAsia="zh-CN"/>
          <w14:textFill>
            <w14:solidFill>
              <w14:schemeClr w14:val="tx1"/>
            </w14:solidFill>
          </w14:textFill>
        </w:rPr>
        <w:t>宁波市自然资源和规划研究中心</w:t>
      </w:r>
      <w:r>
        <w:rPr>
          <w:rFonts w:hint="eastAsia" w:ascii="宋体" w:hAnsi="宋体" w:eastAsia="宋体" w:cs="宋体"/>
          <w:color w:val="000000" w:themeColor="text1"/>
          <w:szCs w:val="21"/>
          <w:highlight w:val="none"/>
          <w:u w:val="single"/>
          <w14:textFill>
            <w14:solidFill>
              <w14:schemeClr w14:val="tx1"/>
            </w14:solidFill>
          </w14:textFill>
        </w:rPr>
        <w:t>、宁波名诚招标代理有限公司</w:t>
      </w:r>
    </w:p>
    <w:p>
      <w:pPr>
        <w:snapToGrid w:val="0"/>
        <w:spacing w:line="360" w:lineRule="auto"/>
        <w:ind w:left="-23" w:leftChars="-11" w:right="-214" w:rightChars="-102" w:firstLine="447" w:firstLineChars="213"/>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根据贵方的招标公告和投标邀请，我方兹宣布同意如下：</w:t>
      </w:r>
    </w:p>
    <w:p>
      <w:pPr>
        <w:spacing w:line="360" w:lineRule="auto"/>
        <w:ind w:firstLine="4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1.按招标文件规定提供的服务以及伴随的货物的投标报价见《开标一览表》。</w:t>
      </w:r>
    </w:p>
    <w:p>
      <w:pPr>
        <w:spacing w:line="360" w:lineRule="auto"/>
        <w:ind w:firstLine="4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2.我方将根据招标文件的规定，严格履行合同的责任和义务。</w:t>
      </w:r>
    </w:p>
    <w:p>
      <w:pPr>
        <w:spacing w:line="360" w:lineRule="auto"/>
        <w:ind w:firstLine="4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pPr>
        <w:spacing w:line="360" w:lineRule="auto"/>
        <w:ind w:firstLine="4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4.我方的投标文件在招标文件规定的投标有效期之前均对我方具有约束力。</w:t>
      </w:r>
    </w:p>
    <w:p>
      <w:pPr>
        <w:spacing w:line="360" w:lineRule="auto"/>
        <w:ind w:firstLine="4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pPr>
        <w:spacing w:line="360" w:lineRule="auto"/>
        <w:ind w:firstLine="4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6.我方完全理解最低报价并不是中标的唯一标准。</w:t>
      </w:r>
    </w:p>
    <w:p>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7.如我方获得中标</w:t>
      </w:r>
      <w:r>
        <w:rPr>
          <w:rFonts w:hint="eastAsia" w:ascii="宋体" w:hAnsi="宋体" w:eastAsia="宋体" w:cs="宋体"/>
          <w:color w:val="000000" w:themeColor="text1"/>
          <w:szCs w:val="21"/>
          <w:highlight w:val="none"/>
          <w14:textFill>
            <w14:solidFill>
              <w14:schemeClr w14:val="tx1"/>
            </w14:solidFill>
          </w14:textFill>
        </w:rPr>
        <w:t>，承诺按照招标文件规定的金额、时间和方式支付采购代理服务费。因我方违约致使采购代理机构采取诉讼或仲裁等方式实现债权，为此支付的律师费、诉讼费、执行费、公证费、认证费、鉴定费、保全费、担保费、差旅费等为实现债权的一切费用由我方承担。</w:t>
      </w:r>
    </w:p>
    <w:p>
      <w:pPr>
        <w:snapToGrid w:val="0"/>
        <w:spacing w:line="360" w:lineRule="auto"/>
        <w:ind w:left="-23" w:leftChars="-11" w:right="-214" w:rightChars="-102" w:firstLine="447" w:firstLineChars="213"/>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8.所有有关本次投标的函电请寄：</w:t>
      </w:r>
    </w:p>
    <w:p>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电子邮箱：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邮编：</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p>
    <w:p>
      <w:pPr>
        <w:snapToGrid w:val="0"/>
        <w:spacing w:line="360" w:lineRule="auto"/>
        <w:ind w:right="-214" w:rightChars="-102"/>
        <w:jc w:val="left"/>
        <w:rPr>
          <w:rFonts w:hint="eastAsia" w:ascii="宋体" w:hAnsi="宋体" w:eastAsia="宋体" w:cs="宋体"/>
          <w:color w:val="000000" w:themeColor="text1"/>
          <w:szCs w:val="21"/>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pPr>
        <w:snapToGrid w:val="0"/>
        <w:spacing w:line="360" w:lineRule="auto"/>
        <w:ind w:firstLine="4252" w:firstLineChars="20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（填写全称并加盖公章)</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p>
      <w:pPr>
        <w:snapToGrid w:val="0"/>
        <w:spacing w:line="360" w:lineRule="auto"/>
        <w:ind w:firstLine="4252" w:firstLineChars="202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p>
    <w:p>
      <w:pPr>
        <w:pStyle w:val="20"/>
        <w:spacing w:line="360" w:lineRule="auto"/>
        <w:ind w:left="0" w:leftChars="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r>
        <w:rPr>
          <w:rFonts w:hint="eastAsia" w:ascii="宋体" w:hAnsi="宋体" w:eastAsia="宋体" w:cs="宋体"/>
          <w:b/>
          <w:color w:val="000000" w:themeColor="text1"/>
          <w:sz w:val="21"/>
          <w:szCs w:val="21"/>
          <w:highlight w:val="none"/>
          <w14:textFill>
            <w14:solidFill>
              <w14:schemeClr w14:val="tx1"/>
            </w14:solidFill>
          </w14:textFill>
        </w:rPr>
        <w:t>（2）</w:t>
      </w:r>
      <w:r>
        <w:rPr>
          <w:rFonts w:hint="eastAsia" w:ascii="宋体" w:hAnsi="宋体" w:eastAsia="宋体" w:cs="宋体"/>
          <w:b/>
          <w:color w:val="000000" w:themeColor="text1"/>
          <w:sz w:val="21"/>
          <w:szCs w:val="21"/>
          <w:highlight w:val="none"/>
          <w:lang w:eastAsia="zh-CN"/>
          <w14:textFill>
            <w14:solidFill>
              <w14:schemeClr w14:val="tx1"/>
            </w14:solidFill>
          </w14:textFill>
        </w:rPr>
        <w:t>法定代表人</w:t>
      </w:r>
      <w:r>
        <w:rPr>
          <w:rFonts w:hint="eastAsia" w:ascii="宋体" w:hAnsi="宋体" w:eastAsia="宋体" w:cs="宋体"/>
          <w:b/>
          <w:color w:val="000000" w:themeColor="text1"/>
          <w:sz w:val="21"/>
          <w:szCs w:val="21"/>
          <w:highlight w:val="none"/>
          <w14:textFill>
            <w14:solidFill>
              <w14:schemeClr w14:val="tx1"/>
            </w14:solidFill>
          </w14:textFill>
        </w:rPr>
        <w:t>授权委托书</w:t>
      </w:r>
    </w:p>
    <w:p>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lang w:eastAsia="zh-CN"/>
          <w14:textFill>
            <w14:solidFill>
              <w14:schemeClr w14:val="tx1"/>
            </w14:solidFill>
          </w14:textFill>
        </w:rPr>
        <w:t>宁波市自然资源和规划研究中心</w:t>
      </w:r>
      <w:r>
        <w:rPr>
          <w:rFonts w:hint="eastAsia" w:ascii="宋体" w:hAnsi="宋体" w:eastAsia="宋体" w:cs="宋体"/>
          <w:color w:val="000000" w:themeColor="text1"/>
          <w:szCs w:val="21"/>
          <w:highlight w:val="none"/>
          <w:u w:val="single"/>
          <w14:textFill>
            <w14:solidFill>
              <w14:schemeClr w14:val="tx1"/>
            </w14:solidFill>
          </w14:textFill>
        </w:rPr>
        <w:t>、宁波名诚招标代理有限公司</w:t>
      </w:r>
    </w:p>
    <w:p>
      <w:pPr>
        <w:snapToGrid w:val="0"/>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w:t>
      </w:r>
      <w:r>
        <w:rPr>
          <w:rFonts w:hint="eastAsia" w:ascii="宋体" w:hAnsi="宋体" w:eastAsia="宋体" w:cs="宋体"/>
          <w:color w:val="000000" w:themeColor="text1"/>
          <w:szCs w:val="21"/>
          <w:highlight w:val="none"/>
          <w:u w:val="single"/>
          <w14:textFill>
            <w14:solidFill>
              <w14:schemeClr w14:val="tx1"/>
            </w14:solidFill>
          </w14:textFill>
        </w:rPr>
        <w:t xml:space="preserve">    （姓名）     </w:t>
      </w: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（投标人名称）   </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法定代表人</w:t>
      </w:r>
      <w:r>
        <w:rPr>
          <w:rFonts w:hint="eastAsia" w:ascii="宋体" w:hAnsi="宋体" w:eastAsia="宋体" w:cs="宋体"/>
          <w:color w:val="000000" w:themeColor="text1"/>
          <w:szCs w:val="21"/>
          <w:highlight w:val="none"/>
          <w14:textFill>
            <w14:solidFill>
              <w14:schemeClr w14:val="tx1"/>
            </w14:solidFill>
          </w14:textFill>
        </w:rPr>
        <w:t>，现授权委托</w:t>
      </w:r>
      <w:r>
        <w:rPr>
          <w:rFonts w:hint="eastAsia" w:ascii="宋体" w:hAnsi="宋体" w:eastAsia="宋体" w:cs="宋体"/>
          <w:color w:val="000000" w:themeColor="text1"/>
          <w:szCs w:val="21"/>
          <w:highlight w:val="none"/>
          <w:u w:val="single"/>
          <w14:textFill>
            <w14:solidFill>
              <w14:schemeClr w14:val="tx1"/>
            </w14:solidFill>
          </w14:textFill>
        </w:rPr>
        <w:t xml:space="preserve">  （姓名）   </w:t>
      </w:r>
      <w:r>
        <w:rPr>
          <w:rFonts w:hint="eastAsia" w:ascii="宋体" w:hAnsi="宋体" w:eastAsia="宋体" w:cs="宋体"/>
          <w:color w:val="000000" w:themeColor="text1"/>
          <w:szCs w:val="21"/>
          <w:highlight w:val="none"/>
          <w14:textFill>
            <w14:solidFill>
              <w14:schemeClr w14:val="tx1"/>
            </w14:solidFill>
          </w14:textFill>
        </w:rPr>
        <w:t>、身份证号：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以我方的名义参加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eastAsia="zh-CN"/>
          <w14:textFill>
            <w14:solidFill>
              <w14:schemeClr w14:val="tx1"/>
            </w14:solidFill>
          </w14:textFill>
        </w:rPr>
        <w:t>宁波市自然资源和规划研究中心劳务外包项目（重招）</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的投标活动，授权代表在投标过程中所签署的一切文件和处理与之有关的一切事务，我方均予以认可并对此承担责任。</w:t>
      </w:r>
    </w:p>
    <w:p>
      <w:pPr>
        <w:snapToGrid w:val="0"/>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本授权书自出具之日起生效，在撤销授权的书面通知以前，本授权委托书一直有效。授权代表在授权委托书有效期内签署的所有文件不因授权的撤销而失效。</w:t>
      </w:r>
    </w:p>
    <w:p>
      <w:pPr>
        <w:snapToGrid w:val="0"/>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授权代表无转委托权，特此授权。</w:t>
      </w:r>
    </w:p>
    <w:p>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pPr>
        <w:snapToGrid w:val="0"/>
        <w:spacing w:line="360" w:lineRule="auto"/>
        <w:ind w:firstLine="3685" w:firstLineChars="1755"/>
        <w:rPr>
          <w:rFonts w:hint="eastAsia" w:ascii="宋体" w:hAnsi="宋体" w:eastAsia="宋体" w:cs="宋体"/>
          <w:color w:val="000000" w:themeColor="text1"/>
          <w:szCs w:val="21"/>
          <w:highlight w:val="none"/>
          <w14:textFill>
            <w14:solidFill>
              <w14:schemeClr w14:val="tx1"/>
            </w14:solidFill>
          </w14:textFill>
        </w:rPr>
      </w:pPr>
    </w:p>
    <w:p>
      <w:pPr>
        <w:snapToGrid w:val="0"/>
        <w:spacing w:line="360" w:lineRule="auto"/>
        <w:ind w:firstLine="3685" w:firstLineChars="175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（填写全称并加盖公章）     </w:t>
      </w:r>
    </w:p>
    <w:p>
      <w:pPr>
        <w:snapToGrid w:val="0"/>
        <w:spacing w:line="360" w:lineRule="auto"/>
        <w:ind w:firstLine="3685" w:firstLineChars="175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注：提供</w:t>
      </w:r>
      <w:r>
        <w:rPr>
          <w:rFonts w:hint="eastAsia" w:ascii="宋体" w:hAnsi="宋体" w:eastAsia="宋体" w:cs="宋体"/>
          <w:color w:val="000000" w:themeColor="text1"/>
          <w:szCs w:val="21"/>
          <w:highlight w:val="none"/>
          <w:lang w:eastAsia="zh-CN"/>
          <w14:textFill>
            <w14:solidFill>
              <w14:schemeClr w14:val="tx1"/>
            </w14:solidFill>
          </w14:textFill>
        </w:rPr>
        <w:t>法定代表人</w:t>
      </w:r>
      <w:r>
        <w:rPr>
          <w:rFonts w:hint="eastAsia" w:ascii="宋体" w:hAnsi="宋体" w:eastAsia="宋体" w:cs="宋体"/>
          <w:color w:val="000000" w:themeColor="text1"/>
          <w:szCs w:val="21"/>
          <w:highlight w:val="none"/>
          <w14:textFill>
            <w14:solidFill>
              <w14:schemeClr w14:val="tx1"/>
            </w14:solidFill>
          </w14:textFill>
        </w:rPr>
        <w:t>的身份证正反面复印件和授权代表的身份证正反面复印件及投标人为授权代表缴纳社保的证明材料。</w:t>
      </w:r>
    </w:p>
    <w:p>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r>
        <w:rPr>
          <w:rFonts w:hint="eastAsia" w:ascii="宋体" w:hAnsi="宋体" w:eastAsia="宋体" w:cs="宋体"/>
          <w:b/>
          <w:color w:val="000000" w:themeColor="text1"/>
          <w:szCs w:val="21"/>
          <w:highlight w:val="none"/>
          <w14:textFill>
            <w14:solidFill>
              <w14:schemeClr w14:val="tx1"/>
            </w14:solidFill>
          </w14:textFill>
        </w:rPr>
        <w:t>（3）评委打分索引表</w:t>
      </w:r>
    </w:p>
    <w:tbl>
      <w:tblPr>
        <w:tblStyle w:val="4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3742"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评审因素</w:t>
            </w:r>
          </w:p>
        </w:tc>
        <w:tc>
          <w:tcPr>
            <w:tcW w:w="1701"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文件或证明材料所在页码区间</w:t>
            </w:r>
          </w:p>
        </w:tc>
        <w:tc>
          <w:tcPr>
            <w:tcW w:w="2835"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自评得分（由评委进行主观评审的不用填写自评得分）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3742"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701"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835"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3742"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701"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835"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3742"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701"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835"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3742"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701"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835"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3742"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701"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835"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742"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701"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835" w:type="dxa"/>
            <w:vAlign w:val="center"/>
          </w:tcPr>
          <w:p>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r>
    </w:tbl>
    <w:p>
      <w:pPr>
        <w:pStyle w:val="20"/>
        <w:spacing w:before="120" w:beforeLines="50" w:line="360" w:lineRule="auto"/>
        <w:ind w:left="141" w:leftChars="6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注：按照评委打分表内容逐项填写，报价部分无需列入。</w:t>
      </w:r>
    </w:p>
    <w:p>
      <w:pPr>
        <w:pStyle w:val="20"/>
        <w:spacing w:line="360" w:lineRule="auto"/>
        <w:ind w:left="0" w:leftChars="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
          <w:sz w:val="21"/>
          <w:szCs w:val="21"/>
          <w:highlight w:val="none"/>
          <w14:textFill>
            <w14:solidFill>
              <w14:schemeClr w14:val="tx1"/>
            </w14:solidFill>
          </w14:textFill>
        </w:rPr>
        <w:br w:type="page"/>
      </w:r>
      <w:r>
        <w:rPr>
          <w:rFonts w:hint="eastAsia" w:ascii="宋体" w:hAnsi="宋体" w:eastAsia="宋体" w:cs="宋体"/>
          <w:b/>
          <w:color w:val="000000" w:themeColor="text1"/>
          <w:sz w:val="21"/>
          <w:szCs w:val="21"/>
          <w:highlight w:val="none"/>
          <w14:textFill>
            <w14:solidFill>
              <w14:schemeClr w14:val="tx1"/>
            </w14:solidFill>
          </w14:textFill>
        </w:rPr>
        <w:t>（4）采购需求响应表</w:t>
      </w:r>
    </w:p>
    <w:tbl>
      <w:tblPr>
        <w:tblStyle w:val="45"/>
        <w:tblW w:w="8784"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34"/>
        <w:gridCol w:w="3460"/>
        <w:gridCol w:w="1134"/>
        <w:gridCol w:w="23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1"/>
                <w:szCs w:val="21"/>
                <w:highlight w:val="none"/>
                <w14:textFill>
                  <w14:solidFill>
                    <w14:schemeClr w14:val="tx1"/>
                  </w14:solidFill>
                </w14:textFill>
              </w:rPr>
              <w:t>项目</w:t>
            </w:r>
          </w:p>
        </w:tc>
        <w:tc>
          <w:tcPr>
            <w:tcW w:w="3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w:t>
            </w:r>
            <w:r>
              <w:rPr>
                <w:rFonts w:hint="eastAsia" w:ascii="宋体" w:hAnsi="宋体" w:eastAsia="宋体" w:cs="宋体"/>
                <w:color w:val="000000" w:themeColor="text1"/>
                <w:szCs w:val="21"/>
                <w:highlight w:val="none"/>
                <w14:textFill>
                  <w14:solidFill>
                    <w14:schemeClr w14:val="tx1"/>
                  </w14:solidFill>
                </w14:textFill>
              </w:rPr>
              <w:t>的条款描述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响应情况</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1"/>
                <w:szCs w:val="21"/>
                <w:highlight w:val="none"/>
                <w14:textFill>
                  <w14:solidFill>
                    <w14:schemeClr w14:val="tx1"/>
                  </w14:solidFill>
                </w14:textFill>
              </w:rPr>
            </w:pPr>
          </w:p>
        </w:tc>
        <w:tc>
          <w:tcPr>
            <w:tcW w:w="3460"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51"/>
              </w:tabs>
              <w:ind w:firstLine="422" w:firstLineChars="201"/>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szCs w:val="2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1"/>
                <w:szCs w:val="21"/>
                <w:highlight w:val="none"/>
                <w14:textFill>
                  <w14:solidFill>
                    <w14:schemeClr w14:val="tx1"/>
                  </w14:solidFill>
                </w14:textFill>
              </w:rPr>
            </w:pPr>
          </w:p>
        </w:tc>
        <w:tc>
          <w:tcPr>
            <w:tcW w:w="3460"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51"/>
              </w:tabs>
              <w:ind w:firstLine="422" w:firstLineChars="201"/>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szCs w:val="2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1"/>
                <w:szCs w:val="21"/>
                <w:highlight w:val="none"/>
                <w14:textFill>
                  <w14:solidFill>
                    <w14:schemeClr w14:val="tx1"/>
                  </w14:solidFill>
                </w14:textFill>
              </w:rPr>
            </w:pPr>
          </w:p>
        </w:tc>
        <w:tc>
          <w:tcPr>
            <w:tcW w:w="3460"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51"/>
              </w:tabs>
              <w:ind w:firstLine="422" w:firstLineChars="201"/>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szCs w:val="2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1"/>
                <w:szCs w:val="21"/>
                <w:highlight w:val="none"/>
                <w14:textFill>
                  <w14:solidFill>
                    <w14:schemeClr w14:val="tx1"/>
                  </w14:solidFill>
                </w14:textFill>
              </w:rPr>
            </w:pPr>
          </w:p>
        </w:tc>
        <w:tc>
          <w:tcPr>
            <w:tcW w:w="3460"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51"/>
              </w:tabs>
              <w:ind w:firstLine="422" w:firstLineChars="201"/>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szCs w:val="2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1"/>
                <w:szCs w:val="21"/>
                <w:highlight w:val="none"/>
                <w14:textFill>
                  <w14:solidFill>
                    <w14:schemeClr w14:val="tx1"/>
                  </w14:solidFill>
                </w14:textFill>
              </w:rPr>
            </w:pPr>
          </w:p>
        </w:tc>
        <w:tc>
          <w:tcPr>
            <w:tcW w:w="3460"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51"/>
              </w:tabs>
              <w:ind w:firstLine="422" w:firstLineChars="201"/>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szCs w:val="2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1"/>
                <w:szCs w:val="21"/>
                <w:highlight w:val="none"/>
                <w14:textFill>
                  <w14:solidFill>
                    <w14:schemeClr w14:val="tx1"/>
                  </w14:solidFill>
                </w14:textFill>
              </w:rPr>
            </w:pPr>
          </w:p>
        </w:tc>
        <w:tc>
          <w:tcPr>
            <w:tcW w:w="3460"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51"/>
              </w:tabs>
              <w:ind w:firstLine="422" w:firstLineChars="201"/>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szCs w:val="21"/>
                <w:highlight w:val="none"/>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szCs w:val="21"/>
                <w:highlight w:val="none"/>
                <w14:textFill>
                  <w14:solidFill>
                    <w14:schemeClr w14:val="tx1"/>
                  </w14:solidFill>
                </w14:textFill>
              </w:rPr>
            </w:pPr>
          </w:p>
        </w:tc>
      </w:tr>
    </w:tbl>
    <w:p>
      <w:pPr>
        <w:snapToGrid w:val="0"/>
        <w:spacing w:line="360" w:lineRule="auto"/>
        <w:ind w:left="-23" w:leftChars="-11" w:right="-57" w:rightChars="-27" w:firstLine="21" w:firstLineChars="10"/>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注：</w:t>
      </w:r>
    </w:p>
    <w:p>
      <w:pPr>
        <w:snapToGrid w:val="0"/>
        <w:spacing w:line="360" w:lineRule="auto"/>
        <w:ind w:left="-23" w:leftChars="-11" w:right="90" w:rightChars="43" w:firstLine="21" w:firstLineChars="10"/>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1.投标人保证：除本表列出的偏离外，响应招标文件《第二章  采购需求》列明的所有条款。</w:t>
      </w:r>
    </w:p>
    <w:p>
      <w:pPr>
        <w:snapToGrid w:val="0"/>
        <w:spacing w:line="360" w:lineRule="auto"/>
        <w:ind w:left="-23" w:leftChars="-11" w:right="-57" w:rightChars="-27" w:firstLine="21" w:firstLineChars="10"/>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2</w:t>
      </w:r>
      <w:r>
        <w:rPr>
          <w:rFonts w:hint="eastAsia" w:ascii="宋体" w:hAnsi="宋体" w:eastAsia="宋体" w:cs="宋体"/>
          <w:color w:val="000000" w:themeColor="text1"/>
          <w:szCs w:val="22"/>
          <w:highlight w:val="none"/>
          <w14:textFill>
            <w14:solidFill>
              <w14:schemeClr w14:val="tx1"/>
            </w14:solidFill>
          </w14:textFill>
        </w:rPr>
        <w:t>.</w:t>
      </w:r>
      <w:r>
        <w:rPr>
          <w:rFonts w:hint="eastAsia" w:ascii="宋体" w:hAnsi="宋体" w:eastAsia="宋体" w:cs="宋体"/>
          <w:color w:val="000000" w:themeColor="text1"/>
          <w:szCs w:val="22"/>
          <w:highlight w:val="none"/>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必须</w:t>
      </w:r>
      <w:r>
        <w:rPr>
          <w:rFonts w:hint="eastAsia" w:ascii="宋体" w:hAnsi="宋体" w:eastAsia="宋体" w:cs="宋体"/>
          <w:color w:val="000000" w:themeColor="text1"/>
          <w:szCs w:val="22"/>
          <w:highlight w:val="none"/>
          <w14:textFill>
            <w14:solidFill>
              <w14:schemeClr w14:val="tx1"/>
            </w14:solidFill>
          </w14:textFill>
        </w:rPr>
        <w:t>与招标文件《第二章  采购需求》的所有条款逐项比较，如有偏离的，须在本表中列明，并填写偏离情况说明。如投标人未在本表中列出偏离项并填写偏离情况说明，即使其在投标文件的其他部分说明与招标文件要求有所不同或回避不答，亦视为响应招标文件《第二章  采购需求》所提出的条款要求并签署合同。若中标</w:t>
      </w:r>
      <w:r>
        <w:rPr>
          <w:rFonts w:hint="eastAsia" w:ascii="宋体" w:hAnsi="宋体" w:eastAsia="宋体" w:cs="宋体"/>
          <w:color w:val="000000" w:themeColor="text1"/>
          <w:szCs w:val="22"/>
          <w:highlight w:val="none"/>
          <w:lang w:val="en-US" w:eastAsia="zh-CN"/>
          <w14:textFill>
            <w14:solidFill>
              <w14:schemeClr w14:val="tx1"/>
            </w14:solidFill>
          </w14:textFill>
        </w:rPr>
        <w:t>人</w:t>
      </w:r>
      <w:r>
        <w:rPr>
          <w:rFonts w:hint="eastAsia" w:ascii="宋体" w:hAnsi="宋体" w:eastAsia="宋体" w:cs="宋体"/>
          <w:color w:val="000000" w:themeColor="text1"/>
          <w:szCs w:val="22"/>
          <w:highlight w:val="none"/>
          <w14:textFill>
            <w14:solidFill>
              <w14:schemeClr w14:val="tx1"/>
            </w14:solidFill>
          </w14:textFill>
        </w:rPr>
        <w:t>以上述事项为借口而不履行合同签订手续及履行合同，则按照相关法律法规的规定处理。响应情况由评标委员会认定。</w:t>
      </w:r>
    </w:p>
    <w:p>
      <w:pPr>
        <w:snapToGrid w:val="0"/>
        <w:spacing w:line="360" w:lineRule="auto"/>
        <w:ind w:left="-23" w:leftChars="-11" w:right="-57" w:rightChars="-27" w:firstLine="21" w:firstLineChars="10"/>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3</w:t>
      </w:r>
      <w:r>
        <w:rPr>
          <w:rFonts w:hint="eastAsia" w:ascii="宋体" w:hAnsi="宋体" w:eastAsia="宋体" w:cs="宋体"/>
          <w:color w:val="000000" w:themeColor="text1"/>
          <w:szCs w:val="22"/>
          <w:highlight w:val="none"/>
          <w14:textFill>
            <w14:solidFill>
              <w14:schemeClr w14:val="tx1"/>
            </w14:solidFill>
          </w14:textFill>
        </w:rPr>
        <w:t>.投标人无论对《第二章  采购需求》有无偏离（不响应或优于）都应当将本表盖章后作为投标文件的一部分提交，未在投标文件中提供本表的按照无效投标处理。</w:t>
      </w:r>
    </w:p>
    <w:p>
      <w:pPr>
        <w:snapToGrid w:val="0"/>
        <w:spacing w:before="50" w:after="50" w:line="360" w:lineRule="auto"/>
        <w:ind w:left="-23" w:leftChars="-11" w:right="-57" w:rightChars="-27" w:firstLine="21" w:firstLineChars="10"/>
        <w:rPr>
          <w:rFonts w:hint="eastAsia" w:ascii="宋体" w:hAnsi="宋体" w:eastAsia="宋体" w:cs="宋体"/>
          <w:color w:val="000000" w:themeColor="text1"/>
          <w:szCs w:val="21"/>
          <w:highlight w:val="none"/>
          <w14:textFill>
            <w14:solidFill>
              <w14:schemeClr w14:val="tx1"/>
            </w14:solidFill>
          </w14:textFill>
        </w:rPr>
      </w:pPr>
    </w:p>
    <w:p>
      <w:pPr>
        <w:snapToGrid w:val="0"/>
        <w:spacing w:line="360" w:lineRule="auto"/>
        <w:ind w:firstLine="3402" w:firstLineChars="16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填写全称并加盖公章     </w:t>
      </w:r>
    </w:p>
    <w:p>
      <w:pPr>
        <w:snapToGrid w:val="0"/>
        <w:spacing w:line="360" w:lineRule="auto"/>
        <w:ind w:firstLine="3402" w:firstLineChars="16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p>
    <w:p>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pPr>
        <w:pStyle w:val="20"/>
        <w:spacing w:line="360" w:lineRule="auto"/>
        <w:ind w:left="0" w:leftChars="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（5）合同要求响应表</w:t>
      </w:r>
    </w:p>
    <w:tbl>
      <w:tblPr>
        <w:tblStyle w:val="45"/>
        <w:tblW w:w="8784"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3176"/>
        <w:gridCol w:w="1559"/>
        <w:gridCol w:w="20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1"/>
                <w:highlight w:val="none"/>
                <w14:textFill>
                  <w14:solidFill>
                    <w14:schemeClr w14:val="tx1"/>
                  </w14:solidFill>
                </w14:textFill>
              </w:rPr>
              <w:t>项目</w:t>
            </w:r>
          </w:p>
        </w:tc>
        <w:tc>
          <w:tcPr>
            <w:tcW w:w="31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w:t>
            </w:r>
            <w:r>
              <w:rPr>
                <w:rFonts w:hint="eastAsia" w:ascii="宋体" w:hAnsi="宋体" w:eastAsia="宋体" w:cs="宋体"/>
                <w:color w:val="000000" w:themeColor="text1"/>
                <w:highlight w:val="none"/>
                <w14:textFill>
                  <w14:solidFill>
                    <w14:schemeClr w14:val="tx1"/>
                  </w14:solidFill>
                </w14:textFill>
              </w:rPr>
              <w:t>文件</w:t>
            </w:r>
            <w:r>
              <w:rPr>
                <w:rFonts w:hint="eastAsia" w:ascii="宋体" w:hAnsi="宋体" w:eastAsia="宋体" w:cs="宋体"/>
                <w:color w:val="000000" w:themeColor="text1"/>
                <w:highlight w:val="none"/>
                <w14:textFill>
                  <w14:solidFill>
                    <w14:schemeClr w14:val="tx1"/>
                  </w14:solidFill>
                </w14:textFill>
              </w:rPr>
              <w:t>的条款描述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响应情况</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highlight w:val="none"/>
                <w14:textFill>
                  <w14:solidFill>
                    <w14:schemeClr w14:val="tx1"/>
                  </w14:solidFill>
                </w14:textFill>
              </w:rPr>
            </w:pPr>
          </w:p>
        </w:tc>
        <w:tc>
          <w:tcPr>
            <w:tcW w:w="31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highlight w:val="none"/>
                <w14:textFill>
                  <w14:solidFill>
                    <w14:schemeClr w14:val="tx1"/>
                  </w14:solidFill>
                </w14:textFill>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highlight w:val="none"/>
                <w14:textFill>
                  <w14:solidFill>
                    <w14:schemeClr w14:val="tx1"/>
                  </w14:solidFill>
                </w14:textFill>
              </w:rPr>
            </w:pPr>
          </w:p>
        </w:tc>
        <w:tc>
          <w:tcPr>
            <w:tcW w:w="31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highlight w:val="none"/>
                <w14:textFill>
                  <w14:solidFill>
                    <w14:schemeClr w14:val="tx1"/>
                  </w14:solidFill>
                </w14:textFill>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highlight w:val="none"/>
                <w14:textFill>
                  <w14:solidFill>
                    <w14:schemeClr w14:val="tx1"/>
                  </w14:solidFill>
                </w14:textFill>
              </w:rPr>
            </w:pPr>
          </w:p>
        </w:tc>
        <w:tc>
          <w:tcPr>
            <w:tcW w:w="31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highlight w:val="none"/>
                <w14:textFill>
                  <w14:solidFill>
                    <w14:schemeClr w14:val="tx1"/>
                  </w14:solidFill>
                </w14:textFill>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highlight w:val="none"/>
                <w14:textFill>
                  <w14:solidFill>
                    <w14:schemeClr w14:val="tx1"/>
                  </w14:solidFill>
                </w14:textFill>
              </w:rPr>
            </w:pPr>
          </w:p>
        </w:tc>
        <w:tc>
          <w:tcPr>
            <w:tcW w:w="31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highlight w:val="none"/>
                <w14:textFill>
                  <w14:solidFill>
                    <w14:schemeClr w14:val="tx1"/>
                  </w14:solidFill>
                </w14:textFill>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highlight w:val="none"/>
                <w14:textFill>
                  <w14:solidFill>
                    <w14:schemeClr w14:val="tx1"/>
                  </w14:solidFill>
                </w14:textFill>
              </w:rPr>
            </w:pPr>
          </w:p>
        </w:tc>
        <w:tc>
          <w:tcPr>
            <w:tcW w:w="31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highlight w:val="none"/>
                <w14:textFill>
                  <w14:solidFill>
                    <w14:schemeClr w14:val="tx1"/>
                  </w14:solidFill>
                </w14:textFill>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highlight w:val="none"/>
                <w14:textFill>
                  <w14:solidFill>
                    <w14:schemeClr w14:val="tx1"/>
                  </w14:solidFill>
                </w14:textFill>
              </w:rPr>
            </w:pPr>
          </w:p>
        </w:tc>
        <w:tc>
          <w:tcPr>
            <w:tcW w:w="31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highlight w:val="none"/>
                <w14:textFill>
                  <w14:solidFill>
                    <w14:schemeClr w14:val="tx1"/>
                  </w14:solidFill>
                </w14:textFill>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themeColor="text1"/>
                <w:highlight w:val="none"/>
                <w14:textFill>
                  <w14:solidFill>
                    <w14:schemeClr w14:val="tx1"/>
                  </w14:solidFill>
                </w14:textFill>
              </w:rPr>
            </w:pPr>
          </w:p>
        </w:tc>
      </w:tr>
    </w:tbl>
    <w:p>
      <w:pPr>
        <w:snapToGrid w:val="0"/>
        <w:spacing w:before="50" w:after="50" w:line="360" w:lineRule="auto"/>
        <w:ind w:left="-23" w:leftChars="-11" w:right="27" w:rightChars="13" w:firstLine="21" w:firstLineChars="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pPr>
        <w:snapToGrid w:val="0"/>
        <w:spacing w:before="50" w:after="50" w:line="360" w:lineRule="auto"/>
        <w:ind w:left="-23" w:leftChars="-11" w:right="27" w:rightChars="13" w:firstLine="21" w:firstLineChars="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1.投标人保证：除本表列出的偏离外，响应招标文件《第五章  合同文本》的全部合同条款。</w:t>
      </w:r>
    </w:p>
    <w:p>
      <w:pPr>
        <w:snapToGrid w:val="0"/>
        <w:spacing w:before="50" w:after="50" w:line="360" w:lineRule="auto"/>
        <w:ind w:left="-23" w:leftChars="-11" w:right="27" w:rightChars="13" w:firstLine="21" w:firstLineChars="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2.投标人必须与</w:t>
      </w:r>
      <w:r>
        <w:rPr>
          <w:rFonts w:hint="eastAsia" w:ascii="宋体" w:hAnsi="宋体" w:eastAsia="宋体" w:cs="宋体"/>
          <w:color w:val="000000" w:themeColor="text1"/>
          <w:szCs w:val="22"/>
          <w:highlight w:val="none"/>
          <w14:textFill>
            <w14:solidFill>
              <w14:schemeClr w14:val="tx1"/>
            </w14:solidFill>
          </w14:textFill>
        </w:rPr>
        <w:t>招标文件</w:t>
      </w:r>
      <w:r>
        <w:rPr>
          <w:rFonts w:hint="eastAsia" w:ascii="宋体" w:hAnsi="宋体" w:eastAsia="宋体" w:cs="宋体"/>
          <w:color w:val="000000" w:themeColor="text1"/>
          <w:highlight w:val="none"/>
          <w14:textFill>
            <w14:solidFill>
              <w14:schemeClr w14:val="tx1"/>
            </w14:solidFill>
          </w14:textFill>
        </w:rPr>
        <w:t>《第五章  合同文本》的所有条款逐项比较，如有偏离的，须在本表中列明，并</w:t>
      </w:r>
      <w:r>
        <w:rPr>
          <w:rFonts w:hint="eastAsia" w:ascii="宋体" w:hAnsi="宋体" w:eastAsia="宋体" w:cs="宋体"/>
          <w:color w:val="000000" w:themeColor="text1"/>
          <w:szCs w:val="22"/>
          <w:highlight w:val="none"/>
          <w14:textFill>
            <w14:solidFill>
              <w14:schemeClr w14:val="tx1"/>
            </w14:solidFill>
          </w14:textFill>
        </w:rPr>
        <w:t>填写偏离情况</w:t>
      </w:r>
      <w:r>
        <w:rPr>
          <w:rFonts w:hint="eastAsia" w:ascii="宋体" w:hAnsi="宋体" w:eastAsia="宋体" w:cs="宋体"/>
          <w:color w:val="000000" w:themeColor="text1"/>
          <w:highlight w:val="none"/>
          <w14:textFill>
            <w14:solidFill>
              <w14:schemeClr w14:val="tx1"/>
            </w14:solidFill>
          </w14:textFill>
        </w:rPr>
        <w:t>说明。如投标人未在本表中列出偏离项并填写偏离情况说明，即使其在投标文件的其他部分说明与招标文件要求有所不同或回避不答，亦视为响应招标文件所提供合同要求条款并签署合同。若</w:t>
      </w:r>
      <w:r>
        <w:rPr>
          <w:rFonts w:hint="eastAsia" w:ascii="宋体" w:hAnsi="宋体" w:eastAsia="宋体" w:cs="宋体"/>
          <w:color w:val="000000" w:themeColor="text1"/>
          <w:szCs w:val="22"/>
          <w:highlight w:val="none"/>
          <w14:textFill>
            <w14:solidFill>
              <w14:schemeClr w14:val="tx1"/>
            </w14:solidFill>
          </w14:textFill>
        </w:rPr>
        <w:t>中标</w:t>
      </w:r>
      <w:r>
        <w:rPr>
          <w:rFonts w:hint="eastAsia" w:ascii="宋体" w:hAnsi="宋体" w:eastAsia="宋体" w:cs="宋体"/>
          <w:color w:val="000000" w:themeColor="text1"/>
          <w:szCs w:val="22"/>
          <w:highlight w:val="none"/>
          <w:lang w:val="en-US" w:eastAsia="zh-CN"/>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以上述事项为借口而不履行合同签订手续及</w:t>
      </w:r>
      <w:r>
        <w:rPr>
          <w:rFonts w:hint="eastAsia" w:ascii="宋体" w:hAnsi="宋体" w:eastAsia="宋体" w:cs="宋体"/>
          <w:color w:val="000000" w:themeColor="text1"/>
          <w:szCs w:val="22"/>
          <w:highlight w:val="none"/>
          <w14:textFill>
            <w14:solidFill>
              <w14:schemeClr w14:val="tx1"/>
            </w14:solidFill>
          </w14:textFill>
        </w:rPr>
        <w:t>履行</w:t>
      </w:r>
      <w:r>
        <w:rPr>
          <w:rFonts w:hint="eastAsia" w:ascii="宋体" w:hAnsi="宋体" w:eastAsia="宋体" w:cs="宋体"/>
          <w:color w:val="000000" w:themeColor="text1"/>
          <w:highlight w:val="none"/>
          <w14:textFill>
            <w14:solidFill>
              <w14:schemeClr w14:val="tx1"/>
            </w14:solidFill>
          </w14:textFill>
        </w:rPr>
        <w:t>合同，则按照</w:t>
      </w:r>
      <w:r>
        <w:rPr>
          <w:rFonts w:hint="eastAsia" w:ascii="宋体" w:hAnsi="宋体" w:eastAsia="宋体" w:cs="宋体"/>
          <w:color w:val="000000" w:themeColor="text1"/>
          <w:szCs w:val="22"/>
          <w:highlight w:val="none"/>
          <w14:textFill>
            <w14:solidFill>
              <w14:schemeClr w14:val="tx1"/>
            </w14:solidFill>
          </w14:textFill>
        </w:rPr>
        <w:t>相关</w:t>
      </w:r>
      <w:r>
        <w:rPr>
          <w:rFonts w:hint="eastAsia" w:ascii="宋体" w:hAnsi="宋体" w:eastAsia="宋体" w:cs="宋体"/>
          <w:color w:val="000000" w:themeColor="text1"/>
          <w:highlight w:val="none"/>
          <w14:textFill>
            <w14:solidFill>
              <w14:schemeClr w14:val="tx1"/>
            </w14:solidFill>
          </w14:textFill>
        </w:rPr>
        <w:t>法律法规的规定处理。</w:t>
      </w:r>
      <w:r>
        <w:rPr>
          <w:rFonts w:hint="eastAsia" w:ascii="宋体" w:hAnsi="宋体" w:eastAsia="宋体" w:cs="宋体"/>
          <w:color w:val="000000" w:themeColor="text1"/>
          <w:szCs w:val="22"/>
          <w:highlight w:val="none"/>
          <w14:textFill>
            <w14:solidFill>
              <w14:schemeClr w14:val="tx1"/>
            </w14:solidFill>
          </w14:textFill>
        </w:rPr>
        <w:t>响应情况由评标委员会认定。</w:t>
      </w:r>
    </w:p>
    <w:p>
      <w:pPr>
        <w:snapToGrid w:val="0"/>
        <w:spacing w:before="50" w:after="50" w:line="360" w:lineRule="auto"/>
        <w:ind w:left="-23" w:leftChars="-11" w:right="27" w:rightChars="13" w:firstLine="21" w:firstLineChars="10"/>
        <w:rPr>
          <w:rFonts w:hint="eastAsia" w:ascii="宋体" w:hAnsi="宋体" w:eastAsia="宋体" w:cs="宋体"/>
          <w:b/>
          <w:bCs/>
          <w:color w:val="000000" w:themeColor="text1"/>
          <w:szCs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szCs w:val="22"/>
          <w:highlight w:val="none"/>
          <w14:textFill>
            <w14:solidFill>
              <w14:schemeClr w14:val="tx1"/>
            </w14:solidFill>
          </w14:textFill>
        </w:rPr>
        <w:t>投标人无论对《</w:t>
      </w:r>
      <w:r>
        <w:rPr>
          <w:rFonts w:hint="eastAsia" w:ascii="宋体" w:hAnsi="宋体" w:eastAsia="宋体" w:cs="宋体"/>
          <w:color w:val="000000" w:themeColor="text1"/>
          <w:highlight w:val="none"/>
          <w14:textFill>
            <w14:solidFill>
              <w14:schemeClr w14:val="tx1"/>
            </w14:solidFill>
          </w14:textFill>
        </w:rPr>
        <w:t>第五章  合同文本</w:t>
      </w:r>
      <w:r>
        <w:rPr>
          <w:rFonts w:hint="eastAsia" w:ascii="宋体" w:hAnsi="宋体" w:eastAsia="宋体" w:cs="宋体"/>
          <w:color w:val="000000" w:themeColor="text1"/>
          <w:szCs w:val="22"/>
          <w:highlight w:val="none"/>
          <w14:textFill>
            <w14:solidFill>
              <w14:schemeClr w14:val="tx1"/>
            </w14:solidFill>
          </w14:textFill>
        </w:rPr>
        <w:t>》有无偏离（不响应或优于）都应当将本表盖章后作为投标文件的一部分提交，未在投标文件中提供本表的按照无效投标处理。</w:t>
      </w:r>
    </w:p>
    <w:p>
      <w:pPr>
        <w:snapToGrid w:val="0"/>
        <w:spacing w:before="50" w:after="50" w:line="360" w:lineRule="auto"/>
        <w:ind w:left="-21" w:leftChars="-72" w:right="-817" w:rightChars="-389" w:hanging="130" w:hangingChars="62"/>
        <w:rPr>
          <w:rFonts w:hint="eastAsia" w:ascii="宋体" w:hAnsi="宋体" w:eastAsia="宋体" w:cs="宋体"/>
          <w:color w:val="000000" w:themeColor="text1"/>
          <w:highlight w:val="none"/>
          <w14:textFill>
            <w14:solidFill>
              <w14:schemeClr w14:val="tx1"/>
            </w14:solidFill>
          </w14:textFill>
        </w:rPr>
      </w:pPr>
    </w:p>
    <w:p>
      <w:pPr>
        <w:pStyle w:val="44"/>
        <w:ind w:firstLine="464"/>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ind w:firstLine="3402" w:firstLineChars="16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填写全称并加盖公章     </w:t>
      </w:r>
    </w:p>
    <w:p>
      <w:pPr>
        <w:snapToGrid w:val="0"/>
        <w:spacing w:line="360" w:lineRule="auto"/>
        <w:ind w:firstLine="3402" w:firstLineChars="16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p>
    <w:p>
      <w:pPr>
        <w:snapToGrid w:val="0"/>
        <w:spacing w:before="50" w:after="50" w:line="360" w:lineRule="auto"/>
        <w:ind w:left="-23" w:leftChars="-11" w:right="-57" w:rightChars="-27" w:firstLine="21" w:firstLineChars="1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20"/>
        <w:spacing w:line="360" w:lineRule="auto"/>
        <w:ind w:left="0" w:leftChars="0"/>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（6）项目实施人员情况表</w:t>
      </w:r>
    </w:p>
    <w:tbl>
      <w:tblPr>
        <w:tblStyle w:val="45"/>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14"/>
        <w:gridCol w:w="1985"/>
        <w:gridCol w:w="2131"/>
        <w:gridCol w:w="709"/>
        <w:gridCol w:w="709"/>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4" w:type="dxa"/>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714" w:type="dxa"/>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姓名</w:t>
            </w:r>
          </w:p>
        </w:tc>
        <w:tc>
          <w:tcPr>
            <w:tcW w:w="1985" w:type="dxa"/>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本项目中的岗位</w:t>
            </w:r>
          </w:p>
        </w:tc>
        <w:tc>
          <w:tcPr>
            <w:tcW w:w="2131" w:type="dxa"/>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本项目主要工作内容</w:t>
            </w:r>
          </w:p>
        </w:tc>
        <w:tc>
          <w:tcPr>
            <w:tcW w:w="709" w:type="dxa"/>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年龄</w:t>
            </w:r>
          </w:p>
        </w:tc>
        <w:tc>
          <w:tcPr>
            <w:tcW w:w="709" w:type="dxa"/>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性别</w:t>
            </w:r>
          </w:p>
        </w:tc>
        <w:tc>
          <w:tcPr>
            <w:tcW w:w="2381" w:type="dxa"/>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学历、职称、执业资格等个人能力情况说明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4"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714"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198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131"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381"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4"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714"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198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131"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381"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4"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714"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198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131"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381"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4"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714"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198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131"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381"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4"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714"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198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131"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381"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4"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714"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198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131"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381"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4"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714"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1985"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131"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709"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381"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bl>
    <w:p>
      <w:pPr>
        <w:spacing w:line="360" w:lineRule="auto"/>
        <w:ind w:left="924" w:hanging="924" w:hangingChars="44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1.项目负责人等与评审因素相关的人员必须列入本表并明确，否则在评审中不予认可。项目负责人（项目经理）仅限一名。</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.列入本表的人员如要更换，需经采购人同意，擅自更换或不到位属于违约行为。</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.学历、职称、执业资格等个人能力证明材料的复印件后附。</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.投标文件内提供评分标准要求的证明材料，未提供佐证能力等证书证件复印件的将不被认定。</w:t>
      </w:r>
    </w:p>
    <w:p>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pPr>
        <w:pStyle w:val="20"/>
        <w:spacing w:line="360" w:lineRule="auto"/>
        <w:ind w:left="0" w:lef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（7）类似项目业绩一览表</w:t>
      </w:r>
    </w:p>
    <w:tbl>
      <w:tblPr>
        <w:tblStyle w:val="45"/>
        <w:tblW w:w="8969"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560"/>
        <w:gridCol w:w="2126"/>
        <w:gridCol w:w="1559"/>
        <w:gridCol w:w="29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560" w:type="dxa"/>
            <w:vAlign w:val="center"/>
          </w:tcPr>
          <w:p>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项目名称</w:t>
            </w:r>
          </w:p>
        </w:tc>
        <w:tc>
          <w:tcPr>
            <w:tcW w:w="2126" w:type="dxa"/>
            <w:tcBorders>
              <w:right w:val="single" w:color="auto" w:sz="4" w:space="0"/>
            </w:tcBorders>
            <w:vAlign w:val="center"/>
          </w:tcPr>
          <w:p>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服务范围</w:t>
            </w:r>
          </w:p>
          <w:p>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（主要服务）</w:t>
            </w:r>
          </w:p>
        </w:tc>
        <w:tc>
          <w:tcPr>
            <w:tcW w:w="1559" w:type="dxa"/>
            <w:tcBorders>
              <w:left w:val="single" w:color="auto" w:sz="4" w:space="0"/>
            </w:tcBorders>
            <w:vAlign w:val="center"/>
          </w:tcPr>
          <w:p>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合同金额</w:t>
            </w:r>
          </w:p>
        </w:tc>
        <w:tc>
          <w:tcPr>
            <w:tcW w:w="2977" w:type="dxa"/>
            <w:tcBorders>
              <w:right w:val="single" w:color="auto" w:sz="4" w:space="0"/>
            </w:tcBorders>
            <w:vAlign w:val="center"/>
          </w:tcPr>
          <w:p>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w:t>
            </w:r>
          </w:p>
        </w:tc>
        <w:tc>
          <w:tcPr>
            <w:tcW w:w="1560"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tcBorders>
              <w:righ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1559" w:type="dxa"/>
            <w:tcBorders>
              <w:lef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977" w:type="dxa"/>
            <w:tcBorders>
              <w:righ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p>
        </w:tc>
        <w:tc>
          <w:tcPr>
            <w:tcW w:w="1560"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tcBorders>
              <w:righ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1559" w:type="dxa"/>
            <w:tcBorders>
              <w:lef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977" w:type="dxa"/>
            <w:tcBorders>
              <w:righ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w:t>
            </w:r>
          </w:p>
        </w:tc>
        <w:tc>
          <w:tcPr>
            <w:tcW w:w="1560"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tcBorders>
              <w:righ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1559" w:type="dxa"/>
            <w:tcBorders>
              <w:lef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977" w:type="dxa"/>
            <w:tcBorders>
              <w:righ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w:t>
            </w:r>
          </w:p>
        </w:tc>
        <w:tc>
          <w:tcPr>
            <w:tcW w:w="1560"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tcBorders>
              <w:righ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1559" w:type="dxa"/>
            <w:tcBorders>
              <w:lef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977" w:type="dxa"/>
            <w:tcBorders>
              <w:righ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w:t>
            </w:r>
          </w:p>
        </w:tc>
        <w:tc>
          <w:tcPr>
            <w:tcW w:w="1560"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tcBorders>
              <w:righ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1559" w:type="dxa"/>
            <w:tcBorders>
              <w:lef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977" w:type="dxa"/>
            <w:tcBorders>
              <w:righ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p>
        </w:tc>
        <w:tc>
          <w:tcPr>
            <w:tcW w:w="1560" w:type="dxa"/>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126" w:type="dxa"/>
            <w:tcBorders>
              <w:righ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1559" w:type="dxa"/>
            <w:tcBorders>
              <w:lef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c>
          <w:tcPr>
            <w:tcW w:w="2977" w:type="dxa"/>
            <w:tcBorders>
              <w:right w:val="single" w:color="auto" w:sz="4" w:space="0"/>
            </w:tcBorders>
            <w:vAlign w:val="center"/>
          </w:tcPr>
          <w:p>
            <w:pPr>
              <w:jc w:val="center"/>
              <w:rPr>
                <w:rFonts w:hint="eastAsia" w:ascii="宋体" w:hAnsi="宋体" w:eastAsia="宋体" w:cs="宋体"/>
                <w:color w:val="000000" w:themeColor="text1"/>
                <w:szCs w:val="21"/>
                <w:highlight w:val="none"/>
                <w14:textFill>
                  <w14:solidFill>
                    <w14:schemeClr w14:val="tx1"/>
                  </w14:solidFill>
                </w14:textFill>
              </w:rPr>
            </w:pPr>
          </w:p>
        </w:tc>
      </w:tr>
    </w:tbl>
    <w:p>
      <w:pPr>
        <w:spacing w:line="360" w:lineRule="auto"/>
        <w:ind w:left="924" w:hanging="924" w:hangingChars="44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注：根据评委打分表的要求提供证明材料</w:t>
      </w:r>
      <w:r>
        <w:rPr>
          <w:rFonts w:hint="eastAsia" w:ascii="宋体" w:hAnsi="宋体" w:eastAsia="宋体" w:cs="宋体"/>
          <w:color w:val="000000" w:themeColor="text1"/>
          <w:szCs w:val="21"/>
          <w:highlight w:val="none"/>
          <w14:textFill>
            <w14:solidFill>
              <w14:schemeClr w14:val="tx1"/>
            </w14:solidFill>
          </w14:textFill>
        </w:rPr>
        <w:t>。</w:t>
      </w:r>
    </w:p>
    <w:p>
      <w:pPr>
        <w:snapToGrid w:val="0"/>
        <w:spacing w:line="360" w:lineRule="auto"/>
        <w:ind w:left="-23" w:leftChars="-11" w:right="-214" w:rightChars="-102" w:firstLine="21" w:firstLineChars="1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r>
        <w:rPr>
          <w:rFonts w:hint="eastAsia" w:ascii="宋体" w:hAnsi="宋体" w:eastAsia="宋体" w:cs="宋体"/>
          <w:b/>
          <w:color w:val="000000" w:themeColor="text1"/>
          <w:highlight w:val="none"/>
          <w14:textFill>
            <w14:solidFill>
              <w14:schemeClr w14:val="tx1"/>
            </w14:solidFill>
          </w14:textFill>
        </w:rPr>
        <w:t>3.报价要求响应文件的有关格式</w:t>
      </w:r>
    </w:p>
    <w:p>
      <w:pPr>
        <w:pStyle w:val="20"/>
        <w:spacing w:line="360" w:lineRule="auto"/>
        <w:ind w:left="0" w:leftChars="0"/>
        <w:jc w:val="center"/>
        <w:rPr>
          <w:rFonts w:hint="eastAsia" w:ascii="宋体" w:hAnsi="宋体" w:eastAsia="宋体" w:cs="宋体"/>
          <w:color w:val="000000" w:themeColor="text1"/>
          <w:kern w:val="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（1）开标一览表</w:t>
      </w:r>
    </w:p>
    <w:tbl>
      <w:tblPr>
        <w:tblStyle w:val="4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7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333333"/>
                <w:spacing w:val="0"/>
                <w:sz w:val="21"/>
                <w:szCs w:val="21"/>
                <w:highlight w:val="none"/>
                <w:shd w:val="clear" w:fill="FFFFFF"/>
                <w:lang w:eastAsia="zh-CN"/>
              </w:rPr>
              <w:t>宁波市自然资源和规划研究中心劳务外包项目（重招）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5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项目编号</w:t>
            </w:r>
          </w:p>
        </w:tc>
        <w:tc>
          <w:tcPr>
            <w:tcW w:w="704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NBMC-20242164-1G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855"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center"/>
              <w:rPr>
                <w:rFonts w:hint="eastAsia" w:ascii="宋体" w:hAnsi="宋体" w:eastAsia="宋体" w:cs="宋体"/>
                <w:sz w:val="21"/>
                <w:szCs w:val="21"/>
                <w:highlight w:val="none"/>
              </w:rPr>
            </w:pPr>
            <w:r>
              <w:rPr>
                <w:rFonts w:hint="eastAsia" w:ascii="宋体" w:hAnsi="宋体" w:eastAsia="宋体" w:cs="宋体"/>
                <w:color w:val="000000" w:themeColor="text1"/>
                <w:kern w:val="2"/>
                <w:sz w:val="21"/>
                <w:szCs w:val="21"/>
                <w:highlight w:val="none"/>
                <w14:textFill>
                  <w14:solidFill>
                    <w14:schemeClr w14:val="tx1"/>
                  </w14:solidFill>
                </w14:textFill>
              </w:rPr>
              <w:t>投标报价（元</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/年</w:t>
            </w:r>
            <w:r>
              <w:rPr>
                <w:rFonts w:hint="eastAsia" w:ascii="宋体" w:hAnsi="宋体" w:eastAsia="宋体" w:cs="宋体"/>
                <w:color w:val="000000" w:themeColor="text1"/>
                <w:kern w:val="2"/>
                <w:sz w:val="21"/>
                <w:szCs w:val="21"/>
                <w:highlight w:val="none"/>
                <w14:textFill>
                  <w14:solidFill>
                    <w14:schemeClr w14:val="tx1"/>
                  </w14:solidFill>
                </w14:textFill>
              </w:rPr>
              <w:t>）</w:t>
            </w:r>
          </w:p>
        </w:tc>
        <w:tc>
          <w:tcPr>
            <w:tcW w:w="7042" w:type="dxa"/>
            <w:tcBorders>
              <w:top w:val="single" w:color="auto" w:sz="4" w:space="0"/>
              <w:left w:val="single" w:color="auto" w:sz="4" w:space="0"/>
              <w:right w:val="single" w:color="auto" w:sz="4" w:space="0"/>
            </w:tcBorders>
            <w:vAlign w:val="center"/>
          </w:tcPr>
          <w:p>
            <w:pPr>
              <w:pStyle w:val="20"/>
              <w:spacing w:after="0"/>
              <w:ind w:left="457" w:leftChars="0" w:hanging="457" w:hangingChars="21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小写：</w:t>
            </w:r>
          </w:p>
          <w:p>
            <w:pPr>
              <w:pStyle w:val="20"/>
              <w:spacing w:after="0"/>
              <w:ind w:left="457" w:leftChars="0" w:hanging="457" w:hangingChars="218"/>
              <w:jc w:val="left"/>
              <w:rPr>
                <w:rFonts w:hint="eastAsia" w:ascii="宋体" w:hAnsi="宋体" w:eastAsia="宋体" w:cs="宋体"/>
                <w:sz w:val="21"/>
                <w:szCs w:val="21"/>
                <w:highlight w:val="none"/>
              </w:rPr>
            </w:pPr>
            <w:r>
              <w:rPr>
                <w:rFonts w:hint="eastAsia" w:ascii="宋体" w:hAnsi="宋体" w:eastAsia="宋体" w:cs="宋体"/>
                <w:color w:val="000000" w:themeColor="text1"/>
                <w:kern w:val="2"/>
                <w:sz w:val="21"/>
                <w:szCs w:val="21"/>
                <w:highlight w:val="none"/>
                <w14:textFill>
                  <w14:solidFill>
                    <w14:schemeClr w14:val="tx1"/>
                  </w14:solidFill>
                </w14:textFill>
              </w:rPr>
              <w:t>大写：</w:t>
            </w:r>
          </w:p>
        </w:tc>
      </w:tr>
    </w:tbl>
    <w:p>
      <w:pPr>
        <w:snapToGrid w:val="0"/>
        <w:spacing w:before="50" w:after="50" w:line="360" w:lineRule="auto"/>
        <w:ind w:left="-23" w:leftChars="-11" w:right="27" w:rightChars="13" w:firstLine="21" w:firstLineChars="1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注:报价一经涂改，应在涂改处加盖单位公章或由</w:t>
      </w:r>
      <w:r>
        <w:rPr>
          <w:rFonts w:hint="eastAsia" w:ascii="宋体" w:hAnsi="宋体" w:eastAsia="宋体" w:cs="宋体"/>
          <w:bCs/>
          <w:color w:val="000000" w:themeColor="text1"/>
          <w:szCs w:val="21"/>
          <w:highlight w:val="none"/>
          <w:lang w:eastAsia="zh-CN"/>
          <w14:textFill>
            <w14:solidFill>
              <w14:schemeClr w14:val="tx1"/>
            </w14:solidFill>
          </w14:textFill>
        </w:rPr>
        <w:t>法定代表人</w:t>
      </w:r>
      <w:r>
        <w:rPr>
          <w:rFonts w:hint="eastAsia" w:ascii="宋体" w:hAnsi="宋体" w:eastAsia="宋体" w:cs="宋体"/>
          <w:bCs/>
          <w:color w:val="000000" w:themeColor="text1"/>
          <w:szCs w:val="21"/>
          <w:highlight w:val="none"/>
          <w14:textFill>
            <w14:solidFill>
              <w14:schemeClr w14:val="tx1"/>
            </w14:solidFill>
          </w14:textFill>
        </w:rPr>
        <w:t>或其授权代表签字，否则评标委员会将不接受该修改内容。</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napToGrid w:val="0"/>
        <w:spacing w:line="360" w:lineRule="auto"/>
        <w:ind w:firstLine="3685" w:firstLineChars="175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（填写全称并加盖公章)</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p>
      <w:pPr>
        <w:snapToGrid w:val="0"/>
        <w:spacing w:line="360" w:lineRule="auto"/>
        <w:ind w:firstLine="3685" w:firstLineChars="175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p>
    <w:p>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pPr>
        <w:pStyle w:val="20"/>
        <w:spacing w:line="360" w:lineRule="auto"/>
        <w:ind w:left="0" w:leftChars="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（2）投标报价组成明细表</w:t>
      </w:r>
    </w:p>
    <w:tbl>
      <w:tblPr>
        <w:tblStyle w:val="45"/>
        <w:tblW w:w="0" w:type="auto"/>
        <w:jc w:val="center"/>
        <w:tblLayout w:type="fixed"/>
        <w:tblCellMar>
          <w:top w:w="0" w:type="dxa"/>
          <w:left w:w="108" w:type="dxa"/>
          <w:bottom w:w="0" w:type="dxa"/>
          <w:right w:w="108" w:type="dxa"/>
        </w:tblCellMar>
      </w:tblPr>
      <w:tblGrid>
        <w:gridCol w:w="753"/>
        <w:gridCol w:w="1843"/>
        <w:gridCol w:w="1252"/>
        <w:gridCol w:w="2685"/>
        <w:gridCol w:w="2414"/>
      </w:tblGrid>
      <w:tr>
        <w:tblPrEx>
          <w:tblCellMar>
            <w:top w:w="0" w:type="dxa"/>
            <w:left w:w="108" w:type="dxa"/>
            <w:bottom w:w="0" w:type="dxa"/>
            <w:right w:w="108" w:type="dxa"/>
          </w:tblCellMar>
        </w:tblPrEx>
        <w:trPr>
          <w:trHeight w:val="567" w:hRule="exact"/>
          <w:jc w:val="center"/>
        </w:trPr>
        <w:tc>
          <w:tcPr>
            <w:tcW w:w="7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r>
              <w:rPr>
                <w:rFonts w:hint="eastAsia" w:ascii="宋体" w:hAnsi="宋体" w:eastAsia="宋体" w:cs="宋体"/>
                <w:highlight w:val="none"/>
              </w:rPr>
              <w:t>序号</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lang w:eastAsia="zh-CN"/>
              </w:rPr>
            </w:pPr>
            <w:r>
              <w:rPr>
                <w:rFonts w:hint="eastAsia" w:ascii="宋体" w:hAnsi="宋体" w:eastAsia="宋体" w:cs="宋体"/>
                <w:highlight w:val="none"/>
              </w:rPr>
              <w:t>岗位</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费用</w:t>
            </w:r>
            <w:r>
              <w:rPr>
                <w:rFonts w:hint="eastAsia" w:ascii="宋体" w:hAnsi="宋体" w:eastAsia="宋体" w:cs="宋体"/>
                <w:highlight w:val="none"/>
                <w:lang w:eastAsia="zh-CN"/>
              </w:rPr>
              <w:t>）</w:t>
            </w:r>
            <w:r>
              <w:rPr>
                <w:rFonts w:hint="eastAsia" w:ascii="宋体" w:hAnsi="宋体" w:eastAsia="宋体" w:cs="宋体"/>
                <w:highlight w:val="none"/>
              </w:rPr>
              <w:t>名称</w:t>
            </w:r>
          </w:p>
        </w:tc>
        <w:tc>
          <w:tcPr>
            <w:tcW w:w="125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r>
              <w:rPr>
                <w:rFonts w:hint="eastAsia" w:ascii="宋体" w:hAnsi="宋体" w:eastAsia="宋体" w:cs="宋体"/>
                <w:highlight w:val="none"/>
              </w:rPr>
              <w:t>数量（人）</w:t>
            </w:r>
          </w:p>
        </w:tc>
        <w:tc>
          <w:tcPr>
            <w:tcW w:w="268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highlight w:val="none"/>
              </w:rPr>
            </w:pPr>
            <w:r>
              <w:rPr>
                <w:rFonts w:hint="eastAsia" w:ascii="宋体" w:hAnsi="宋体" w:eastAsia="宋体" w:cs="宋体"/>
                <w:highlight w:val="none"/>
              </w:rPr>
              <w:t>单价最终报价</w:t>
            </w:r>
          </w:p>
          <w:p>
            <w:pPr>
              <w:jc w:val="center"/>
              <w:rPr>
                <w:rFonts w:hint="eastAsia" w:ascii="宋体" w:hAnsi="宋体" w:eastAsia="宋体" w:cs="宋体"/>
                <w:highlight w:val="none"/>
              </w:rPr>
            </w:pPr>
            <w:r>
              <w:rPr>
                <w:rFonts w:hint="eastAsia" w:ascii="宋体" w:hAnsi="宋体" w:eastAsia="宋体" w:cs="宋体"/>
                <w:highlight w:val="none"/>
              </w:rPr>
              <w:t>（元/年/人，未含增值税）</w:t>
            </w:r>
          </w:p>
        </w:tc>
        <w:tc>
          <w:tcPr>
            <w:tcW w:w="241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highlight w:val="none"/>
              </w:rPr>
            </w:pPr>
            <w:r>
              <w:rPr>
                <w:rFonts w:hint="eastAsia" w:ascii="宋体" w:hAnsi="宋体" w:eastAsia="宋体" w:cs="宋体"/>
                <w:highlight w:val="none"/>
              </w:rPr>
              <w:t>合计最终报价</w:t>
            </w:r>
          </w:p>
          <w:p>
            <w:pPr>
              <w:jc w:val="center"/>
              <w:rPr>
                <w:rFonts w:hint="eastAsia" w:ascii="宋体" w:hAnsi="宋体" w:eastAsia="宋体" w:cs="宋体"/>
                <w:highlight w:val="none"/>
              </w:rPr>
            </w:pPr>
            <w:r>
              <w:rPr>
                <w:rFonts w:hint="eastAsia" w:ascii="宋体" w:hAnsi="宋体" w:eastAsia="宋体" w:cs="宋体"/>
                <w:highlight w:val="none"/>
              </w:rPr>
              <w:t>（元/年，含增值税）</w:t>
            </w:r>
          </w:p>
        </w:tc>
      </w:tr>
      <w:tr>
        <w:tblPrEx>
          <w:tblCellMar>
            <w:top w:w="0" w:type="dxa"/>
            <w:left w:w="108" w:type="dxa"/>
            <w:bottom w:w="0" w:type="dxa"/>
            <w:right w:w="108" w:type="dxa"/>
          </w:tblCellMar>
        </w:tblPrEx>
        <w:trPr>
          <w:trHeight w:val="562" w:hRule="exact"/>
          <w:jc w:val="center"/>
        </w:trPr>
        <w:tc>
          <w:tcPr>
            <w:tcW w:w="7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r>
              <w:rPr>
                <w:rFonts w:hint="eastAsia" w:ascii="宋体" w:hAnsi="宋体" w:eastAsia="宋体" w:cs="宋体"/>
                <w:highlight w:val="none"/>
              </w:rPr>
              <w:t>1</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125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r>
      <w:tr>
        <w:tblPrEx>
          <w:tblCellMar>
            <w:top w:w="0" w:type="dxa"/>
            <w:left w:w="108" w:type="dxa"/>
            <w:bottom w:w="0" w:type="dxa"/>
            <w:right w:w="108" w:type="dxa"/>
          </w:tblCellMar>
        </w:tblPrEx>
        <w:trPr>
          <w:trHeight w:val="567" w:hRule="exact"/>
          <w:jc w:val="center"/>
        </w:trPr>
        <w:tc>
          <w:tcPr>
            <w:tcW w:w="7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r>
              <w:rPr>
                <w:rFonts w:hint="eastAsia" w:ascii="宋体" w:hAnsi="宋体" w:eastAsia="宋体" w:cs="宋体"/>
                <w:highlight w:val="none"/>
              </w:rPr>
              <w:t>2</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125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r>
      <w:tr>
        <w:tblPrEx>
          <w:tblCellMar>
            <w:top w:w="0" w:type="dxa"/>
            <w:left w:w="108" w:type="dxa"/>
            <w:bottom w:w="0" w:type="dxa"/>
            <w:right w:w="108" w:type="dxa"/>
          </w:tblCellMar>
        </w:tblPrEx>
        <w:trPr>
          <w:trHeight w:val="567" w:hRule="exact"/>
          <w:jc w:val="center"/>
        </w:trPr>
        <w:tc>
          <w:tcPr>
            <w:tcW w:w="7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r>
              <w:rPr>
                <w:rFonts w:hint="eastAsia" w:ascii="宋体" w:hAnsi="宋体" w:eastAsia="宋体" w:cs="宋体"/>
                <w:highlight w:val="none"/>
              </w:rPr>
              <w:t>3</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125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r>
      <w:tr>
        <w:tblPrEx>
          <w:tblCellMar>
            <w:top w:w="0" w:type="dxa"/>
            <w:left w:w="108" w:type="dxa"/>
            <w:bottom w:w="0" w:type="dxa"/>
            <w:right w:w="108" w:type="dxa"/>
          </w:tblCellMar>
        </w:tblPrEx>
        <w:trPr>
          <w:trHeight w:val="567" w:hRule="exact"/>
          <w:jc w:val="center"/>
        </w:trPr>
        <w:tc>
          <w:tcPr>
            <w:tcW w:w="7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r>
              <w:rPr>
                <w:rFonts w:hint="eastAsia" w:ascii="宋体" w:hAnsi="宋体" w:eastAsia="宋体" w:cs="宋体"/>
                <w:highlight w:val="none"/>
              </w:rPr>
              <w:t>4</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125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r>
      <w:tr>
        <w:tblPrEx>
          <w:tblCellMar>
            <w:top w:w="0" w:type="dxa"/>
            <w:left w:w="108" w:type="dxa"/>
            <w:bottom w:w="0" w:type="dxa"/>
            <w:right w:w="108" w:type="dxa"/>
          </w:tblCellMar>
        </w:tblPrEx>
        <w:trPr>
          <w:trHeight w:val="567" w:hRule="exact"/>
          <w:jc w:val="center"/>
        </w:trPr>
        <w:tc>
          <w:tcPr>
            <w:tcW w:w="7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r>
              <w:rPr>
                <w:rFonts w:hint="eastAsia" w:ascii="宋体" w:hAnsi="宋体" w:eastAsia="宋体" w:cs="宋体"/>
                <w:highlight w:val="none"/>
              </w:rPr>
              <w:t>5</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125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r>
      <w:tr>
        <w:tblPrEx>
          <w:tblCellMar>
            <w:top w:w="0" w:type="dxa"/>
            <w:left w:w="108" w:type="dxa"/>
            <w:bottom w:w="0" w:type="dxa"/>
            <w:right w:w="108" w:type="dxa"/>
          </w:tblCellMar>
        </w:tblPrEx>
        <w:trPr>
          <w:trHeight w:val="567" w:hRule="exact"/>
          <w:jc w:val="center"/>
        </w:trPr>
        <w:tc>
          <w:tcPr>
            <w:tcW w:w="7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r>
              <w:rPr>
                <w:rFonts w:hint="eastAsia" w:ascii="宋体" w:hAnsi="宋体" w:eastAsia="宋体" w:cs="宋体"/>
                <w:highlight w:val="none"/>
              </w:rPr>
              <w:t>6</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125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r>
      <w:tr>
        <w:tblPrEx>
          <w:tblCellMar>
            <w:top w:w="0" w:type="dxa"/>
            <w:left w:w="108" w:type="dxa"/>
            <w:bottom w:w="0" w:type="dxa"/>
            <w:right w:w="108" w:type="dxa"/>
          </w:tblCellMar>
        </w:tblPrEx>
        <w:trPr>
          <w:trHeight w:val="567" w:hRule="exact"/>
          <w:jc w:val="center"/>
        </w:trPr>
        <w:tc>
          <w:tcPr>
            <w:tcW w:w="7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r>
              <w:rPr>
                <w:rFonts w:hint="eastAsia" w:ascii="宋体" w:hAnsi="宋体" w:eastAsia="宋体" w:cs="宋体"/>
                <w:highlight w:val="none"/>
              </w:rPr>
              <w:t>7</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125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r>
      <w:tr>
        <w:tblPrEx>
          <w:tblCellMar>
            <w:top w:w="0" w:type="dxa"/>
            <w:left w:w="108" w:type="dxa"/>
            <w:bottom w:w="0" w:type="dxa"/>
            <w:right w:w="108" w:type="dxa"/>
          </w:tblCellMar>
        </w:tblPrEx>
        <w:trPr>
          <w:trHeight w:val="567" w:hRule="exact"/>
          <w:jc w:val="center"/>
        </w:trPr>
        <w:tc>
          <w:tcPr>
            <w:tcW w:w="7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r>
              <w:rPr>
                <w:rFonts w:hint="eastAsia" w:ascii="宋体" w:hAnsi="宋体" w:eastAsia="宋体" w:cs="宋体"/>
                <w:highlight w:val="none"/>
              </w:rPr>
              <w:t>8</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125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r>
      <w:tr>
        <w:tblPrEx>
          <w:tblCellMar>
            <w:top w:w="0" w:type="dxa"/>
            <w:left w:w="108" w:type="dxa"/>
            <w:bottom w:w="0" w:type="dxa"/>
            <w:right w:w="108" w:type="dxa"/>
          </w:tblCellMar>
        </w:tblPrEx>
        <w:trPr>
          <w:trHeight w:val="567" w:hRule="exact"/>
          <w:jc w:val="center"/>
        </w:trPr>
        <w:tc>
          <w:tcPr>
            <w:tcW w:w="7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r>
              <w:rPr>
                <w:rFonts w:hint="eastAsia" w:ascii="宋体" w:hAnsi="宋体" w:eastAsia="宋体" w:cs="宋体"/>
                <w:highlight w:val="none"/>
              </w:rPr>
              <w:t>9</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125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r>
      <w:tr>
        <w:tblPrEx>
          <w:tblCellMar>
            <w:top w:w="0" w:type="dxa"/>
            <w:left w:w="108" w:type="dxa"/>
            <w:bottom w:w="0" w:type="dxa"/>
            <w:right w:w="108" w:type="dxa"/>
          </w:tblCellMar>
        </w:tblPrEx>
        <w:trPr>
          <w:trHeight w:val="567" w:hRule="exact"/>
          <w:jc w:val="center"/>
        </w:trPr>
        <w:tc>
          <w:tcPr>
            <w:tcW w:w="7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r>
              <w:rPr>
                <w:rFonts w:hint="eastAsia" w:ascii="宋体" w:hAnsi="宋体" w:eastAsia="宋体" w:cs="宋体"/>
                <w:highlight w:val="none"/>
              </w:rPr>
              <w:t>10</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125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r>
      <w:tr>
        <w:tblPrEx>
          <w:tblCellMar>
            <w:top w:w="0" w:type="dxa"/>
            <w:left w:w="108" w:type="dxa"/>
            <w:bottom w:w="0" w:type="dxa"/>
            <w:right w:w="108" w:type="dxa"/>
          </w:tblCellMar>
        </w:tblPrEx>
        <w:trPr>
          <w:trHeight w:val="567" w:hRule="exact"/>
          <w:jc w:val="center"/>
        </w:trPr>
        <w:tc>
          <w:tcPr>
            <w:tcW w:w="7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r>
              <w:rPr>
                <w:rFonts w:hint="eastAsia" w:ascii="宋体" w:hAnsi="宋体" w:eastAsia="宋体" w:cs="宋体"/>
                <w:highlight w:val="none"/>
              </w:rPr>
              <w:t>11</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125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r>
      <w:tr>
        <w:tblPrEx>
          <w:tblCellMar>
            <w:top w:w="0" w:type="dxa"/>
            <w:left w:w="108" w:type="dxa"/>
            <w:bottom w:w="0" w:type="dxa"/>
            <w:right w:w="108" w:type="dxa"/>
          </w:tblCellMar>
        </w:tblPrEx>
        <w:trPr>
          <w:trHeight w:val="567" w:hRule="exact"/>
          <w:jc w:val="center"/>
        </w:trPr>
        <w:tc>
          <w:tcPr>
            <w:tcW w:w="7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12</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p>
        </w:tc>
        <w:tc>
          <w:tcPr>
            <w:tcW w:w="125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c>
          <w:tcPr>
            <w:tcW w:w="2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highlight w:val="none"/>
              </w:rPr>
            </w:pPr>
          </w:p>
        </w:tc>
      </w:tr>
      <w:tr>
        <w:tblPrEx>
          <w:tblCellMar>
            <w:top w:w="0" w:type="dxa"/>
            <w:left w:w="108" w:type="dxa"/>
            <w:bottom w:w="0" w:type="dxa"/>
            <w:right w:w="108" w:type="dxa"/>
          </w:tblCellMar>
        </w:tblPrEx>
        <w:trPr>
          <w:trHeight w:val="567" w:hRule="exact"/>
          <w:jc w:val="center"/>
        </w:trPr>
        <w:tc>
          <w:tcPr>
            <w:tcW w:w="384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r>
              <w:rPr>
                <w:rFonts w:hint="eastAsia" w:ascii="宋体" w:hAnsi="宋体" w:eastAsia="宋体" w:cs="宋体"/>
                <w:highlight w:val="none"/>
              </w:rPr>
              <w:t>合计</w:t>
            </w:r>
          </w:p>
        </w:tc>
        <w:tc>
          <w:tcPr>
            <w:tcW w:w="509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highlight w:val="none"/>
              </w:rPr>
            </w:pPr>
            <w:r>
              <w:rPr>
                <w:rFonts w:hint="eastAsia" w:ascii="宋体" w:hAnsi="宋体" w:eastAsia="宋体" w:cs="宋体"/>
                <w:szCs w:val="21"/>
                <w:highlight w:val="none"/>
              </w:rPr>
              <w:t>投标报价（元，小写）：</w:t>
            </w:r>
          </w:p>
        </w:tc>
      </w:tr>
    </w:tbl>
    <w:p>
      <w:pPr>
        <w:spacing w:line="360" w:lineRule="auto"/>
        <w:rPr>
          <w:rFonts w:hint="eastAsia" w:ascii="宋体" w:hAnsi="宋体" w:eastAsia="宋体" w:cs="宋体"/>
          <w:b w:val="0"/>
          <w:bCs w:val="0"/>
          <w:color w:val="000000" w:themeColor="text1"/>
          <w:szCs w:val="28"/>
          <w:highlight w:val="none"/>
          <w14:textFill>
            <w14:solidFill>
              <w14:schemeClr w14:val="tx1"/>
            </w14:solidFill>
          </w14:textFill>
        </w:rPr>
      </w:pPr>
      <w:r>
        <w:rPr>
          <w:rFonts w:hint="eastAsia" w:ascii="宋体" w:hAnsi="宋体" w:eastAsia="宋体" w:cs="宋体"/>
          <w:b w:val="0"/>
          <w:bCs w:val="0"/>
          <w:color w:val="000000" w:themeColor="text1"/>
          <w:szCs w:val="28"/>
          <w:highlight w:val="none"/>
          <w14:textFill>
            <w14:solidFill>
              <w14:schemeClr w14:val="tx1"/>
            </w14:solidFill>
          </w14:textFill>
        </w:rPr>
        <w:t>注：1、投标人可根据项目实际情况调整本表格式，但必须包含上述内容。</w:t>
      </w:r>
    </w:p>
    <w:p>
      <w:pPr>
        <w:spacing w:line="360" w:lineRule="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8"/>
          <w:highlight w:val="none"/>
          <w14:textFill>
            <w14:solidFill>
              <w14:schemeClr w14:val="tx1"/>
            </w14:solidFill>
          </w14:textFill>
        </w:rPr>
        <w:t>2、上述各项的详细分项报价及具体内容，可另页描述。</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p>
    <w:p>
      <w:pPr>
        <w:snapToGrid w:val="0"/>
        <w:spacing w:line="360" w:lineRule="auto"/>
        <w:ind w:firstLine="3685" w:firstLineChars="175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（填写全称并加盖公章)</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p>
    <w:p>
      <w:pPr>
        <w:snapToGrid w:val="0"/>
        <w:spacing w:line="360" w:lineRule="auto"/>
        <w:ind w:firstLine="3685" w:firstLineChars="175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p>
    <w:p>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pPr>
        <w:pStyle w:val="20"/>
        <w:spacing w:line="360" w:lineRule="auto"/>
        <w:ind w:left="0" w:left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）中小企业声明函</w:t>
      </w:r>
    </w:p>
    <w:p>
      <w:pPr>
        <w:snapToGrid w:val="0"/>
        <w:spacing w:line="360" w:lineRule="auto"/>
        <w:ind w:left="-23" w:leftChars="-11" w:right="-214" w:rightChars="-102" w:firstLine="447" w:firstLineChars="213"/>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b/>
          <w:color w:val="000000" w:themeColor="text1"/>
          <w:highlight w:val="none"/>
          <w:u w:val="single"/>
          <w14:textFill>
            <w14:solidFill>
              <w14:schemeClr w14:val="tx1"/>
            </w14:solidFill>
          </w14:textFill>
        </w:rPr>
        <w:t xml:space="preserve"> </w:t>
      </w:r>
      <w:r>
        <w:rPr>
          <w:rFonts w:hint="eastAsia" w:ascii="宋体" w:hAnsi="宋体" w:eastAsia="宋体" w:cs="宋体"/>
          <w:b/>
          <w:color w:val="000000" w:themeColor="text1"/>
          <w:highlight w:val="none"/>
          <w:u w:val="single"/>
          <w:lang w:eastAsia="zh-CN"/>
          <w14:textFill>
            <w14:solidFill>
              <w14:schemeClr w14:val="tx1"/>
            </w14:solidFill>
          </w14:textFill>
        </w:rPr>
        <w:t>宁波市自然资源和规划研究中心</w:t>
      </w:r>
      <w:r>
        <w:rPr>
          <w:rFonts w:hint="eastAsia" w:ascii="宋体" w:hAnsi="宋体" w:eastAsia="宋体" w:cs="宋体"/>
          <w:b/>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b/>
          <w:color w:val="000000" w:themeColor="text1"/>
          <w:highlight w:val="none"/>
          <w:u w:val="single"/>
          <w:lang w:eastAsia="zh-CN"/>
          <w14:textFill>
            <w14:solidFill>
              <w14:schemeClr w14:val="tx1"/>
            </w14:solidFill>
          </w14:textFill>
        </w:rPr>
        <w:t>宁波市自然资源和规划研究中心劳务外包项目（重招）</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snapToGrid w:val="0"/>
        <w:spacing w:line="360" w:lineRule="auto"/>
        <w:ind w:left="-23" w:leftChars="-11" w:right="-214" w:rightChars="-102" w:firstLine="447" w:firstLineChars="213"/>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宁波市自然资源和规划研究中心劳务外包项目（重招）</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，属于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bCs/>
          <w:color w:val="000000" w:themeColor="text1"/>
          <w:highlight w:val="none"/>
          <w:u w:val="single"/>
          <w:lang w:eastAsia="zh-CN"/>
          <w14:textFill>
            <w14:solidFill>
              <w14:schemeClr w14:val="tx1"/>
            </w14:solidFill>
          </w14:textFill>
        </w:rPr>
        <w:t>其他未列明行业</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；承接企业为</w:t>
      </w:r>
      <w:r>
        <w:rPr>
          <w:rFonts w:hint="eastAsia" w:ascii="宋体" w:hAnsi="宋体" w:eastAsia="宋体" w:cs="宋体"/>
          <w:color w:val="000000" w:themeColor="text1"/>
          <w:highlight w:val="none"/>
          <w:u w:val="single"/>
          <w14:textFill>
            <w14:solidFill>
              <w14:schemeClr w14:val="tx1"/>
            </w14:solidFill>
          </w14:textFill>
        </w:rPr>
        <w:t xml:space="preserve">  （企业名称）   </w:t>
      </w: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人，营业收入为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万元，资产总额为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万元，属于</w:t>
      </w:r>
      <w:r>
        <w:rPr>
          <w:rFonts w:hint="eastAsia" w:ascii="宋体" w:hAnsi="宋体" w:eastAsia="宋体" w:cs="宋体"/>
          <w:color w:val="000000" w:themeColor="text1"/>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highlight w:val="none"/>
          <w14:textFill>
            <w14:solidFill>
              <w14:schemeClr w14:val="tx1"/>
            </w14:solidFill>
          </w14:textFill>
        </w:rPr>
        <w:t>；</w:t>
      </w:r>
    </w:p>
    <w:p>
      <w:pPr>
        <w:snapToGrid w:val="0"/>
        <w:spacing w:line="360" w:lineRule="auto"/>
        <w:ind w:left="-23" w:leftChars="-11" w:right="-214" w:rightChars="-102" w:firstLine="447" w:firstLineChars="213"/>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宁波市自然资源和规划研究中心劳务外包项目（重招）</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，属于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bCs/>
          <w:color w:val="000000" w:themeColor="text1"/>
          <w:highlight w:val="none"/>
          <w:u w:val="single"/>
          <w:lang w:eastAsia="zh-CN"/>
          <w14:textFill>
            <w14:solidFill>
              <w14:schemeClr w14:val="tx1"/>
            </w14:solidFill>
          </w14:textFill>
        </w:rPr>
        <w:t>其他未列明行业</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；承接企业为</w:t>
      </w:r>
      <w:r>
        <w:rPr>
          <w:rFonts w:hint="eastAsia" w:ascii="宋体" w:hAnsi="宋体" w:eastAsia="宋体" w:cs="宋体"/>
          <w:color w:val="000000" w:themeColor="text1"/>
          <w:highlight w:val="none"/>
          <w:u w:val="single"/>
          <w14:textFill>
            <w14:solidFill>
              <w14:schemeClr w14:val="tx1"/>
            </w14:solidFill>
          </w14:textFill>
        </w:rPr>
        <w:t xml:space="preserve">  （企业名称）   </w:t>
      </w: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人，营业收入为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万元，资产总额为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万元，属于</w:t>
      </w:r>
      <w:r>
        <w:rPr>
          <w:rFonts w:hint="eastAsia" w:ascii="宋体" w:hAnsi="宋体" w:eastAsia="宋体" w:cs="宋体"/>
          <w:color w:val="000000" w:themeColor="text1"/>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highlight w:val="none"/>
          <w14:textFill>
            <w14:solidFill>
              <w14:schemeClr w14:val="tx1"/>
            </w14:solidFill>
          </w14:textFill>
        </w:rPr>
        <w:t>；</w:t>
      </w:r>
    </w:p>
    <w:p>
      <w:pPr>
        <w:snapToGrid w:val="0"/>
        <w:spacing w:line="360" w:lineRule="auto"/>
        <w:ind w:left="-23" w:leftChars="-11" w:right="-214" w:rightChars="-102" w:firstLine="447" w:firstLineChars="213"/>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p>
      <w:pPr>
        <w:snapToGrid w:val="0"/>
        <w:spacing w:line="360" w:lineRule="auto"/>
        <w:ind w:left="-23" w:leftChars="-11" w:right="-214" w:rightChars="-102" w:firstLine="447" w:firstLineChars="213"/>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4676" w:firstLineChars="2227"/>
        <w:jc w:val="left"/>
        <w:rPr>
          <w:rFonts w:hint="eastAsia" w:ascii="宋体" w:hAnsi="宋体" w:eastAsia="宋体" w:cs="宋体"/>
          <w:color w:val="000000" w:themeColor="text1"/>
          <w:highlight w:val="none"/>
          <w14:textFill>
            <w14:solidFill>
              <w14:schemeClr w14:val="tx1"/>
            </w14:solidFill>
          </w14:textFill>
        </w:rPr>
      </w:pPr>
    </w:p>
    <w:p>
      <w:pPr>
        <w:spacing w:line="360" w:lineRule="auto"/>
        <w:ind w:firstLine="4676" w:firstLineChars="2227"/>
        <w:jc w:val="left"/>
        <w:rPr>
          <w:rFonts w:hint="eastAsia" w:ascii="宋体" w:hAnsi="宋体" w:eastAsia="宋体" w:cs="宋体"/>
          <w:color w:val="000000" w:themeColor="text1"/>
          <w:highlight w:val="none"/>
          <w14:textFill>
            <w14:solidFill>
              <w14:schemeClr w14:val="tx1"/>
            </w14:solidFill>
          </w14:textFill>
        </w:rPr>
      </w:pPr>
    </w:p>
    <w:p>
      <w:pPr>
        <w:spacing w:line="360" w:lineRule="auto"/>
        <w:ind w:firstLine="4676" w:firstLineChars="2227"/>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企业名称（盖章）：</w:t>
      </w:r>
    </w:p>
    <w:p>
      <w:pPr>
        <w:spacing w:line="360" w:lineRule="auto"/>
        <w:ind w:firstLine="4676" w:firstLineChars="2227"/>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p>
    <w:p>
      <w:pPr>
        <w:spacing w:line="360" w:lineRule="auto"/>
        <w:ind w:firstLine="4676" w:firstLineChars="2227"/>
        <w:jc w:val="left"/>
        <w:rPr>
          <w:rFonts w:hint="eastAsia" w:ascii="宋体" w:hAnsi="宋体" w:eastAsia="宋体" w:cs="宋体"/>
          <w:color w:val="000000" w:themeColor="text1"/>
          <w:highlight w:val="none"/>
          <w14:textFill>
            <w14:solidFill>
              <w14:schemeClr w14:val="tx1"/>
            </w14:solidFill>
          </w14:textFill>
        </w:rPr>
      </w:pPr>
    </w:p>
    <w:p>
      <w:pPr>
        <w:pStyle w:val="20"/>
        <w:spacing w:line="360" w:lineRule="auto"/>
        <w:ind w:left="0" w:leftChars="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请投标人仔细阅读填写说明：</w:t>
      </w:r>
    </w:p>
    <w:p>
      <w:pPr>
        <w:pStyle w:val="20"/>
        <w:spacing w:line="360" w:lineRule="auto"/>
        <w:ind w:left="0" w:leftChars="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w:t>
      </w:r>
      <w:r>
        <w:rPr>
          <w:rFonts w:hint="eastAsia" w:ascii="宋体" w:hAnsi="宋体" w:eastAsia="宋体" w:cs="宋体"/>
          <w:b w:val="0"/>
          <w:bCs/>
          <w:color w:val="000000" w:themeColor="text1"/>
          <w:sz w:val="21"/>
          <w:szCs w:val="21"/>
          <w:highlight w:val="none"/>
          <w14:textFill>
            <w14:solidFill>
              <w14:schemeClr w14:val="tx1"/>
            </w14:solidFill>
          </w14:textFill>
        </w:rPr>
        <w:t>.本项目为服务采购项目，服务由中小企业承接，即提供服务的人员为中小企业依照《中华人民共和国劳动合同法》订立劳动合同的从业人员。</w:t>
      </w:r>
    </w:p>
    <w:p>
      <w:pPr>
        <w:pStyle w:val="20"/>
        <w:spacing w:line="360" w:lineRule="auto"/>
        <w:ind w:left="0" w:leftChars="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2.从业人员、营业收入、资产总额填报上一年度数据，无上一年度数据的新成立企业可不填报。</w:t>
      </w:r>
    </w:p>
    <w:p>
      <w:pPr>
        <w:pStyle w:val="20"/>
        <w:spacing w:line="360" w:lineRule="auto"/>
        <w:ind w:left="0" w:leftChars="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3.投标人应当对其出具的《中小企业声明函》真实性负责，出具的《中小企业声明函》内容不实的，属于提供虚假材料。</w:t>
      </w:r>
    </w:p>
    <w:p>
      <w:pPr>
        <w:pStyle w:val="20"/>
        <w:spacing w:line="360" w:lineRule="auto"/>
        <w:ind w:left="0" w:leftChars="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4.事业单位不属于企业不应提交本声明函，其他组织形式的供应商参与本项目并提交本声明函前请仔细阅读相关政策文件。</w:t>
      </w:r>
    </w:p>
    <w:p>
      <w:pPr>
        <w:pStyle w:val="20"/>
        <w:spacing w:line="360" w:lineRule="auto"/>
        <w:ind w:left="0" w:leftChars="0"/>
        <w:jc w:val="left"/>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.其他未列明⾏业。从业⼈员300⼈以下的为中</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小</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微型企业。其中，从业⼈员100⼈及以上的为中型企业；从业⼈员10⼈及以上的为</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小</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型企业；从业⼈员10⼈以下的为微型企业。</w:t>
      </w:r>
    </w:p>
    <w:p>
      <w:pPr>
        <w:pStyle w:val="20"/>
        <w:spacing w:line="360" w:lineRule="auto"/>
        <w:ind w:left="0" w:leftChars="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color w:val="000000" w:themeColor="text1"/>
          <w:sz w:val="21"/>
          <w:szCs w:val="21"/>
          <w:highlight w:val="none"/>
          <w14:textFill>
            <w14:solidFill>
              <w14:schemeClr w14:val="tx1"/>
            </w14:solidFill>
          </w14:textFill>
        </w:rPr>
        <w:t>.投标人应当谨慎填写并提供本表。</w:t>
      </w:r>
      <w:r>
        <w:rPr>
          <w:rFonts w:hint="eastAsia" w:ascii="宋体" w:hAnsi="宋体" w:eastAsia="宋体" w:cs="宋体"/>
          <w:b/>
          <w:color w:val="000000" w:themeColor="text1"/>
          <w:sz w:val="21"/>
          <w:szCs w:val="21"/>
          <w:highlight w:val="none"/>
          <w14:textFill>
            <w14:solidFill>
              <w14:schemeClr w14:val="tx1"/>
            </w14:solidFill>
          </w14:textFill>
        </w:rPr>
        <w:br w:type="page"/>
      </w:r>
    </w:p>
    <w:p>
      <w:pPr>
        <w:pStyle w:val="20"/>
        <w:spacing w:line="360" w:lineRule="auto"/>
        <w:ind w:left="0" w:leftChars="0"/>
        <w:jc w:val="center"/>
        <w:rPr>
          <w:rFonts w:hint="eastAsia" w:ascii="宋体" w:hAnsi="宋体" w:eastAsia="宋体" w:cs="宋体"/>
          <w:b/>
          <w:color w:val="000000" w:themeColor="text1"/>
          <w:spacing w:val="6"/>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color w:val="000000" w:themeColor="text1"/>
          <w:sz w:val="21"/>
          <w:szCs w:val="21"/>
          <w:highlight w:val="none"/>
          <w14:textFill>
            <w14:solidFill>
              <w14:schemeClr w14:val="tx1"/>
            </w14:solidFill>
          </w14:textFill>
        </w:rPr>
        <w:t>）残疾人福利性单位声明函</w:t>
      </w:r>
    </w:p>
    <w:p>
      <w:pPr>
        <w:spacing w:line="360" w:lineRule="auto"/>
        <w:ind w:firstLine="444" w:firstLineChars="200"/>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highlight w:val="none"/>
          <w14:textFill>
            <w14:solidFill>
              <w14:schemeClr w14:val="tx1"/>
            </w14:solidFill>
          </w14:textFill>
        </w:rPr>
        <w:t>〔2017〕 141</w:t>
      </w:r>
      <w:r>
        <w:rPr>
          <w:rFonts w:hint="eastAsia" w:ascii="宋体" w:hAnsi="宋体" w:eastAsia="宋体" w:cs="宋体"/>
          <w:color w:val="000000" w:themeColor="text1"/>
          <w:spacing w:val="6"/>
          <w:highlight w:val="none"/>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highlight w:val="none"/>
          <w:u w:val="single"/>
          <w14:textFill>
            <w14:solidFill>
              <w14:schemeClr w14:val="tx1"/>
            </w14:solidFill>
          </w14:textFill>
        </w:rPr>
        <w:t xml:space="preserve">     （填采购人名称）       </w:t>
      </w:r>
      <w:r>
        <w:rPr>
          <w:rFonts w:hint="eastAsia" w:ascii="宋体" w:hAnsi="宋体" w:eastAsia="宋体" w:cs="宋体"/>
          <w:color w:val="000000" w:themeColor="text1"/>
          <w:spacing w:val="6"/>
          <w:highlight w:val="none"/>
          <w14:textFill>
            <w14:solidFill>
              <w14:schemeClr w14:val="tx1"/>
            </w14:solidFill>
          </w14:textFill>
        </w:rPr>
        <w:t>单位的</w:t>
      </w:r>
      <w:r>
        <w:rPr>
          <w:rFonts w:hint="eastAsia" w:ascii="宋体" w:hAnsi="宋体" w:eastAsia="宋体" w:cs="宋体"/>
          <w:color w:val="000000" w:themeColor="text1"/>
          <w:spacing w:val="6"/>
          <w:highlight w:val="none"/>
          <w:u w:val="single"/>
          <w14:textFill>
            <w14:solidFill>
              <w14:schemeClr w14:val="tx1"/>
            </w14:solidFill>
          </w14:textFill>
        </w:rPr>
        <w:t xml:space="preserve">       （填项目名称）         </w:t>
      </w:r>
      <w:r>
        <w:rPr>
          <w:rFonts w:hint="eastAsia" w:ascii="宋体" w:hAnsi="宋体" w:eastAsia="宋体" w:cs="宋体"/>
          <w:color w:val="000000" w:themeColor="text1"/>
          <w:spacing w:val="6"/>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本单位对上述声明的真实性负责。如有虚假，将依法承担相应责任。</w:t>
      </w:r>
    </w:p>
    <w:p>
      <w:pPr>
        <w:spacing w:line="360" w:lineRule="auto"/>
        <w:ind w:firstLine="444" w:firstLineChars="200"/>
        <w:rPr>
          <w:rFonts w:hint="eastAsia" w:ascii="宋体" w:hAnsi="宋体" w:eastAsia="宋体" w:cs="宋体"/>
          <w:color w:val="000000" w:themeColor="text1"/>
          <w:spacing w:val="6"/>
          <w:highlight w:val="none"/>
          <w14:textFill>
            <w14:solidFill>
              <w14:schemeClr w14:val="tx1"/>
            </w14:solidFill>
          </w14:textFill>
        </w:rPr>
      </w:pPr>
    </w:p>
    <w:p>
      <w:pPr>
        <w:spacing w:line="360" w:lineRule="auto"/>
        <w:ind w:firstLine="444" w:firstLineChars="200"/>
        <w:rPr>
          <w:rFonts w:hint="eastAsia" w:ascii="宋体" w:hAnsi="宋体" w:eastAsia="宋体" w:cs="宋体"/>
          <w:color w:val="000000" w:themeColor="text1"/>
          <w:spacing w:val="6"/>
          <w:highlight w:val="none"/>
          <w14:textFill>
            <w14:solidFill>
              <w14:schemeClr w14:val="tx1"/>
            </w14:solidFill>
          </w14:textFill>
        </w:rPr>
      </w:pPr>
    </w:p>
    <w:p>
      <w:pPr>
        <w:tabs>
          <w:tab w:val="left" w:pos="4860"/>
        </w:tabs>
        <w:spacing w:line="360" w:lineRule="auto"/>
        <w:ind w:right="1560" w:firstLine="444" w:firstLineChars="200"/>
        <w:jc w:val="center"/>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spacing w:val="6"/>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highlight w:val="none"/>
          <w14:textFill>
            <w14:solidFill>
              <w14:schemeClr w14:val="tx1"/>
            </w14:solidFill>
          </w14:textFill>
        </w:rPr>
        <w:t>单位名称（盖章）：</w:t>
      </w:r>
    </w:p>
    <w:p>
      <w:pPr>
        <w:tabs>
          <w:tab w:val="left" w:pos="4860"/>
        </w:tabs>
        <w:spacing w:line="360" w:lineRule="auto"/>
        <w:ind w:right="1560" w:firstLine="3996" w:firstLineChars="1800"/>
        <w:jc w:val="both"/>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日  期：</w:t>
      </w:r>
    </w:p>
    <w:p>
      <w:pPr>
        <w:pStyle w:val="20"/>
        <w:snapToGrid w:val="0"/>
        <w:spacing w:line="360" w:lineRule="auto"/>
        <w:ind w:firstLine="437" w:firstLineChars="196"/>
        <w:rPr>
          <w:rFonts w:hint="eastAsia" w:ascii="宋体" w:hAnsi="宋体" w:eastAsia="宋体" w:cs="宋体"/>
          <w:b/>
          <w:color w:val="000000" w:themeColor="text1"/>
          <w:spacing w:val="6"/>
          <w:sz w:val="21"/>
          <w:szCs w:val="21"/>
          <w:highlight w:val="none"/>
          <w14:textFill>
            <w14:solidFill>
              <w14:schemeClr w14:val="tx1"/>
            </w14:solidFill>
          </w14:textFill>
        </w:rPr>
      </w:pPr>
    </w:p>
    <w:p>
      <w:pPr>
        <w:pStyle w:val="20"/>
        <w:snapToGrid w:val="0"/>
        <w:spacing w:line="360" w:lineRule="auto"/>
        <w:ind w:firstLine="437" w:firstLineChars="196"/>
        <w:rPr>
          <w:rFonts w:hint="eastAsia" w:ascii="宋体" w:hAnsi="宋体" w:eastAsia="宋体" w:cs="宋体"/>
          <w:b/>
          <w:color w:val="000000" w:themeColor="text1"/>
          <w:spacing w:val="6"/>
          <w:sz w:val="21"/>
          <w:szCs w:val="21"/>
          <w:highlight w:val="none"/>
          <w14:textFill>
            <w14:solidFill>
              <w14:schemeClr w14:val="tx1"/>
            </w14:solidFill>
          </w14:textFill>
        </w:rPr>
      </w:pPr>
    </w:p>
    <w:p>
      <w:pPr>
        <w:pStyle w:val="20"/>
        <w:snapToGrid w:val="0"/>
        <w:spacing w:line="360" w:lineRule="auto"/>
        <w:ind w:firstLine="437" w:firstLineChars="196"/>
        <w:rPr>
          <w:rFonts w:hint="eastAsia" w:ascii="宋体" w:hAnsi="宋体" w:eastAsia="宋体" w:cs="宋体"/>
          <w:b/>
          <w:color w:val="000000" w:themeColor="text1"/>
          <w:spacing w:val="6"/>
          <w:sz w:val="21"/>
          <w:szCs w:val="21"/>
          <w:highlight w:val="none"/>
          <w14:textFill>
            <w14:solidFill>
              <w14:schemeClr w14:val="tx1"/>
            </w14:solidFill>
          </w14:textFill>
        </w:rPr>
      </w:pPr>
    </w:p>
    <w:p>
      <w:pPr>
        <w:pStyle w:val="20"/>
        <w:snapToGrid w:val="0"/>
        <w:spacing w:line="360" w:lineRule="auto"/>
        <w:ind w:firstLine="437" w:firstLineChars="196"/>
        <w:rPr>
          <w:rFonts w:hint="eastAsia" w:ascii="宋体" w:hAnsi="宋体" w:eastAsia="宋体" w:cs="宋体"/>
          <w:b/>
          <w:color w:val="000000" w:themeColor="text1"/>
          <w:spacing w:val="6"/>
          <w:sz w:val="21"/>
          <w:szCs w:val="21"/>
          <w:highlight w:val="none"/>
          <w14:textFill>
            <w14:solidFill>
              <w14:schemeClr w14:val="tx1"/>
            </w14:solidFill>
          </w14:textFill>
        </w:rPr>
      </w:pPr>
    </w:p>
    <w:p>
      <w:pPr>
        <w:spacing w:line="360" w:lineRule="auto"/>
        <w:rPr>
          <w:rFonts w:hint="eastAsia" w:ascii="宋体" w:hAnsi="宋体" w:eastAsia="宋体" w:cs="宋体"/>
          <w:b/>
          <w:color w:val="000000" w:themeColor="text1"/>
          <w:szCs w:val="21"/>
          <w:highlight w:val="none"/>
          <w14:textFill>
            <w14:solidFill>
              <w14:schemeClr w14:val="tx1"/>
            </w14:solidFill>
          </w14:textFill>
        </w:rPr>
      </w:pPr>
    </w:p>
    <w:p>
      <w:pPr>
        <w:snapToGrid w:val="0"/>
        <w:spacing w:before="50" w:after="50" w:line="360" w:lineRule="auto"/>
        <w:ind w:left="-23" w:leftChars="-11" w:right="-214" w:rightChars="-102" w:firstLine="21" w:firstLineChars="1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填写说明：</w:t>
      </w:r>
      <w:r>
        <w:rPr>
          <w:rFonts w:hint="eastAsia" w:ascii="宋体" w:hAnsi="宋体" w:eastAsia="宋体" w:cs="宋体"/>
          <w:b/>
          <w:color w:val="000000" w:themeColor="text1"/>
          <w:szCs w:val="21"/>
          <w:highlight w:val="none"/>
          <w14:textFill>
            <w14:solidFill>
              <w14:schemeClr w14:val="tx1"/>
            </w14:solidFill>
          </w14:textFill>
        </w:rPr>
        <w:t>投标人不属于残疾人福利性单位无需且不应当提供本声明函，否则自行承担相应的责任。</w:t>
      </w:r>
    </w:p>
    <w:p>
      <w:pPr>
        <w:widowControl/>
        <w:jc w:val="left"/>
        <w:rPr>
          <w:rFonts w:hint="eastAsia" w:ascii="宋体" w:hAnsi="宋体" w:eastAsia="宋体" w:cs="宋体"/>
          <w:b/>
          <w:color w:val="000000" w:themeColor="text1"/>
          <w:kern w:val="0"/>
          <w:sz w:val="20"/>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pPr>
        <w:pStyle w:val="4"/>
        <w:rPr>
          <w:rFonts w:hint="eastAsia" w:ascii="宋体" w:hAnsi="宋体" w:eastAsia="宋体" w:cs="宋体"/>
          <w:sz w:val="44"/>
          <w:highlight w:val="none"/>
        </w:rPr>
      </w:pPr>
      <w:bookmarkStart w:id="50" w:name="_Toc60582631"/>
      <w:bookmarkStart w:id="51" w:name="_Toc28371"/>
      <w:r>
        <w:rPr>
          <w:rFonts w:hint="eastAsia" w:ascii="宋体" w:hAnsi="宋体" w:eastAsia="宋体" w:cs="宋体"/>
          <w:highlight w:val="none"/>
        </w:rPr>
        <w:t>第</w:t>
      </w:r>
      <w:r>
        <w:rPr>
          <w:rFonts w:hint="eastAsia" w:ascii="宋体" w:hAnsi="宋体" w:eastAsia="宋体" w:cs="宋体"/>
          <w:highlight w:val="none"/>
          <w:lang w:val="en-US" w:eastAsia="zh-CN"/>
        </w:rPr>
        <w:t>七</w:t>
      </w:r>
      <w:r>
        <w:rPr>
          <w:rFonts w:hint="eastAsia" w:ascii="宋体" w:hAnsi="宋体" w:eastAsia="宋体" w:cs="宋体"/>
          <w:highlight w:val="none"/>
        </w:rPr>
        <w:t>章  政府采购供应商质疑函及投诉书</w:t>
      </w:r>
      <w:bookmarkEnd w:id="50"/>
      <w:r>
        <w:rPr>
          <w:rFonts w:hint="eastAsia" w:ascii="宋体" w:hAnsi="宋体" w:eastAsia="宋体" w:cs="宋体"/>
          <w:highlight w:val="none"/>
        </w:rPr>
        <w:t>范本</w:t>
      </w:r>
      <w:bookmarkEnd w:id="51"/>
    </w:p>
    <w:p>
      <w:pPr>
        <w:jc w:val="center"/>
        <w:rPr>
          <w:rFonts w:hint="eastAsia" w:ascii="宋体" w:hAnsi="宋体" w:eastAsia="宋体" w:cs="宋体"/>
          <w:b/>
          <w:bCs/>
          <w:color w:val="000000" w:themeColor="text1"/>
          <w:sz w:val="28"/>
          <w:szCs w:val="44"/>
          <w:highlight w:val="none"/>
          <w14:textFill>
            <w14:solidFill>
              <w14:schemeClr w14:val="tx1"/>
            </w14:solidFill>
          </w14:textFill>
        </w:rPr>
      </w:pPr>
      <w:r>
        <w:rPr>
          <w:rFonts w:hint="eastAsia" w:ascii="宋体" w:hAnsi="宋体" w:eastAsia="宋体" w:cs="宋体"/>
          <w:b/>
          <w:bCs/>
          <w:color w:val="000000" w:themeColor="text1"/>
          <w:sz w:val="28"/>
          <w:szCs w:val="44"/>
          <w:highlight w:val="none"/>
          <w14:textFill>
            <w14:solidFill>
              <w14:schemeClr w14:val="tx1"/>
            </w14:solidFill>
          </w14:textFill>
        </w:rPr>
        <w:t>质疑函</w:t>
      </w:r>
    </w:p>
    <w:p>
      <w:pPr>
        <w:adjustRightInd w:val="0"/>
        <w:snapToGrid w:val="0"/>
        <w:spacing w:line="360" w:lineRule="auto"/>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一、质疑供应商基本信息</w:t>
      </w:r>
    </w:p>
    <w:p>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质疑供应商：</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地址：</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邮编：</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联系人：</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联系电话：</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授权代表：</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联系电话：</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地址： </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邮编：</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adjustRightInd w:val="0"/>
        <w:snapToGrid w:val="0"/>
        <w:spacing w:line="360" w:lineRule="auto"/>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质疑函补正文书、质疑回复送达方式确认，按质疑供应商确认的送达方式进行文书送达视同送达。</w:t>
      </w:r>
    </w:p>
    <w:p>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确认电子邮件送达： </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或</w:t>
      </w:r>
    </w:p>
    <w:p>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确认传真送达： </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或</w:t>
      </w:r>
    </w:p>
    <w:p>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其他方式：</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adjustRightInd w:val="0"/>
        <w:snapToGrid w:val="0"/>
        <w:spacing w:line="360" w:lineRule="auto"/>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二、质疑项目基本情况</w:t>
      </w:r>
    </w:p>
    <w:p>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质疑项目的名称：</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质疑项目的编号：</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包号：</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采购人名称：</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采购文件获取日期：</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adjustRightInd w:val="0"/>
        <w:snapToGrid w:val="0"/>
        <w:spacing w:line="360" w:lineRule="auto"/>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三、质疑事项具体内容</w:t>
      </w:r>
    </w:p>
    <w:p>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质疑事项1：</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事实依据：</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法律依据：</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质疑事项2</w:t>
      </w:r>
    </w:p>
    <w:p>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w:t>
      </w:r>
    </w:p>
    <w:p>
      <w:pPr>
        <w:adjustRightInd w:val="0"/>
        <w:snapToGrid w:val="0"/>
        <w:spacing w:line="360" w:lineRule="auto"/>
        <w:rPr>
          <w:rFonts w:hint="eastAsia" w:ascii="宋体" w:hAnsi="宋体" w:eastAsia="宋体" w:cs="宋体"/>
          <w:bCs/>
          <w:color w:val="000000" w:themeColor="text1"/>
          <w:sz w:val="22"/>
          <w:highlight w:val="none"/>
          <w14:textFill>
            <w14:solidFill>
              <w14:schemeClr w14:val="tx1"/>
            </w14:solidFill>
          </w14:textFill>
        </w:rPr>
      </w:pPr>
    </w:p>
    <w:p>
      <w:pPr>
        <w:adjustRightInd w:val="0"/>
        <w:snapToGrid w:val="0"/>
        <w:spacing w:line="360" w:lineRule="auto"/>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四、与质疑事项相关的质疑请求</w:t>
      </w:r>
    </w:p>
    <w:p>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请求：</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签字(签章)：                   公章：                      </w:t>
      </w:r>
    </w:p>
    <w:p>
      <w:pPr>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日期：    </w:t>
      </w:r>
    </w:p>
    <w:p>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质疑函制作说明：</w:t>
      </w:r>
    </w:p>
    <w:p>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1.供应商提出质疑时，应提交质疑函及质疑函电子文档和必要的证明材料。</w:t>
      </w:r>
    </w:p>
    <w:p>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3.质疑供应商若对项目的某一分包进行质疑，质疑函中应列明具体分包号。</w:t>
      </w:r>
    </w:p>
    <w:p>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4.质疑函的质疑事项应具体、明确，并有必要的事实依据和法律依据。</w:t>
      </w:r>
    </w:p>
    <w:p>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5.质疑函的质疑请求应与质疑事项相关。</w:t>
      </w:r>
    </w:p>
    <w:p>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6.质疑供应商为自然人的，质疑函应由本人签字；质疑供应商为法人或者其他组织的，质疑函应由</w:t>
      </w:r>
      <w:r>
        <w:rPr>
          <w:rFonts w:hint="eastAsia" w:ascii="宋体" w:hAnsi="宋体" w:eastAsia="宋体" w:cs="宋体"/>
          <w:color w:val="000000" w:themeColor="text1"/>
          <w:highlight w:val="none"/>
          <w:lang w:eastAsia="zh-CN"/>
          <w14:textFill>
            <w14:solidFill>
              <w14:schemeClr w14:val="tx1"/>
            </w14:solidFill>
          </w14:textFill>
        </w:rPr>
        <w:t>法定代表人</w:t>
      </w:r>
      <w:r>
        <w:rPr>
          <w:rFonts w:hint="eastAsia" w:ascii="宋体" w:hAnsi="宋体" w:eastAsia="宋体" w:cs="宋体"/>
          <w:color w:val="000000" w:themeColor="text1"/>
          <w:highlight w:val="none"/>
          <w14:textFill>
            <w14:solidFill>
              <w14:schemeClr w14:val="tx1"/>
            </w14:solidFill>
          </w14:textFill>
        </w:rPr>
        <w:t>、主要负责人，或者其授权代表签字或者盖章，并加盖公章。</w:t>
      </w:r>
    </w:p>
    <w:p>
      <w:pPr>
        <w:widowControl/>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pPr>
        <w:jc w:val="center"/>
        <w:rPr>
          <w:rFonts w:hint="eastAsia" w:ascii="宋体" w:hAnsi="宋体" w:eastAsia="宋体" w:cs="宋体"/>
          <w:b/>
          <w:bCs/>
          <w:color w:val="000000" w:themeColor="text1"/>
          <w:sz w:val="28"/>
          <w:szCs w:val="44"/>
          <w:highlight w:val="none"/>
          <w14:textFill>
            <w14:solidFill>
              <w14:schemeClr w14:val="tx1"/>
            </w14:solidFill>
          </w14:textFill>
        </w:rPr>
      </w:pPr>
      <w:r>
        <w:rPr>
          <w:rFonts w:hint="eastAsia" w:ascii="宋体" w:hAnsi="宋体" w:eastAsia="宋体" w:cs="宋体"/>
          <w:b/>
          <w:bCs/>
          <w:color w:val="000000" w:themeColor="text1"/>
          <w:sz w:val="28"/>
          <w:szCs w:val="44"/>
          <w:highlight w:val="none"/>
          <w14:textFill>
            <w14:solidFill>
              <w14:schemeClr w14:val="tx1"/>
            </w14:solidFill>
          </w14:textFill>
        </w:rPr>
        <w:t>投诉书</w:t>
      </w:r>
    </w:p>
    <w:p>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一、投诉相关主体基本情况</w:t>
      </w:r>
    </w:p>
    <w:p>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投诉人：</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地     址：</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邮编：</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tabs>
          <w:tab w:val="left" w:pos="6510"/>
        </w:tabs>
        <w:jc w:val="left"/>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lang w:eastAsia="zh-CN"/>
          <w14:textFill>
            <w14:solidFill>
              <w14:schemeClr w14:val="tx1"/>
            </w14:solidFill>
          </w14:textFill>
        </w:rPr>
        <w:t>法定代表人</w:t>
      </w:r>
      <w:r>
        <w:rPr>
          <w:rFonts w:hint="eastAsia" w:ascii="宋体" w:hAnsi="宋体" w:eastAsia="宋体" w:cs="宋体"/>
          <w:color w:val="000000" w:themeColor="text1"/>
          <w:sz w:val="22"/>
          <w:highlight w:val="none"/>
          <w14:textFill>
            <w14:solidFill>
              <w14:schemeClr w14:val="tx1"/>
            </w14:solidFill>
          </w14:textFill>
        </w:rPr>
        <w:t>/主要负责人：</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tabs>
          <w:tab w:val="left" w:pos="6510"/>
        </w:tabs>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联系电话：</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授权代表：</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联系电话</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地     址：</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邮编：</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u w:val="single"/>
          <w14:textFill>
            <w14:solidFill>
              <w14:schemeClr w14:val="tx1"/>
            </w14:solidFill>
          </w14:textFill>
        </w:rPr>
        <w:t xml:space="preserve"> </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投诉补正通知书、投诉受理通知书、投诉不予受理通知书、投诉调查函的送达方式确认，按投诉供应商确认的送达方式进行上述文书送达视同送达。</w:t>
      </w:r>
    </w:p>
    <w:p>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确认电子邮件送达： </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或</w:t>
      </w:r>
    </w:p>
    <w:p>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确认传真送达： </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或</w:t>
      </w:r>
    </w:p>
    <w:p>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其他方式：</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14:textFill>
            <w14:solidFill>
              <w14:schemeClr w14:val="tx1"/>
            </w14:solidFill>
          </w14:textFill>
        </w:rPr>
      </w:pPr>
    </w:p>
    <w:p>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被投诉人1：</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地     址：</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邮编：</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联系人：</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联系电话：</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被投诉人2</w:t>
      </w:r>
    </w:p>
    <w:p>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w:t>
      </w:r>
    </w:p>
    <w:p>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相关供应商（或其他第三人）：</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地     址：</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邮编：</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联系人：</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联系电话：</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二、投诉项目基本情况</w:t>
      </w:r>
    </w:p>
    <w:p>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采购项目名称：</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采购项目编号：</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包号：</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采购人名称：</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代理机构名称：</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采购文件公告:</w:t>
      </w:r>
      <w:r>
        <w:rPr>
          <w:rFonts w:hint="eastAsia" w:ascii="宋体" w:hAnsi="宋体" w:eastAsia="宋体" w:cs="宋体"/>
          <w:color w:val="000000" w:themeColor="text1"/>
          <w:sz w:val="22"/>
          <w:highlight w:val="none"/>
          <w:u w:val="dotted"/>
          <w14:textFill>
            <w14:solidFill>
              <w14:schemeClr w14:val="tx1"/>
            </w14:solidFill>
          </w14:textFill>
        </w:rPr>
        <w:t xml:space="preserve">是/否 </w:t>
      </w:r>
      <w:r>
        <w:rPr>
          <w:rFonts w:hint="eastAsia" w:ascii="宋体" w:hAnsi="宋体" w:eastAsia="宋体" w:cs="宋体"/>
          <w:color w:val="000000" w:themeColor="text1"/>
          <w:sz w:val="22"/>
          <w:highlight w:val="none"/>
          <w14:textFill>
            <w14:solidFill>
              <w14:schemeClr w14:val="tx1"/>
            </w14:solidFill>
          </w14:textFill>
        </w:rPr>
        <w:t>公告期限：</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采购结果公告:</w:t>
      </w:r>
      <w:r>
        <w:rPr>
          <w:rFonts w:hint="eastAsia" w:ascii="宋体" w:hAnsi="宋体" w:eastAsia="宋体" w:cs="宋体"/>
          <w:color w:val="000000" w:themeColor="text1"/>
          <w:sz w:val="22"/>
          <w:highlight w:val="none"/>
          <w:u w:val="dotted"/>
          <w14:textFill>
            <w14:solidFill>
              <w14:schemeClr w14:val="tx1"/>
            </w14:solidFill>
          </w14:textFill>
        </w:rPr>
        <w:t xml:space="preserve">是/否 </w:t>
      </w:r>
      <w:r>
        <w:rPr>
          <w:rFonts w:hint="eastAsia" w:ascii="宋体" w:hAnsi="宋体" w:eastAsia="宋体" w:cs="宋体"/>
          <w:color w:val="000000" w:themeColor="text1"/>
          <w:sz w:val="22"/>
          <w:highlight w:val="none"/>
          <w14:textFill>
            <w14:solidFill>
              <w14:schemeClr w14:val="tx1"/>
            </w14:solidFill>
          </w14:textFill>
        </w:rPr>
        <w:t>公告期限：</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三、质疑基本情况</w:t>
      </w:r>
    </w:p>
    <w:p>
      <w:pPr>
        <w:ind w:firstLine="440" w:firstLineChars="200"/>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投诉人于</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年</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月</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日,向</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提出质疑，质疑事项为：</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 xml:space="preserve">  </w:t>
      </w:r>
    </w:p>
    <w:p>
      <w:pPr>
        <w:ind w:firstLine="330" w:firstLineChars="1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u w:val="dotted"/>
          <w14:textFill>
            <w14:solidFill>
              <w14:schemeClr w14:val="tx1"/>
            </w14:solidFill>
          </w14:textFill>
        </w:rPr>
        <w:t>采购人/代理机构</w:t>
      </w:r>
      <w:r>
        <w:rPr>
          <w:rFonts w:hint="eastAsia" w:ascii="宋体" w:hAnsi="宋体" w:eastAsia="宋体" w:cs="宋体"/>
          <w:color w:val="000000" w:themeColor="text1"/>
          <w:sz w:val="22"/>
          <w:highlight w:val="none"/>
          <w14:textFill>
            <w14:solidFill>
              <w14:schemeClr w14:val="tx1"/>
            </w14:solidFill>
          </w14:textFill>
        </w:rPr>
        <w:t>于</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年</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月</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日,就质疑事项作出了答复/没有在法定期限内作出答复。</w:t>
      </w:r>
    </w:p>
    <w:p>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四、投诉事项具体内容</w:t>
      </w:r>
    </w:p>
    <w:p>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投诉事项 1：</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事实依据：</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法律依据：</w:t>
      </w: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u w:val="dotted"/>
          <w14:textFill>
            <w14:solidFill>
              <w14:schemeClr w14:val="tx1"/>
            </w14:solidFill>
          </w14:textFill>
        </w:rPr>
        <w:t xml:space="preserve">                                                      </w:t>
      </w:r>
    </w:p>
    <w:p>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投诉事项2</w:t>
      </w:r>
    </w:p>
    <w:p>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w:t>
      </w:r>
    </w:p>
    <w:p>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五、与投诉事项相关的投诉请求</w:t>
      </w:r>
    </w:p>
    <w:p>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请求：</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 xml:space="preserve"> </w:t>
      </w:r>
    </w:p>
    <w:p>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                                                   </w:t>
      </w:r>
    </w:p>
    <w:p>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签字(签章)：                   公章：</w:t>
      </w:r>
    </w:p>
    <w:p>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日期：</w:t>
      </w:r>
    </w:p>
    <w:p>
      <w:pPr>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投诉书制作说明：</w:t>
      </w:r>
    </w:p>
    <w:p>
      <w:pPr>
        <w:widowControl/>
        <w:spacing w:line="360" w:lineRule="auto"/>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1.投诉人提起投诉时，应当提交投诉书及投诉书电子文档和必要的证明材料，并按照被投诉人和与投诉事项有关的供应商数量提供投诉书副本。</w:t>
      </w:r>
    </w:p>
    <w:p>
      <w:pPr>
        <w:widowControl/>
        <w:spacing w:line="360" w:lineRule="auto"/>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3.投诉人若对项目的某一分包进行投诉，投诉书应列明具体分包号。</w:t>
      </w:r>
    </w:p>
    <w:p>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4.投诉书应简要列明质疑事项，质疑函、质疑答复等作为附件材料提供。</w:t>
      </w:r>
    </w:p>
    <w:p>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5.投诉书的投诉事项应具体、明确，并有必要的事实依据和法律依据。</w:t>
      </w:r>
    </w:p>
    <w:p>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6.投诉书的投诉请求应与投诉事项相关。</w:t>
      </w:r>
    </w:p>
    <w:p>
      <w:pPr>
        <w:widowControl/>
        <w:spacing w:line="360" w:lineRule="auto"/>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7.投诉人为自然人的，投诉书应当由本人签字；投诉人为法人或者其他组织的，投诉书应当由</w:t>
      </w:r>
      <w:r>
        <w:rPr>
          <w:rFonts w:hint="eastAsia" w:ascii="宋体" w:hAnsi="宋体" w:eastAsia="宋体" w:cs="宋体"/>
          <w:color w:val="000000" w:themeColor="text1"/>
          <w:highlight w:val="none"/>
          <w:lang w:eastAsia="zh-CN"/>
          <w14:textFill>
            <w14:solidFill>
              <w14:schemeClr w14:val="tx1"/>
            </w14:solidFill>
          </w14:textFill>
        </w:rPr>
        <w:t>法定代表人</w:t>
      </w:r>
      <w:r>
        <w:rPr>
          <w:rFonts w:hint="eastAsia" w:ascii="宋体" w:hAnsi="宋体" w:eastAsia="宋体" w:cs="宋体"/>
          <w:color w:val="000000" w:themeColor="text1"/>
          <w:highlight w:val="none"/>
          <w14:textFill>
            <w14:solidFill>
              <w14:schemeClr w14:val="tx1"/>
            </w14:solidFill>
          </w14:textFill>
        </w:rPr>
        <w:t>、主要负责人，或者其授权代表签字或者盖章，并加盖公章。</w:t>
      </w:r>
    </w:p>
    <w:p>
      <w:pPr>
        <w:widowControl/>
        <w:jc w:val="left"/>
        <w:rPr>
          <w:rFonts w:hint="eastAsia" w:ascii="宋体" w:hAnsi="宋体" w:eastAsia="宋体" w:cs="宋体"/>
          <w:b/>
          <w:color w:val="000000" w:themeColor="text1"/>
          <w:szCs w:val="21"/>
          <w:highlight w:val="none"/>
          <w14:textFill>
            <w14:solidFill>
              <w14:schemeClr w14:val="tx1"/>
            </w14:solidFill>
          </w14:textFill>
        </w:rPr>
      </w:pPr>
    </w:p>
    <w:p>
      <w:pPr>
        <w:widowControl/>
        <w:jc w:val="left"/>
        <w:rPr>
          <w:rFonts w:hint="eastAsia" w:ascii="宋体" w:hAnsi="宋体" w:eastAsia="宋体" w:cs="宋体"/>
          <w:b/>
          <w:color w:val="000000" w:themeColor="text1"/>
          <w:szCs w:val="21"/>
          <w:highlight w:val="none"/>
          <w14:textFill>
            <w14:solidFill>
              <w14:schemeClr w14:val="tx1"/>
            </w14:solidFill>
          </w14:textFill>
        </w:rPr>
      </w:pPr>
    </w:p>
    <w:sectPr>
      <w:headerReference r:id="rId4" w:type="default"/>
      <w:footerReference r:id="rId5" w:type="default"/>
      <w:footerReference r:id="rId6" w:type="even"/>
      <w:pgSz w:w="11906" w:h="16838"/>
      <w:pgMar w:top="1276" w:right="1416" w:bottom="1276" w:left="1610"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華康辦公用具篇">
    <w:altName w:val="DejaVu Math TeX Gyre"/>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仿宋_GB2312">
    <w:altName w:val="仿宋"/>
    <w:panose1 w:val="020B0502040504020204"/>
    <w:charset w:val="86"/>
    <w:family w:val="modern"/>
    <w:pitch w:val="default"/>
    <w:sig w:usb0="00000000" w:usb1="00000000" w:usb2="08000029" w:usb3="00100000" w:csb0="0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60</w:t>
    </w:r>
    <w:r>
      <w:rPr>
        <w:rFonts w:ascii="宋体" w:hAnsi="宋体"/>
        <w:sz w:val="21"/>
        <w:szCs w:val="21"/>
      </w:rPr>
      <w:fldChar w:fldCharType="end"/>
    </w:r>
    <w:r>
      <w:rPr>
        <w:rFonts w:hint="eastAsia" w:ascii="宋体" w:hAnsi="宋体"/>
        <w:sz w:val="21"/>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9"/>
      </w:rPr>
    </w:pPr>
    <w:r>
      <w:fldChar w:fldCharType="begin"/>
    </w:r>
    <w:r>
      <w:rPr>
        <w:rStyle w:val="49"/>
      </w:rPr>
      <w:instrText xml:space="preserve">PAGE  </w:instrTex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AC50F"/>
    <w:multiLevelType w:val="singleLevel"/>
    <w:tmpl w:val="94FAC50F"/>
    <w:lvl w:ilvl="0" w:tentative="0">
      <w:start w:val="17"/>
      <w:numFmt w:val="decimal"/>
      <w:suff w:val="space"/>
      <w:lvlText w:val="%1."/>
      <w:lvlJc w:val="left"/>
    </w:lvl>
  </w:abstractNum>
  <w:abstractNum w:abstractNumId="1">
    <w:nsid w:val="00000005"/>
    <w:multiLevelType w:val="multilevel"/>
    <w:tmpl w:val="00000005"/>
    <w:lvl w:ilvl="0" w:tentative="0">
      <w:start w:val="1"/>
      <w:numFmt w:val="decimal"/>
      <w:pStyle w:val="14"/>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0NzliNWVmMWIwMTUwZjYyYWE5YmIxOGNiYzkxZmIifQ=="/>
  </w:docVars>
  <w:rsids>
    <w:rsidRoot w:val="003E2D88"/>
    <w:rsid w:val="00001E12"/>
    <w:rsid w:val="000028D3"/>
    <w:rsid w:val="00002C85"/>
    <w:rsid w:val="00002CF3"/>
    <w:rsid w:val="0000314B"/>
    <w:rsid w:val="000035E7"/>
    <w:rsid w:val="00003AE7"/>
    <w:rsid w:val="00003F2D"/>
    <w:rsid w:val="00004246"/>
    <w:rsid w:val="00004BCB"/>
    <w:rsid w:val="000051FF"/>
    <w:rsid w:val="00005340"/>
    <w:rsid w:val="00005429"/>
    <w:rsid w:val="00005489"/>
    <w:rsid w:val="00005C9B"/>
    <w:rsid w:val="00005F49"/>
    <w:rsid w:val="00006B5B"/>
    <w:rsid w:val="00007484"/>
    <w:rsid w:val="000074DB"/>
    <w:rsid w:val="00007797"/>
    <w:rsid w:val="0001041F"/>
    <w:rsid w:val="00010A88"/>
    <w:rsid w:val="00010B0E"/>
    <w:rsid w:val="00010C12"/>
    <w:rsid w:val="0001103F"/>
    <w:rsid w:val="0001119B"/>
    <w:rsid w:val="00011224"/>
    <w:rsid w:val="000112D9"/>
    <w:rsid w:val="00011455"/>
    <w:rsid w:val="0001181A"/>
    <w:rsid w:val="0001189F"/>
    <w:rsid w:val="00011B55"/>
    <w:rsid w:val="00011C6A"/>
    <w:rsid w:val="00012AAB"/>
    <w:rsid w:val="00012BD8"/>
    <w:rsid w:val="00012E59"/>
    <w:rsid w:val="00013295"/>
    <w:rsid w:val="00013641"/>
    <w:rsid w:val="0001460A"/>
    <w:rsid w:val="00014A2C"/>
    <w:rsid w:val="000151CA"/>
    <w:rsid w:val="0001565C"/>
    <w:rsid w:val="00016384"/>
    <w:rsid w:val="00016639"/>
    <w:rsid w:val="00016976"/>
    <w:rsid w:val="00016D6A"/>
    <w:rsid w:val="000171CD"/>
    <w:rsid w:val="00017683"/>
    <w:rsid w:val="0001783E"/>
    <w:rsid w:val="00017919"/>
    <w:rsid w:val="00020083"/>
    <w:rsid w:val="00020FCE"/>
    <w:rsid w:val="000210F3"/>
    <w:rsid w:val="0002157E"/>
    <w:rsid w:val="00021EAE"/>
    <w:rsid w:val="0002223C"/>
    <w:rsid w:val="00022352"/>
    <w:rsid w:val="00022B6E"/>
    <w:rsid w:val="00022E37"/>
    <w:rsid w:val="000230F0"/>
    <w:rsid w:val="0002321E"/>
    <w:rsid w:val="0002338A"/>
    <w:rsid w:val="00023BCF"/>
    <w:rsid w:val="00024A3E"/>
    <w:rsid w:val="00024D3F"/>
    <w:rsid w:val="00024FC5"/>
    <w:rsid w:val="0002554D"/>
    <w:rsid w:val="0002586E"/>
    <w:rsid w:val="000259E5"/>
    <w:rsid w:val="00025AE3"/>
    <w:rsid w:val="00025C33"/>
    <w:rsid w:val="0002647F"/>
    <w:rsid w:val="0002731E"/>
    <w:rsid w:val="00030DF0"/>
    <w:rsid w:val="00030F74"/>
    <w:rsid w:val="00031119"/>
    <w:rsid w:val="000314AF"/>
    <w:rsid w:val="0003193F"/>
    <w:rsid w:val="00031D24"/>
    <w:rsid w:val="00031F79"/>
    <w:rsid w:val="00032794"/>
    <w:rsid w:val="00032C55"/>
    <w:rsid w:val="00033239"/>
    <w:rsid w:val="000332D6"/>
    <w:rsid w:val="0003331E"/>
    <w:rsid w:val="000338F1"/>
    <w:rsid w:val="00033928"/>
    <w:rsid w:val="00033B63"/>
    <w:rsid w:val="000347D7"/>
    <w:rsid w:val="00034928"/>
    <w:rsid w:val="00034A7D"/>
    <w:rsid w:val="00034C46"/>
    <w:rsid w:val="00034DFC"/>
    <w:rsid w:val="00035113"/>
    <w:rsid w:val="00035988"/>
    <w:rsid w:val="000361E5"/>
    <w:rsid w:val="0003620C"/>
    <w:rsid w:val="00036408"/>
    <w:rsid w:val="0003644D"/>
    <w:rsid w:val="00036FA2"/>
    <w:rsid w:val="00037320"/>
    <w:rsid w:val="0003759C"/>
    <w:rsid w:val="00037A9B"/>
    <w:rsid w:val="00040AD2"/>
    <w:rsid w:val="00040D82"/>
    <w:rsid w:val="000414F8"/>
    <w:rsid w:val="00041947"/>
    <w:rsid w:val="00041A23"/>
    <w:rsid w:val="00041A73"/>
    <w:rsid w:val="000421B1"/>
    <w:rsid w:val="00042484"/>
    <w:rsid w:val="00042CAD"/>
    <w:rsid w:val="00042DCA"/>
    <w:rsid w:val="000433D2"/>
    <w:rsid w:val="000434EF"/>
    <w:rsid w:val="00043809"/>
    <w:rsid w:val="00043CE0"/>
    <w:rsid w:val="00043D09"/>
    <w:rsid w:val="00043EF1"/>
    <w:rsid w:val="00044681"/>
    <w:rsid w:val="00044921"/>
    <w:rsid w:val="00044D68"/>
    <w:rsid w:val="00044EBC"/>
    <w:rsid w:val="00044F0D"/>
    <w:rsid w:val="000451BE"/>
    <w:rsid w:val="000453DF"/>
    <w:rsid w:val="00046075"/>
    <w:rsid w:val="00046248"/>
    <w:rsid w:val="00046980"/>
    <w:rsid w:val="00046BC4"/>
    <w:rsid w:val="0004704A"/>
    <w:rsid w:val="000471DA"/>
    <w:rsid w:val="0004754A"/>
    <w:rsid w:val="00047B97"/>
    <w:rsid w:val="0005006C"/>
    <w:rsid w:val="0005022D"/>
    <w:rsid w:val="00050614"/>
    <w:rsid w:val="000506F5"/>
    <w:rsid w:val="00050C2B"/>
    <w:rsid w:val="00050D8B"/>
    <w:rsid w:val="00051340"/>
    <w:rsid w:val="000513E5"/>
    <w:rsid w:val="000516C3"/>
    <w:rsid w:val="000518CA"/>
    <w:rsid w:val="000519D3"/>
    <w:rsid w:val="00051C25"/>
    <w:rsid w:val="00052095"/>
    <w:rsid w:val="000525AF"/>
    <w:rsid w:val="000527EE"/>
    <w:rsid w:val="00053574"/>
    <w:rsid w:val="000535FD"/>
    <w:rsid w:val="00053642"/>
    <w:rsid w:val="000537CA"/>
    <w:rsid w:val="00053A47"/>
    <w:rsid w:val="00053B0C"/>
    <w:rsid w:val="00053E13"/>
    <w:rsid w:val="0005427E"/>
    <w:rsid w:val="00054668"/>
    <w:rsid w:val="000547DE"/>
    <w:rsid w:val="00054A34"/>
    <w:rsid w:val="00054C2F"/>
    <w:rsid w:val="00054EEA"/>
    <w:rsid w:val="000557B3"/>
    <w:rsid w:val="00055BE8"/>
    <w:rsid w:val="00055CA3"/>
    <w:rsid w:val="0005609E"/>
    <w:rsid w:val="00056188"/>
    <w:rsid w:val="0005650F"/>
    <w:rsid w:val="000569B8"/>
    <w:rsid w:val="00056C8B"/>
    <w:rsid w:val="000572B7"/>
    <w:rsid w:val="0005776A"/>
    <w:rsid w:val="000602AB"/>
    <w:rsid w:val="000605E0"/>
    <w:rsid w:val="00060BAA"/>
    <w:rsid w:val="0006115E"/>
    <w:rsid w:val="000615AE"/>
    <w:rsid w:val="00061A78"/>
    <w:rsid w:val="00061BF2"/>
    <w:rsid w:val="000629A5"/>
    <w:rsid w:val="000639F1"/>
    <w:rsid w:val="00063F40"/>
    <w:rsid w:val="00064380"/>
    <w:rsid w:val="000646CB"/>
    <w:rsid w:val="000656CA"/>
    <w:rsid w:val="000659BE"/>
    <w:rsid w:val="00065AC3"/>
    <w:rsid w:val="00065D43"/>
    <w:rsid w:val="00066348"/>
    <w:rsid w:val="000668F7"/>
    <w:rsid w:val="00066994"/>
    <w:rsid w:val="00066996"/>
    <w:rsid w:val="00066ADE"/>
    <w:rsid w:val="00066BB5"/>
    <w:rsid w:val="00066D44"/>
    <w:rsid w:val="00066E37"/>
    <w:rsid w:val="00067627"/>
    <w:rsid w:val="00067A5C"/>
    <w:rsid w:val="00070030"/>
    <w:rsid w:val="00070199"/>
    <w:rsid w:val="0007046A"/>
    <w:rsid w:val="0007082C"/>
    <w:rsid w:val="00070AA2"/>
    <w:rsid w:val="00070B7E"/>
    <w:rsid w:val="00070D34"/>
    <w:rsid w:val="000711DD"/>
    <w:rsid w:val="00071B75"/>
    <w:rsid w:val="000721AA"/>
    <w:rsid w:val="000726DD"/>
    <w:rsid w:val="00072B85"/>
    <w:rsid w:val="00072F07"/>
    <w:rsid w:val="00073077"/>
    <w:rsid w:val="00073131"/>
    <w:rsid w:val="00073318"/>
    <w:rsid w:val="0007412D"/>
    <w:rsid w:val="00074207"/>
    <w:rsid w:val="00074A24"/>
    <w:rsid w:val="000750F1"/>
    <w:rsid w:val="000752F4"/>
    <w:rsid w:val="00075747"/>
    <w:rsid w:val="00076320"/>
    <w:rsid w:val="0007652A"/>
    <w:rsid w:val="000767AF"/>
    <w:rsid w:val="00077006"/>
    <w:rsid w:val="000770EE"/>
    <w:rsid w:val="00077157"/>
    <w:rsid w:val="000772D0"/>
    <w:rsid w:val="00077678"/>
    <w:rsid w:val="000777F4"/>
    <w:rsid w:val="00077C51"/>
    <w:rsid w:val="0008036E"/>
    <w:rsid w:val="00080A5F"/>
    <w:rsid w:val="00080EE8"/>
    <w:rsid w:val="00081F9E"/>
    <w:rsid w:val="0008213B"/>
    <w:rsid w:val="00082170"/>
    <w:rsid w:val="0008224A"/>
    <w:rsid w:val="000822C5"/>
    <w:rsid w:val="0008254B"/>
    <w:rsid w:val="00082595"/>
    <w:rsid w:val="000827DF"/>
    <w:rsid w:val="00082B8F"/>
    <w:rsid w:val="00082FC2"/>
    <w:rsid w:val="000839F7"/>
    <w:rsid w:val="00083A44"/>
    <w:rsid w:val="0008560F"/>
    <w:rsid w:val="00085BE6"/>
    <w:rsid w:val="0008684B"/>
    <w:rsid w:val="0008736F"/>
    <w:rsid w:val="00087E52"/>
    <w:rsid w:val="00090224"/>
    <w:rsid w:val="000905A4"/>
    <w:rsid w:val="00090870"/>
    <w:rsid w:val="00090A04"/>
    <w:rsid w:val="00090BCD"/>
    <w:rsid w:val="00090C82"/>
    <w:rsid w:val="00090C91"/>
    <w:rsid w:val="000917BA"/>
    <w:rsid w:val="00091A7D"/>
    <w:rsid w:val="00091AF7"/>
    <w:rsid w:val="00091C10"/>
    <w:rsid w:val="00091D00"/>
    <w:rsid w:val="000928C4"/>
    <w:rsid w:val="000933B8"/>
    <w:rsid w:val="0009369B"/>
    <w:rsid w:val="00093C61"/>
    <w:rsid w:val="00093C95"/>
    <w:rsid w:val="00093DD1"/>
    <w:rsid w:val="00094A2D"/>
    <w:rsid w:val="00094DA8"/>
    <w:rsid w:val="00095C60"/>
    <w:rsid w:val="00096667"/>
    <w:rsid w:val="00096755"/>
    <w:rsid w:val="00096B00"/>
    <w:rsid w:val="00097827"/>
    <w:rsid w:val="00097979"/>
    <w:rsid w:val="00097B28"/>
    <w:rsid w:val="00097B9A"/>
    <w:rsid w:val="00097E71"/>
    <w:rsid w:val="00097F09"/>
    <w:rsid w:val="000A12BF"/>
    <w:rsid w:val="000A183B"/>
    <w:rsid w:val="000A1899"/>
    <w:rsid w:val="000A2114"/>
    <w:rsid w:val="000A260F"/>
    <w:rsid w:val="000A2717"/>
    <w:rsid w:val="000A2EC7"/>
    <w:rsid w:val="000A2FA0"/>
    <w:rsid w:val="000A3722"/>
    <w:rsid w:val="000A3756"/>
    <w:rsid w:val="000A3B7D"/>
    <w:rsid w:val="000A3D8C"/>
    <w:rsid w:val="000A453B"/>
    <w:rsid w:val="000A5120"/>
    <w:rsid w:val="000A53BD"/>
    <w:rsid w:val="000A56D1"/>
    <w:rsid w:val="000A59DD"/>
    <w:rsid w:val="000A7129"/>
    <w:rsid w:val="000A7CDA"/>
    <w:rsid w:val="000A7F33"/>
    <w:rsid w:val="000B09B7"/>
    <w:rsid w:val="000B0D4A"/>
    <w:rsid w:val="000B17C7"/>
    <w:rsid w:val="000B1983"/>
    <w:rsid w:val="000B1AA3"/>
    <w:rsid w:val="000B2161"/>
    <w:rsid w:val="000B29B9"/>
    <w:rsid w:val="000B2EFC"/>
    <w:rsid w:val="000B3666"/>
    <w:rsid w:val="000B36A1"/>
    <w:rsid w:val="000B3948"/>
    <w:rsid w:val="000B3B45"/>
    <w:rsid w:val="000B3FA8"/>
    <w:rsid w:val="000B405E"/>
    <w:rsid w:val="000B4314"/>
    <w:rsid w:val="000B4BA7"/>
    <w:rsid w:val="000B5760"/>
    <w:rsid w:val="000B5808"/>
    <w:rsid w:val="000B5B1A"/>
    <w:rsid w:val="000B5BA9"/>
    <w:rsid w:val="000B61A5"/>
    <w:rsid w:val="000B621D"/>
    <w:rsid w:val="000B6604"/>
    <w:rsid w:val="000B72E4"/>
    <w:rsid w:val="000B769A"/>
    <w:rsid w:val="000B7FD7"/>
    <w:rsid w:val="000C01AE"/>
    <w:rsid w:val="000C0450"/>
    <w:rsid w:val="000C0A82"/>
    <w:rsid w:val="000C0D5E"/>
    <w:rsid w:val="000C122F"/>
    <w:rsid w:val="000C1844"/>
    <w:rsid w:val="000C1921"/>
    <w:rsid w:val="000C19CD"/>
    <w:rsid w:val="000C1B52"/>
    <w:rsid w:val="000C3734"/>
    <w:rsid w:val="000C3826"/>
    <w:rsid w:val="000C3D43"/>
    <w:rsid w:val="000C4318"/>
    <w:rsid w:val="000C4CED"/>
    <w:rsid w:val="000C5050"/>
    <w:rsid w:val="000C54E3"/>
    <w:rsid w:val="000C5529"/>
    <w:rsid w:val="000C59EF"/>
    <w:rsid w:val="000C5A15"/>
    <w:rsid w:val="000C6036"/>
    <w:rsid w:val="000C645A"/>
    <w:rsid w:val="000C6491"/>
    <w:rsid w:val="000C678D"/>
    <w:rsid w:val="000C681D"/>
    <w:rsid w:val="000C6D38"/>
    <w:rsid w:val="000C6E1B"/>
    <w:rsid w:val="000C7221"/>
    <w:rsid w:val="000C74C3"/>
    <w:rsid w:val="000C77AB"/>
    <w:rsid w:val="000C7F5B"/>
    <w:rsid w:val="000D0299"/>
    <w:rsid w:val="000D04AD"/>
    <w:rsid w:val="000D0BEC"/>
    <w:rsid w:val="000D0D65"/>
    <w:rsid w:val="000D1832"/>
    <w:rsid w:val="000D230B"/>
    <w:rsid w:val="000D24E4"/>
    <w:rsid w:val="000D2927"/>
    <w:rsid w:val="000D3656"/>
    <w:rsid w:val="000D365F"/>
    <w:rsid w:val="000D3745"/>
    <w:rsid w:val="000D392A"/>
    <w:rsid w:val="000D39B4"/>
    <w:rsid w:val="000D3FC2"/>
    <w:rsid w:val="000D44D0"/>
    <w:rsid w:val="000D4633"/>
    <w:rsid w:val="000D495A"/>
    <w:rsid w:val="000D4974"/>
    <w:rsid w:val="000D4AA0"/>
    <w:rsid w:val="000D4B5F"/>
    <w:rsid w:val="000D53F3"/>
    <w:rsid w:val="000D5429"/>
    <w:rsid w:val="000D5F21"/>
    <w:rsid w:val="000D60DD"/>
    <w:rsid w:val="000D68E1"/>
    <w:rsid w:val="000D6C5A"/>
    <w:rsid w:val="000D6F04"/>
    <w:rsid w:val="000D7745"/>
    <w:rsid w:val="000D7821"/>
    <w:rsid w:val="000D7BBF"/>
    <w:rsid w:val="000D7FFC"/>
    <w:rsid w:val="000E09AF"/>
    <w:rsid w:val="000E148F"/>
    <w:rsid w:val="000E2CEF"/>
    <w:rsid w:val="000E2D2D"/>
    <w:rsid w:val="000E2F3F"/>
    <w:rsid w:val="000E30E9"/>
    <w:rsid w:val="000E3175"/>
    <w:rsid w:val="000E3612"/>
    <w:rsid w:val="000E3701"/>
    <w:rsid w:val="000E3D8F"/>
    <w:rsid w:val="000E3D9A"/>
    <w:rsid w:val="000E4DEF"/>
    <w:rsid w:val="000E51B5"/>
    <w:rsid w:val="000E52CA"/>
    <w:rsid w:val="000E5B4F"/>
    <w:rsid w:val="000E5C77"/>
    <w:rsid w:val="000E5F40"/>
    <w:rsid w:val="000E619E"/>
    <w:rsid w:val="000E72CB"/>
    <w:rsid w:val="000E7351"/>
    <w:rsid w:val="000E7433"/>
    <w:rsid w:val="000E764A"/>
    <w:rsid w:val="000E77C4"/>
    <w:rsid w:val="000E7E17"/>
    <w:rsid w:val="000F056B"/>
    <w:rsid w:val="000F08BF"/>
    <w:rsid w:val="000F0C8A"/>
    <w:rsid w:val="000F11DC"/>
    <w:rsid w:val="000F1527"/>
    <w:rsid w:val="000F1796"/>
    <w:rsid w:val="000F196D"/>
    <w:rsid w:val="000F1A7E"/>
    <w:rsid w:val="000F1B15"/>
    <w:rsid w:val="000F2781"/>
    <w:rsid w:val="000F287C"/>
    <w:rsid w:val="000F289B"/>
    <w:rsid w:val="000F2E14"/>
    <w:rsid w:val="000F39E0"/>
    <w:rsid w:val="000F3D24"/>
    <w:rsid w:val="000F4C9E"/>
    <w:rsid w:val="000F4D9B"/>
    <w:rsid w:val="000F52B9"/>
    <w:rsid w:val="000F5592"/>
    <w:rsid w:val="000F563A"/>
    <w:rsid w:val="000F5717"/>
    <w:rsid w:val="000F5B7F"/>
    <w:rsid w:val="000F616E"/>
    <w:rsid w:val="000F6555"/>
    <w:rsid w:val="000F6E0C"/>
    <w:rsid w:val="000F70C3"/>
    <w:rsid w:val="000F765B"/>
    <w:rsid w:val="0010001D"/>
    <w:rsid w:val="00100665"/>
    <w:rsid w:val="001009B9"/>
    <w:rsid w:val="00100F95"/>
    <w:rsid w:val="0010115A"/>
    <w:rsid w:val="0010258C"/>
    <w:rsid w:val="00102701"/>
    <w:rsid w:val="001035DF"/>
    <w:rsid w:val="00103A7C"/>
    <w:rsid w:val="00103E5C"/>
    <w:rsid w:val="0010500C"/>
    <w:rsid w:val="00105052"/>
    <w:rsid w:val="00105764"/>
    <w:rsid w:val="00105B77"/>
    <w:rsid w:val="00105CE0"/>
    <w:rsid w:val="001066B9"/>
    <w:rsid w:val="001067DC"/>
    <w:rsid w:val="00106AF8"/>
    <w:rsid w:val="00106E17"/>
    <w:rsid w:val="00107459"/>
    <w:rsid w:val="001076BC"/>
    <w:rsid w:val="00107790"/>
    <w:rsid w:val="001078B1"/>
    <w:rsid w:val="00107B7A"/>
    <w:rsid w:val="00110D3A"/>
    <w:rsid w:val="00110F1E"/>
    <w:rsid w:val="00111A94"/>
    <w:rsid w:val="00111BBA"/>
    <w:rsid w:val="00111BE0"/>
    <w:rsid w:val="00111E08"/>
    <w:rsid w:val="00112115"/>
    <w:rsid w:val="001123E9"/>
    <w:rsid w:val="001124E2"/>
    <w:rsid w:val="00112DE4"/>
    <w:rsid w:val="0011349A"/>
    <w:rsid w:val="00114A1B"/>
    <w:rsid w:val="0011530A"/>
    <w:rsid w:val="00115456"/>
    <w:rsid w:val="0011580F"/>
    <w:rsid w:val="00115846"/>
    <w:rsid w:val="00115F74"/>
    <w:rsid w:val="00116493"/>
    <w:rsid w:val="0011669D"/>
    <w:rsid w:val="001166BE"/>
    <w:rsid w:val="00116700"/>
    <w:rsid w:val="00116F31"/>
    <w:rsid w:val="0011700D"/>
    <w:rsid w:val="00117330"/>
    <w:rsid w:val="001177BB"/>
    <w:rsid w:val="0011798B"/>
    <w:rsid w:val="00117D03"/>
    <w:rsid w:val="0012026E"/>
    <w:rsid w:val="00120B1F"/>
    <w:rsid w:val="0012161C"/>
    <w:rsid w:val="001216A5"/>
    <w:rsid w:val="00121DCA"/>
    <w:rsid w:val="00121E8A"/>
    <w:rsid w:val="001225EB"/>
    <w:rsid w:val="001229A9"/>
    <w:rsid w:val="001229F2"/>
    <w:rsid w:val="00122ABD"/>
    <w:rsid w:val="001233FF"/>
    <w:rsid w:val="00123894"/>
    <w:rsid w:val="00123A43"/>
    <w:rsid w:val="0012454C"/>
    <w:rsid w:val="0012521E"/>
    <w:rsid w:val="00125D98"/>
    <w:rsid w:val="00125FD5"/>
    <w:rsid w:val="00126549"/>
    <w:rsid w:val="0012725B"/>
    <w:rsid w:val="001273F3"/>
    <w:rsid w:val="00127B1F"/>
    <w:rsid w:val="00127D62"/>
    <w:rsid w:val="00127E2C"/>
    <w:rsid w:val="0013013E"/>
    <w:rsid w:val="00130655"/>
    <w:rsid w:val="00130779"/>
    <w:rsid w:val="00130BC0"/>
    <w:rsid w:val="00131096"/>
    <w:rsid w:val="001311D7"/>
    <w:rsid w:val="0013137F"/>
    <w:rsid w:val="00131D99"/>
    <w:rsid w:val="00133FC7"/>
    <w:rsid w:val="001341E6"/>
    <w:rsid w:val="00134DA5"/>
    <w:rsid w:val="00134DF0"/>
    <w:rsid w:val="00135073"/>
    <w:rsid w:val="00135287"/>
    <w:rsid w:val="0013587D"/>
    <w:rsid w:val="00135E23"/>
    <w:rsid w:val="0013630C"/>
    <w:rsid w:val="00136423"/>
    <w:rsid w:val="0013692D"/>
    <w:rsid w:val="00136D06"/>
    <w:rsid w:val="00137562"/>
    <w:rsid w:val="001376D1"/>
    <w:rsid w:val="00137ADE"/>
    <w:rsid w:val="00137EDD"/>
    <w:rsid w:val="00140197"/>
    <w:rsid w:val="00140414"/>
    <w:rsid w:val="00140458"/>
    <w:rsid w:val="001404E9"/>
    <w:rsid w:val="00140814"/>
    <w:rsid w:val="001408BC"/>
    <w:rsid w:val="001417EA"/>
    <w:rsid w:val="00141B5C"/>
    <w:rsid w:val="001427D6"/>
    <w:rsid w:val="0014297F"/>
    <w:rsid w:val="00143365"/>
    <w:rsid w:val="0014357F"/>
    <w:rsid w:val="00143FCF"/>
    <w:rsid w:val="0014431A"/>
    <w:rsid w:val="001446B5"/>
    <w:rsid w:val="0014477E"/>
    <w:rsid w:val="00144E6D"/>
    <w:rsid w:val="00144EB1"/>
    <w:rsid w:val="00144EBC"/>
    <w:rsid w:val="00145878"/>
    <w:rsid w:val="00145E00"/>
    <w:rsid w:val="001467A3"/>
    <w:rsid w:val="00146925"/>
    <w:rsid w:val="001469A5"/>
    <w:rsid w:val="001476FE"/>
    <w:rsid w:val="00147A02"/>
    <w:rsid w:val="00147B0A"/>
    <w:rsid w:val="00147EB5"/>
    <w:rsid w:val="0015061C"/>
    <w:rsid w:val="00150FEB"/>
    <w:rsid w:val="00151C0E"/>
    <w:rsid w:val="00151CCB"/>
    <w:rsid w:val="00152608"/>
    <w:rsid w:val="001528B0"/>
    <w:rsid w:val="00152A7F"/>
    <w:rsid w:val="001534DD"/>
    <w:rsid w:val="0015397D"/>
    <w:rsid w:val="00153B15"/>
    <w:rsid w:val="00153BE7"/>
    <w:rsid w:val="00153EAA"/>
    <w:rsid w:val="00153FD2"/>
    <w:rsid w:val="0015408D"/>
    <w:rsid w:val="00154641"/>
    <w:rsid w:val="001547C3"/>
    <w:rsid w:val="00154DB4"/>
    <w:rsid w:val="00154E53"/>
    <w:rsid w:val="001557D6"/>
    <w:rsid w:val="001557DB"/>
    <w:rsid w:val="00155A88"/>
    <w:rsid w:val="00155D3D"/>
    <w:rsid w:val="00156054"/>
    <w:rsid w:val="001568C5"/>
    <w:rsid w:val="0015693D"/>
    <w:rsid w:val="00156C6E"/>
    <w:rsid w:val="00156D02"/>
    <w:rsid w:val="0015769A"/>
    <w:rsid w:val="00157973"/>
    <w:rsid w:val="001606AA"/>
    <w:rsid w:val="0016097F"/>
    <w:rsid w:val="00160A0D"/>
    <w:rsid w:val="00160D8C"/>
    <w:rsid w:val="00161721"/>
    <w:rsid w:val="0016179A"/>
    <w:rsid w:val="001617B4"/>
    <w:rsid w:val="00161A4F"/>
    <w:rsid w:val="00161C49"/>
    <w:rsid w:val="00162871"/>
    <w:rsid w:val="00163116"/>
    <w:rsid w:val="00163CC7"/>
    <w:rsid w:val="00164040"/>
    <w:rsid w:val="0016421D"/>
    <w:rsid w:val="00164318"/>
    <w:rsid w:val="001643B2"/>
    <w:rsid w:val="001647D2"/>
    <w:rsid w:val="001652AB"/>
    <w:rsid w:val="00165980"/>
    <w:rsid w:val="00165FC8"/>
    <w:rsid w:val="0016603F"/>
    <w:rsid w:val="0016618E"/>
    <w:rsid w:val="0016640A"/>
    <w:rsid w:val="0016689C"/>
    <w:rsid w:val="00167223"/>
    <w:rsid w:val="0016761C"/>
    <w:rsid w:val="001703EC"/>
    <w:rsid w:val="00170558"/>
    <w:rsid w:val="0017055E"/>
    <w:rsid w:val="001707EE"/>
    <w:rsid w:val="00170D39"/>
    <w:rsid w:val="00170FE9"/>
    <w:rsid w:val="001712EA"/>
    <w:rsid w:val="00171DB9"/>
    <w:rsid w:val="001722EC"/>
    <w:rsid w:val="0017256B"/>
    <w:rsid w:val="00172763"/>
    <w:rsid w:val="00172C1D"/>
    <w:rsid w:val="00172D34"/>
    <w:rsid w:val="00172D45"/>
    <w:rsid w:val="00173244"/>
    <w:rsid w:val="001735A8"/>
    <w:rsid w:val="001736A3"/>
    <w:rsid w:val="0017376A"/>
    <w:rsid w:val="00173834"/>
    <w:rsid w:val="001743B0"/>
    <w:rsid w:val="00174B4A"/>
    <w:rsid w:val="00174C50"/>
    <w:rsid w:val="001752DC"/>
    <w:rsid w:val="0017559F"/>
    <w:rsid w:val="00175752"/>
    <w:rsid w:val="00175881"/>
    <w:rsid w:val="00175CE0"/>
    <w:rsid w:val="001765AB"/>
    <w:rsid w:val="00176BD8"/>
    <w:rsid w:val="00177950"/>
    <w:rsid w:val="00177AB3"/>
    <w:rsid w:val="00177C0A"/>
    <w:rsid w:val="00180189"/>
    <w:rsid w:val="00180267"/>
    <w:rsid w:val="00180881"/>
    <w:rsid w:val="00180AE4"/>
    <w:rsid w:val="00180C55"/>
    <w:rsid w:val="00180D3A"/>
    <w:rsid w:val="00180F3E"/>
    <w:rsid w:val="00181063"/>
    <w:rsid w:val="00181412"/>
    <w:rsid w:val="00181D43"/>
    <w:rsid w:val="00182082"/>
    <w:rsid w:val="001820DB"/>
    <w:rsid w:val="00182482"/>
    <w:rsid w:val="0018248A"/>
    <w:rsid w:val="001825C0"/>
    <w:rsid w:val="00182977"/>
    <w:rsid w:val="00183151"/>
    <w:rsid w:val="00183E80"/>
    <w:rsid w:val="001842CF"/>
    <w:rsid w:val="00184771"/>
    <w:rsid w:val="001848EC"/>
    <w:rsid w:val="00184CD7"/>
    <w:rsid w:val="00184D88"/>
    <w:rsid w:val="0018538F"/>
    <w:rsid w:val="00185788"/>
    <w:rsid w:val="001858A1"/>
    <w:rsid w:val="00185CD4"/>
    <w:rsid w:val="00185D23"/>
    <w:rsid w:val="001862DF"/>
    <w:rsid w:val="00186DEE"/>
    <w:rsid w:val="00186E43"/>
    <w:rsid w:val="001873C0"/>
    <w:rsid w:val="0018755D"/>
    <w:rsid w:val="00187F7E"/>
    <w:rsid w:val="001904BF"/>
    <w:rsid w:val="001905E3"/>
    <w:rsid w:val="00191CF6"/>
    <w:rsid w:val="00191D68"/>
    <w:rsid w:val="00191E38"/>
    <w:rsid w:val="00192313"/>
    <w:rsid w:val="00192350"/>
    <w:rsid w:val="001925BD"/>
    <w:rsid w:val="001929D4"/>
    <w:rsid w:val="00192AB1"/>
    <w:rsid w:val="00192CEF"/>
    <w:rsid w:val="00192D74"/>
    <w:rsid w:val="0019357A"/>
    <w:rsid w:val="001938BB"/>
    <w:rsid w:val="0019413A"/>
    <w:rsid w:val="00194142"/>
    <w:rsid w:val="00195371"/>
    <w:rsid w:val="00195B64"/>
    <w:rsid w:val="00195C6E"/>
    <w:rsid w:val="00195E4C"/>
    <w:rsid w:val="0019676D"/>
    <w:rsid w:val="00196C0F"/>
    <w:rsid w:val="00196CB2"/>
    <w:rsid w:val="00196D9B"/>
    <w:rsid w:val="0019759D"/>
    <w:rsid w:val="001A0732"/>
    <w:rsid w:val="001A0B33"/>
    <w:rsid w:val="001A127C"/>
    <w:rsid w:val="001A14BB"/>
    <w:rsid w:val="001A1F33"/>
    <w:rsid w:val="001A2924"/>
    <w:rsid w:val="001A2CFA"/>
    <w:rsid w:val="001A2EAE"/>
    <w:rsid w:val="001A2F99"/>
    <w:rsid w:val="001A2FCE"/>
    <w:rsid w:val="001A31AD"/>
    <w:rsid w:val="001A32F7"/>
    <w:rsid w:val="001A3512"/>
    <w:rsid w:val="001A3874"/>
    <w:rsid w:val="001A3E4C"/>
    <w:rsid w:val="001A409C"/>
    <w:rsid w:val="001A421E"/>
    <w:rsid w:val="001A4233"/>
    <w:rsid w:val="001A423D"/>
    <w:rsid w:val="001A434C"/>
    <w:rsid w:val="001A43E5"/>
    <w:rsid w:val="001A4734"/>
    <w:rsid w:val="001A4B0F"/>
    <w:rsid w:val="001A5693"/>
    <w:rsid w:val="001A59A9"/>
    <w:rsid w:val="001A5A5D"/>
    <w:rsid w:val="001A5E2F"/>
    <w:rsid w:val="001A5E33"/>
    <w:rsid w:val="001A5E7F"/>
    <w:rsid w:val="001A68CD"/>
    <w:rsid w:val="001A6BD5"/>
    <w:rsid w:val="001A71CD"/>
    <w:rsid w:val="001A7450"/>
    <w:rsid w:val="001A7620"/>
    <w:rsid w:val="001A7873"/>
    <w:rsid w:val="001A7D73"/>
    <w:rsid w:val="001B0237"/>
    <w:rsid w:val="001B028A"/>
    <w:rsid w:val="001B0E4C"/>
    <w:rsid w:val="001B1727"/>
    <w:rsid w:val="001B1E5B"/>
    <w:rsid w:val="001B22A7"/>
    <w:rsid w:val="001B25BA"/>
    <w:rsid w:val="001B2973"/>
    <w:rsid w:val="001B2B37"/>
    <w:rsid w:val="001B2C10"/>
    <w:rsid w:val="001B2F42"/>
    <w:rsid w:val="001B3104"/>
    <w:rsid w:val="001B3132"/>
    <w:rsid w:val="001B3A18"/>
    <w:rsid w:val="001B3C89"/>
    <w:rsid w:val="001B3EBC"/>
    <w:rsid w:val="001B3F6D"/>
    <w:rsid w:val="001B3FA3"/>
    <w:rsid w:val="001B40C3"/>
    <w:rsid w:val="001B498E"/>
    <w:rsid w:val="001B4A99"/>
    <w:rsid w:val="001B4D51"/>
    <w:rsid w:val="001B5292"/>
    <w:rsid w:val="001B54E0"/>
    <w:rsid w:val="001B566F"/>
    <w:rsid w:val="001B5717"/>
    <w:rsid w:val="001B57A0"/>
    <w:rsid w:val="001B5961"/>
    <w:rsid w:val="001B5C5C"/>
    <w:rsid w:val="001B5F27"/>
    <w:rsid w:val="001B6295"/>
    <w:rsid w:val="001B6C3E"/>
    <w:rsid w:val="001B76EA"/>
    <w:rsid w:val="001B7DDA"/>
    <w:rsid w:val="001C08DE"/>
    <w:rsid w:val="001C0D55"/>
    <w:rsid w:val="001C0E54"/>
    <w:rsid w:val="001C1FB4"/>
    <w:rsid w:val="001C3191"/>
    <w:rsid w:val="001C3224"/>
    <w:rsid w:val="001C36BE"/>
    <w:rsid w:val="001C3F7C"/>
    <w:rsid w:val="001C4239"/>
    <w:rsid w:val="001C45CB"/>
    <w:rsid w:val="001C4B96"/>
    <w:rsid w:val="001C4BD8"/>
    <w:rsid w:val="001C4C99"/>
    <w:rsid w:val="001C4ED5"/>
    <w:rsid w:val="001C4F36"/>
    <w:rsid w:val="001C578C"/>
    <w:rsid w:val="001C5994"/>
    <w:rsid w:val="001C5B24"/>
    <w:rsid w:val="001C63A1"/>
    <w:rsid w:val="001C6AB1"/>
    <w:rsid w:val="001C6AEE"/>
    <w:rsid w:val="001C6CF9"/>
    <w:rsid w:val="001C74F6"/>
    <w:rsid w:val="001C756F"/>
    <w:rsid w:val="001C7845"/>
    <w:rsid w:val="001D24EA"/>
    <w:rsid w:val="001D3450"/>
    <w:rsid w:val="001D35BD"/>
    <w:rsid w:val="001D3B2C"/>
    <w:rsid w:val="001D4239"/>
    <w:rsid w:val="001D45AA"/>
    <w:rsid w:val="001D46E7"/>
    <w:rsid w:val="001D4944"/>
    <w:rsid w:val="001D5170"/>
    <w:rsid w:val="001D5309"/>
    <w:rsid w:val="001D543F"/>
    <w:rsid w:val="001D5D45"/>
    <w:rsid w:val="001D5D4A"/>
    <w:rsid w:val="001D66AD"/>
    <w:rsid w:val="001D6729"/>
    <w:rsid w:val="001D6A6C"/>
    <w:rsid w:val="001D6E5D"/>
    <w:rsid w:val="001D7AAC"/>
    <w:rsid w:val="001D7CF0"/>
    <w:rsid w:val="001E0FDC"/>
    <w:rsid w:val="001E16C8"/>
    <w:rsid w:val="001E1D50"/>
    <w:rsid w:val="001E1FB6"/>
    <w:rsid w:val="001E20C4"/>
    <w:rsid w:val="001E2340"/>
    <w:rsid w:val="001E2FDA"/>
    <w:rsid w:val="001E3343"/>
    <w:rsid w:val="001E3740"/>
    <w:rsid w:val="001E39F5"/>
    <w:rsid w:val="001E3DE5"/>
    <w:rsid w:val="001E3FE2"/>
    <w:rsid w:val="001E44B3"/>
    <w:rsid w:val="001E4DF4"/>
    <w:rsid w:val="001E4E83"/>
    <w:rsid w:val="001E4F7D"/>
    <w:rsid w:val="001E5A6B"/>
    <w:rsid w:val="001E5A70"/>
    <w:rsid w:val="001E5A79"/>
    <w:rsid w:val="001E61CD"/>
    <w:rsid w:val="001E6499"/>
    <w:rsid w:val="001E6863"/>
    <w:rsid w:val="001E6C06"/>
    <w:rsid w:val="001E6D8F"/>
    <w:rsid w:val="001E711D"/>
    <w:rsid w:val="001E7C10"/>
    <w:rsid w:val="001E7E64"/>
    <w:rsid w:val="001F03C3"/>
    <w:rsid w:val="001F0501"/>
    <w:rsid w:val="001F0989"/>
    <w:rsid w:val="001F0A2D"/>
    <w:rsid w:val="001F1094"/>
    <w:rsid w:val="001F1B76"/>
    <w:rsid w:val="001F1CFE"/>
    <w:rsid w:val="001F24C0"/>
    <w:rsid w:val="001F2802"/>
    <w:rsid w:val="001F28F4"/>
    <w:rsid w:val="001F38AB"/>
    <w:rsid w:val="001F4B75"/>
    <w:rsid w:val="001F4BD3"/>
    <w:rsid w:val="001F4F64"/>
    <w:rsid w:val="001F5A5F"/>
    <w:rsid w:val="001F623B"/>
    <w:rsid w:val="001F677A"/>
    <w:rsid w:val="001F67A3"/>
    <w:rsid w:val="001F693A"/>
    <w:rsid w:val="001F6B19"/>
    <w:rsid w:val="001F6BF1"/>
    <w:rsid w:val="001F709B"/>
    <w:rsid w:val="001F7132"/>
    <w:rsid w:val="001F7279"/>
    <w:rsid w:val="001F738D"/>
    <w:rsid w:val="001F751C"/>
    <w:rsid w:val="001F77EA"/>
    <w:rsid w:val="001F7964"/>
    <w:rsid w:val="001F7A9D"/>
    <w:rsid w:val="002003DB"/>
    <w:rsid w:val="002005BD"/>
    <w:rsid w:val="002006C2"/>
    <w:rsid w:val="0020077B"/>
    <w:rsid w:val="002007FA"/>
    <w:rsid w:val="002010F7"/>
    <w:rsid w:val="002019A0"/>
    <w:rsid w:val="00201E7D"/>
    <w:rsid w:val="00202A08"/>
    <w:rsid w:val="00202A3E"/>
    <w:rsid w:val="00202DE9"/>
    <w:rsid w:val="00202E1D"/>
    <w:rsid w:val="002036EB"/>
    <w:rsid w:val="00203B36"/>
    <w:rsid w:val="00204E72"/>
    <w:rsid w:val="0020557D"/>
    <w:rsid w:val="00205AE4"/>
    <w:rsid w:val="00205C07"/>
    <w:rsid w:val="00205CFA"/>
    <w:rsid w:val="0020690B"/>
    <w:rsid w:val="00206B48"/>
    <w:rsid w:val="00206E85"/>
    <w:rsid w:val="00207321"/>
    <w:rsid w:val="00207544"/>
    <w:rsid w:val="00207959"/>
    <w:rsid w:val="002079EB"/>
    <w:rsid w:val="00207A20"/>
    <w:rsid w:val="00207CF0"/>
    <w:rsid w:val="00210D92"/>
    <w:rsid w:val="00211641"/>
    <w:rsid w:val="00212063"/>
    <w:rsid w:val="00212D12"/>
    <w:rsid w:val="00213354"/>
    <w:rsid w:val="00213B2F"/>
    <w:rsid w:val="00213E02"/>
    <w:rsid w:val="00214035"/>
    <w:rsid w:val="0021408E"/>
    <w:rsid w:val="002141F5"/>
    <w:rsid w:val="00214758"/>
    <w:rsid w:val="00215557"/>
    <w:rsid w:val="00215C60"/>
    <w:rsid w:val="00215DCA"/>
    <w:rsid w:val="00216B4E"/>
    <w:rsid w:val="00216F4F"/>
    <w:rsid w:val="002170E1"/>
    <w:rsid w:val="0021793A"/>
    <w:rsid w:val="002200FA"/>
    <w:rsid w:val="002207F7"/>
    <w:rsid w:val="00220EE2"/>
    <w:rsid w:val="00221127"/>
    <w:rsid w:val="00221651"/>
    <w:rsid w:val="0022299B"/>
    <w:rsid w:val="00222C02"/>
    <w:rsid w:val="0022352E"/>
    <w:rsid w:val="00223767"/>
    <w:rsid w:val="00223E78"/>
    <w:rsid w:val="00224450"/>
    <w:rsid w:val="00224529"/>
    <w:rsid w:val="0022470C"/>
    <w:rsid w:val="00224C22"/>
    <w:rsid w:val="00225C1D"/>
    <w:rsid w:val="00225FAC"/>
    <w:rsid w:val="002264D3"/>
    <w:rsid w:val="002265F7"/>
    <w:rsid w:val="0022668D"/>
    <w:rsid w:val="00226BF8"/>
    <w:rsid w:val="00226CD8"/>
    <w:rsid w:val="00227154"/>
    <w:rsid w:val="00227555"/>
    <w:rsid w:val="00227571"/>
    <w:rsid w:val="00227580"/>
    <w:rsid w:val="00227C14"/>
    <w:rsid w:val="00230CE4"/>
    <w:rsid w:val="00230F0A"/>
    <w:rsid w:val="00230F70"/>
    <w:rsid w:val="00231CF5"/>
    <w:rsid w:val="00232214"/>
    <w:rsid w:val="00232498"/>
    <w:rsid w:val="00232CDE"/>
    <w:rsid w:val="00232D9B"/>
    <w:rsid w:val="00232EC7"/>
    <w:rsid w:val="0023307E"/>
    <w:rsid w:val="00233365"/>
    <w:rsid w:val="00233F2D"/>
    <w:rsid w:val="00234A80"/>
    <w:rsid w:val="002353B3"/>
    <w:rsid w:val="002356CE"/>
    <w:rsid w:val="00235901"/>
    <w:rsid w:val="00235D2B"/>
    <w:rsid w:val="0023667D"/>
    <w:rsid w:val="002368E2"/>
    <w:rsid w:val="00236A1C"/>
    <w:rsid w:val="002375AD"/>
    <w:rsid w:val="0023793C"/>
    <w:rsid w:val="00240055"/>
    <w:rsid w:val="002400B5"/>
    <w:rsid w:val="0024044C"/>
    <w:rsid w:val="00240617"/>
    <w:rsid w:val="002410C2"/>
    <w:rsid w:val="0024158A"/>
    <w:rsid w:val="00241876"/>
    <w:rsid w:val="00241974"/>
    <w:rsid w:val="00241B7E"/>
    <w:rsid w:val="002420DA"/>
    <w:rsid w:val="00242BDF"/>
    <w:rsid w:val="00243022"/>
    <w:rsid w:val="00243086"/>
    <w:rsid w:val="00243330"/>
    <w:rsid w:val="00243F9C"/>
    <w:rsid w:val="0024401C"/>
    <w:rsid w:val="0024446A"/>
    <w:rsid w:val="002446AA"/>
    <w:rsid w:val="002446B9"/>
    <w:rsid w:val="002446D5"/>
    <w:rsid w:val="00244B7F"/>
    <w:rsid w:val="00244C44"/>
    <w:rsid w:val="00244FBA"/>
    <w:rsid w:val="0024503A"/>
    <w:rsid w:val="00245571"/>
    <w:rsid w:val="002462D4"/>
    <w:rsid w:val="00246773"/>
    <w:rsid w:val="0024699D"/>
    <w:rsid w:val="00246C6B"/>
    <w:rsid w:val="00246E5E"/>
    <w:rsid w:val="00246FEC"/>
    <w:rsid w:val="00247071"/>
    <w:rsid w:val="002470E1"/>
    <w:rsid w:val="00247512"/>
    <w:rsid w:val="00247772"/>
    <w:rsid w:val="00247B65"/>
    <w:rsid w:val="00247DC8"/>
    <w:rsid w:val="00247FF3"/>
    <w:rsid w:val="00250027"/>
    <w:rsid w:val="002500A0"/>
    <w:rsid w:val="002504E5"/>
    <w:rsid w:val="00250AD1"/>
    <w:rsid w:val="0025102F"/>
    <w:rsid w:val="002514FE"/>
    <w:rsid w:val="002516E6"/>
    <w:rsid w:val="00252247"/>
    <w:rsid w:val="00252BFF"/>
    <w:rsid w:val="00252C3E"/>
    <w:rsid w:val="002534BB"/>
    <w:rsid w:val="00253E69"/>
    <w:rsid w:val="00253F28"/>
    <w:rsid w:val="002547E7"/>
    <w:rsid w:val="00254BC6"/>
    <w:rsid w:val="00254D9C"/>
    <w:rsid w:val="0025561F"/>
    <w:rsid w:val="00255C3C"/>
    <w:rsid w:val="00255CDB"/>
    <w:rsid w:val="00255DE4"/>
    <w:rsid w:val="00256164"/>
    <w:rsid w:val="0025630E"/>
    <w:rsid w:val="002565F3"/>
    <w:rsid w:val="00256D3A"/>
    <w:rsid w:val="00256F84"/>
    <w:rsid w:val="002570FF"/>
    <w:rsid w:val="002571CF"/>
    <w:rsid w:val="00257280"/>
    <w:rsid w:val="00261358"/>
    <w:rsid w:val="0026196E"/>
    <w:rsid w:val="002620EB"/>
    <w:rsid w:val="002621B2"/>
    <w:rsid w:val="00262BF3"/>
    <w:rsid w:val="002632B8"/>
    <w:rsid w:val="0026334B"/>
    <w:rsid w:val="0026350D"/>
    <w:rsid w:val="00263B0D"/>
    <w:rsid w:val="00263F78"/>
    <w:rsid w:val="00264F2F"/>
    <w:rsid w:val="0026504D"/>
    <w:rsid w:val="00265ECC"/>
    <w:rsid w:val="00266B8D"/>
    <w:rsid w:val="0026757A"/>
    <w:rsid w:val="00267585"/>
    <w:rsid w:val="0027077C"/>
    <w:rsid w:val="00270D1A"/>
    <w:rsid w:val="00272384"/>
    <w:rsid w:val="002728AC"/>
    <w:rsid w:val="002729BE"/>
    <w:rsid w:val="002733C6"/>
    <w:rsid w:val="002737AA"/>
    <w:rsid w:val="00273E3A"/>
    <w:rsid w:val="00273EF7"/>
    <w:rsid w:val="00273F1F"/>
    <w:rsid w:val="00274A78"/>
    <w:rsid w:val="0027512C"/>
    <w:rsid w:val="00275896"/>
    <w:rsid w:val="00275E97"/>
    <w:rsid w:val="002761F2"/>
    <w:rsid w:val="002762D8"/>
    <w:rsid w:val="00276589"/>
    <w:rsid w:val="002772ED"/>
    <w:rsid w:val="00277385"/>
    <w:rsid w:val="0027766B"/>
    <w:rsid w:val="002776EA"/>
    <w:rsid w:val="00277E33"/>
    <w:rsid w:val="002802CE"/>
    <w:rsid w:val="002809A5"/>
    <w:rsid w:val="002810F7"/>
    <w:rsid w:val="00281101"/>
    <w:rsid w:val="00281127"/>
    <w:rsid w:val="00281321"/>
    <w:rsid w:val="00281547"/>
    <w:rsid w:val="00281655"/>
    <w:rsid w:val="00282346"/>
    <w:rsid w:val="00282DD9"/>
    <w:rsid w:val="00283104"/>
    <w:rsid w:val="00283131"/>
    <w:rsid w:val="00283696"/>
    <w:rsid w:val="002836C0"/>
    <w:rsid w:val="002836DE"/>
    <w:rsid w:val="002838F8"/>
    <w:rsid w:val="00284374"/>
    <w:rsid w:val="00284E3F"/>
    <w:rsid w:val="002850B9"/>
    <w:rsid w:val="00285478"/>
    <w:rsid w:val="0028598C"/>
    <w:rsid w:val="00285A50"/>
    <w:rsid w:val="002864EF"/>
    <w:rsid w:val="00286D16"/>
    <w:rsid w:val="0028710F"/>
    <w:rsid w:val="002874C3"/>
    <w:rsid w:val="002877AC"/>
    <w:rsid w:val="00287BCF"/>
    <w:rsid w:val="00287CB2"/>
    <w:rsid w:val="00290339"/>
    <w:rsid w:val="002903A5"/>
    <w:rsid w:val="00290701"/>
    <w:rsid w:val="00290F7F"/>
    <w:rsid w:val="00291650"/>
    <w:rsid w:val="00292287"/>
    <w:rsid w:val="002924B8"/>
    <w:rsid w:val="002924F4"/>
    <w:rsid w:val="00292B6D"/>
    <w:rsid w:val="00292BB2"/>
    <w:rsid w:val="002936CB"/>
    <w:rsid w:val="0029380C"/>
    <w:rsid w:val="00293DFD"/>
    <w:rsid w:val="00293E23"/>
    <w:rsid w:val="00293E89"/>
    <w:rsid w:val="00294289"/>
    <w:rsid w:val="0029435E"/>
    <w:rsid w:val="00294428"/>
    <w:rsid w:val="00294AFE"/>
    <w:rsid w:val="00294C05"/>
    <w:rsid w:val="0029526A"/>
    <w:rsid w:val="002952A7"/>
    <w:rsid w:val="0029690F"/>
    <w:rsid w:val="00296E62"/>
    <w:rsid w:val="002978AB"/>
    <w:rsid w:val="00297E71"/>
    <w:rsid w:val="002A05D4"/>
    <w:rsid w:val="002A0ED0"/>
    <w:rsid w:val="002A1362"/>
    <w:rsid w:val="002A1591"/>
    <w:rsid w:val="002A19B4"/>
    <w:rsid w:val="002A20D2"/>
    <w:rsid w:val="002A2109"/>
    <w:rsid w:val="002A25AE"/>
    <w:rsid w:val="002A33A0"/>
    <w:rsid w:val="002A37C1"/>
    <w:rsid w:val="002A3D9B"/>
    <w:rsid w:val="002A4430"/>
    <w:rsid w:val="002A4836"/>
    <w:rsid w:val="002A4A1C"/>
    <w:rsid w:val="002A4E98"/>
    <w:rsid w:val="002A4F55"/>
    <w:rsid w:val="002A521C"/>
    <w:rsid w:val="002A55AD"/>
    <w:rsid w:val="002A5B41"/>
    <w:rsid w:val="002A60FC"/>
    <w:rsid w:val="002A636F"/>
    <w:rsid w:val="002A63ED"/>
    <w:rsid w:val="002A6757"/>
    <w:rsid w:val="002A6F9C"/>
    <w:rsid w:val="002A73F8"/>
    <w:rsid w:val="002B01AB"/>
    <w:rsid w:val="002B05FD"/>
    <w:rsid w:val="002B09EE"/>
    <w:rsid w:val="002B0E6C"/>
    <w:rsid w:val="002B1AC2"/>
    <w:rsid w:val="002B20C5"/>
    <w:rsid w:val="002B23A5"/>
    <w:rsid w:val="002B260D"/>
    <w:rsid w:val="002B2754"/>
    <w:rsid w:val="002B2A4C"/>
    <w:rsid w:val="002B2BE3"/>
    <w:rsid w:val="002B2C02"/>
    <w:rsid w:val="002B3278"/>
    <w:rsid w:val="002B35FA"/>
    <w:rsid w:val="002B37B0"/>
    <w:rsid w:val="002B37CF"/>
    <w:rsid w:val="002B5A68"/>
    <w:rsid w:val="002B5BCD"/>
    <w:rsid w:val="002B6475"/>
    <w:rsid w:val="002B68DE"/>
    <w:rsid w:val="002B6D05"/>
    <w:rsid w:val="002B7060"/>
    <w:rsid w:val="002B7933"/>
    <w:rsid w:val="002B7BA3"/>
    <w:rsid w:val="002C0385"/>
    <w:rsid w:val="002C046A"/>
    <w:rsid w:val="002C10AA"/>
    <w:rsid w:val="002C137C"/>
    <w:rsid w:val="002C1450"/>
    <w:rsid w:val="002C18F0"/>
    <w:rsid w:val="002C1963"/>
    <w:rsid w:val="002C217D"/>
    <w:rsid w:val="002C22FA"/>
    <w:rsid w:val="002C2494"/>
    <w:rsid w:val="002C3515"/>
    <w:rsid w:val="002C37C6"/>
    <w:rsid w:val="002C3B6E"/>
    <w:rsid w:val="002C3D43"/>
    <w:rsid w:val="002C4373"/>
    <w:rsid w:val="002C4406"/>
    <w:rsid w:val="002C471E"/>
    <w:rsid w:val="002C4ABB"/>
    <w:rsid w:val="002C5220"/>
    <w:rsid w:val="002C690F"/>
    <w:rsid w:val="002C6B00"/>
    <w:rsid w:val="002C6D1E"/>
    <w:rsid w:val="002C6D78"/>
    <w:rsid w:val="002C6DCB"/>
    <w:rsid w:val="002C790C"/>
    <w:rsid w:val="002C7B8B"/>
    <w:rsid w:val="002C7C20"/>
    <w:rsid w:val="002C7D3D"/>
    <w:rsid w:val="002D0343"/>
    <w:rsid w:val="002D0470"/>
    <w:rsid w:val="002D1985"/>
    <w:rsid w:val="002D1AC2"/>
    <w:rsid w:val="002D222F"/>
    <w:rsid w:val="002D2E76"/>
    <w:rsid w:val="002D3747"/>
    <w:rsid w:val="002D428F"/>
    <w:rsid w:val="002D4E64"/>
    <w:rsid w:val="002D51FC"/>
    <w:rsid w:val="002D524F"/>
    <w:rsid w:val="002D5326"/>
    <w:rsid w:val="002D5410"/>
    <w:rsid w:val="002D5AAF"/>
    <w:rsid w:val="002D5C6E"/>
    <w:rsid w:val="002D6335"/>
    <w:rsid w:val="002D693C"/>
    <w:rsid w:val="002D6B16"/>
    <w:rsid w:val="002D6E20"/>
    <w:rsid w:val="002D724B"/>
    <w:rsid w:val="002D76BD"/>
    <w:rsid w:val="002D7A58"/>
    <w:rsid w:val="002E11F2"/>
    <w:rsid w:val="002E19C4"/>
    <w:rsid w:val="002E25AC"/>
    <w:rsid w:val="002E2727"/>
    <w:rsid w:val="002E2946"/>
    <w:rsid w:val="002E3604"/>
    <w:rsid w:val="002E3FB8"/>
    <w:rsid w:val="002E466C"/>
    <w:rsid w:val="002E5231"/>
    <w:rsid w:val="002E532A"/>
    <w:rsid w:val="002E5924"/>
    <w:rsid w:val="002E62CC"/>
    <w:rsid w:val="002E64E4"/>
    <w:rsid w:val="002E6616"/>
    <w:rsid w:val="002E7296"/>
    <w:rsid w:val="002E7410"/>
    <w:rsid w:val="002E7704"/>
    <w:rsid w:val="002E7820"/>
    <w:rsid w:val="002E7EC4"/>
    <w:rsid w:val="002F0103"/>
    <w:rsid w:val="002F040C"/>
    <w:rsid w:val="002F04ED"/>
    <w:rsid w:val="002F07A3"/>
    <w:rsid w:val="002F0BA3"/>
    <w:rsid w:val="002F106C"/>
    <w:rsid w:val="002F1D4F"/>
    <w:rsid w:val="002F1FFE"/>
    <w:rsid w:val="002F20E5"/>
    <w:rsid w:val="002F2131"/>
    <w:rsid w:val="002F2C6C"/>
    <w:rsid w:val="002F2F8D"/>
    <w:rsid w:val="002F3598"/>
    <w:rsid w:val="002F4120"/>
    <w:rsid w:val="002F4142"/>
    <w:rsid w:val="002F4860"/>
    <w:rsid w:val="002F4AF0"/>
    <w:rsid w:val="002F4C84"/>
    <w:rsid w:val="002F4F30"/>
    <w:rsid w:val="002F50A6"/>
    <w:rsid w:val="002F556D"/>
    <w:rsid w:val="002F613B"/>
    <w:rsid w:val="002F66AE"/>
    <w:rsid w:val="002F6DF7"/>
    <w:rsid w:val="002F6F34"/>
    <w:rsid w:val="002F7E13"/>
    <w:rsid w:val="003001B7"/>
    <w:rsid w:val="00300AD7"/>
    <w:rsid w:val="00300C11"/>
    <w:rsid w:val="00300DB0"/>
    <w:rsid w:val="003010DF"/>
    <w:rsid w:val="0030119A"/>
    <w:rsid w:val="003023CA"/>
    <w:rsid w:val="0030256A"/>
    <w:rsid w:val="00302E3A"/>
    <w:rsid w:val="003035C1"/>
    <w:rsid w:val="0030381B"/>
    <w:rsid w:val="003042B0"/>
    <w:rsid w:val="00304527"/>
    <w:rsid w:val="0030571D"/>
    <w:rsid w:val="00305B16"/>
    <w:rsid w:val="00305CCF"/>
    <w:rsid w:val="00305EC3"/>
    <w:rsid w:val="00305FCC"/>
    <w:rsid w:val="00306D2C"/>
    <w:rsid w:val="003070F8"/>
    <w:rsid w:val="003072DC"/>
    <w:rsid w:val="003072DD"/>
    <w:rsid w:val="00307484"/>
    <w:rsid w:val="00307730"/>
    <w:rsid w:val="00307903"/>
    <w:rsid w:val="003100FD"/>
    <w:rsid w:val="003101B3"/>
    <w:rsid w:val="00310256"/>
    <w:rsid w:val="003102FD"/>
    <w:rsid w:val="00310773"/>
    <w:rsid w:val="00310BA9"/>
    <w:rsid w:val="00310BD0"/>
    <w:rsid w:val="00310D1D"/>
    <w:rsid w:val="00310F45"/>
    <w:rsid w:val="003111E2"/>
    <w:rsid w:val="0031149C"/>
    <w:rsid w:val="0031193E"/>
    <w:rsid w:val="00311CB3"/>
    <w:rsid w:val="00312876"/>
    <w:rsid w:val="00312BA1"/>
    <w:rsid w:val="00312E74"/>
    <w:rsid w:val="00313105"/>
    <w:rsid w:val="0031319B"/>
    <w:rsid w:val="00313678"/>
    <w:rsid w:val="00313943"/>
    <w:rsid w:val="00314962"/>
    <w:rsid w:val="00314D13"/>
    <w:rsid w:val="00314DDF"/>
    <w:rsid w:val="00315019"/>
    <w:rsid w:val="00316153"/>
    <w:rsid w:val="0031678D"/>
    <w:rsid w:val="003176DC"/>
    <w:rsid w:val="00317760"/>
    <w:rsid w:val="00317CFB"/>
    <w:rsid w:val="00317E72"/>
    <w:rsid w:val="00320549"/>
    <w:rsid w:val="0032068B"/>
    <w:rsid w:val="00320916"/>
    <w:rsid w:val="00321620"/>
    <w:rsid w:val="00321DFD"/>
    <w:rsid w:val="00322679"/>
    <w:rsid w:val="00322BE0"/>
    <w:rsid w:val="00323450"/>
    <w:rsid w:val="003236F0"/>
    <w:rsid w:val="00323CB0"/>
    <w:rsid w:val="0032446C"/>
    <w:rsid w:val="00324B42"/>
    <w:rsid w:val="00324F64"/>
    <w:rsid w:val="003250DA"/>
    <w:rsid w:val="003253AF"/>
    <w:rsid w:val="003255FC"/>
    <w:rsid w:val="003258FB"/>
    <w:rsid w:val="0032594F"/>
    <w:rsid w:val="00326517"/>
    <w:rsid w:val="00326A39"/>
    <w:rsid w:val="0033008F"/>
    <w:rsid w:val="00330965"/>
    <w:rsid w:val="003309E5"/>
    <w:rsid w:val="00330B2A"/>
    <w:rsid w:val="0033165B"/>
    <w:rsid w:val="00331A7B"/>
    <w:rsid w:val="00331FE0"/>
    <w:rsid w:val="00332A8A"/>
    <w:rsid w:val="00332FA6"/>
    <w:rsid w:val="00333940"/>
    <w:rsid w:val="00333C4E"/>
    <w:rsid w:val="0033417D"/>
    <w:rsid w:val="003341A0"/>
    <w:rsid w:val="003341C5"/>
    <w:rsid w:val="0033428F"/>
    <w:rsid w:val="003342D5"/>
    <w:rsid w:val="00334461"/>
    <w:rsid w:val="003348CC"/>
    <w:rsid w:val="00335041"/>
    <w:rsid w:val="003358AA"/>
    <w:rsid w:val="00335DB9"/>
    <w:rsid w:val="0033602F"/>
    <w:rsid w:val="00336316"/>
    <w:rsid w:val="00336523"/>
    <w:rsid w:val="003366FE"/>
    <w:rsid w:val="00337292"/>
    <w:rsid w:val="003374AA"/>
    <w:rsid w:val="0033753D"/>
    <w:rsid w:val="003378B7"/>
    <w:rsid w:val="00337F40"/>
    <w:rsid w:val="00340A0F"/>
    <w:rsid w:val="00340A7C"/>
    <w:rsid w:val="003413D8"/>
    <w:rsid w:val="003416D3"/>
    <w:rsid w:val="003417DC"/>
    <w:rsid w:val="0034186C"/>
    <w:rsid w:val="003418DA"/>
    <w:rsid w:val="003420E2"/>
    <w:rsid w:val="0034322E"/>
    <w:rsid w:val="003433AA"/>
    <w:rsid w:val="003433AE"/>
    <w:rsid w:val="003433C3"/>
    <w:rsid w:val="003437D2"/>
    <w:rsid w:val="00343FAF"/>
    <w:rsid w:val="0034406A"/>
    <w:rsid w:val="00344599"/>
    <w:rsid w:val="00344B68"/>
    <w:rsid w:val="00344ED0"/>
    <w:rsid w:val="00344EE7"/>
    <w:rsid w:val="00344F88"/>
    <w:rsid w:val="00345952"/>
    <w:rsid w:val="003469F7"/>
    <w:rsid w:val="00347371"/>
    <w:rsid w:val="00347384"/>
    <w:rsid w:val="00347B30"/>
    <w:rsid w:val="00347B8F"/>
    <w:rsid w:val="00347BFD"/>
    <w:rsid w:val="00347E17"/>
    <w:rsid w:val="00347EEA"/>
    <w:rsid w:val="00350092"/>
    <w:rsid w:val="003504B3"/>
    <w:rsid w:val="00350B26"/>
    <w:rsid w:val="00350B82"/>
    <w:rsid w:val="00350E19"/>
    <w:rsid w:val="00350EDA"/>
    <w:rsid w:val="00350FAA"/>
    <w:rsid w:val="00351147"/>
    <w:rsid w:val="00351433"/>
    <w:rsid w:val="00351438"/>
    <w:rsid w:val="00351B26"/>
    <w:rsid w:val="00351C1E"/>
    <w:rsid w:val="003522C0"/>
    <w:rsid w:val="00352721"/>
    <w:rsid w:val="00352920"/>
    <w:rsid w:val="003537AF"/>
    <w:rsid w:val="00353B71"/>
    <w:rsid w:val="00353F19"/>
    <w:rsid w:val="00354A37"/>
    <w:rsid w:val="00354B3C"/>
    <w:rsid w:val="00354BD0"/>
    <w:rsid w:val="00355EC2"/>
    <w:rsid w:val="003563F4"/>
    <w:rsid w:val="00356B18"/>
    <w:rsid w:val="00356CB7"/>
    <w:rsid w:val="00357403"/>
    <w:rsid w:val="00357481"/>
    <w:rsid w:val="0035782B"/>
    <w:rsid w:val="0035783F"/>
    <w:rsid w:val="0035797B"/>
    <w:rsid w:val="00360001"/>
    <w:rsid w:val="00360560"/>
    <w:rsid w:val="00360669"/>
    <w:rsid w:val="00360DB8"/>
    <w:rsid w:val="00360EAD"/>
    <w:rsid w:val="003610DA"/>
    <w:rsid w:val="0036185C"/>
    <w:rsid w:val="00361E52"/>
    <w:rsid w:val="00361EF3"/>
    <w:rsid w:val="00361F0E"/>
    <w:rsid w:val="0036246E"/>
    <w:rsid w:val="00362DAF"/>
    <w:rsid w:val="00362ECC"/>
    <w:rsid w:val="00363102"/>
    <w:rsid w:val="00363253"/>
    <w:rsid w:val="00363BB0"/>
    <w:rsid w:val="00364222"/>
    <w:rsid w:val="00364463"/>
    <w:rsid w:val="00364641"/>
    <w:rsid w:val="00365549"/>
    <w:rsid w:val="00365682"/>
    <w:rsid w:val="00365795"/>
    <w:rsid w:val="00366088"/>
    <w:rsid w:val="00366094"/>
    <w:rsid w:val="00367043"/>
    <w:rsid w:val="003674AC"/>
    <w:rsid w:val="0036757D"/>
    <w:rsid w:val="003700C6"/>
    <w:rsid w:val="0037012F"/>
    <w:rsid w:val="0037032C"/>
    <w:rsid w:val="00370C6A"/>
    <w:rsid w:val="00370E15"/>
    <w:rsid w:val="003713EA"/>
    <w:rsid w:val="0037165D"/>
    <w:rsid w:val="003734E0"/>
    <w:rsid w:val="00373CB3"/>
    <w:rsid w:val="00374083"/>
    <w:rsid w:val="00374BC9"/>
    <w:rsid w:val="00375331"/>
    <w:rsid w:val="00375B86"/>
    <w:rsid w:val="00376230"/>
    <w:rsid w:val="003762D1"/>
    <w:rsid w:val="00376AA5"/>
    <w:rsid w:val="0037719F"/>
    <w:rsid w:val="003778C5"/>
    <w:rsid w:val="00377A4C"/>
    <w:rsid w:val="00377A61"/>
    <w:rsid w:val="00380693"/>
    <w:rsid w:val="0038186A"/>
    <w:rsid w:val="00381B66"/>
    <w:rsid w:val="00381C0B"/>
    <w:rsid w:val="00381DC6"/>
    <w:rsid w:val="00381FA2"/>
    <w:rsid w:val="00382288"/>
    <w:rsid w:val="003823C2"/>
    <w:rsid w:val="00382679"/>
    <w:rsid w:val="00382B53"/>
    <w:rsid w:val="00382E1B"/>
    <w:rsid w:val="00383A1E"/>
    <w:rsid w:val="00383E21"/>
    <w:rsid w:val="00383F04"/>
    <w:rsid w:val="00383F9C"/>
    <w:rsid w:val="00383FF6"/>
    <w:rsid w:val="00384FDB"/>
    <w:rsid w:val="00386453"/>
    <w:rsid w:val="0038645C"/>
    <w:rsid w:val="003865D7"/>
    <w:rsid w:val="0038660A"/>
    <w:rsid w:val="0038686D"/>
    <w:rsid w:val="00386A4D"/>
    <w:rsid w:val="00386CE1"/>
    <w:rsid w:val="00386F65"/>
    <w:rsid w:val="003874F8"/>
    <w:rsid w:val="003877F7"/>
    <w:rsid w:val="00387B2D"/>
    <w:rsid w:val="00390000"/>
    <w:rsid w:val="003900D2"/>
    <w:rsid w:val="00390BA5"/>
    <w:rsid w:val="0039127E"/>
    <w:rsid w:val="00392A19"/>
    <w:rsid w:val="00392F7E"/>
    <w:rsid w:val="003930C5"/>
    <w:rsid w:val="00393731"/>
    <w:rsid w:val="00393DB8"/>
    <w:rsid w:val="00393E39"/>
    <w:rsid w:val="003943A2"/>
    <w:rsid w:val="00395009"/>
    <w:rsid w:val="003952DB"/>
    <w:rsid w:val="00395A2E"/>
    <w:rsid w:val="00395BA3"/>
    <w:rsid w:val="003964FC"/>
    <w:rsid w:val="0039680F"/>
    <w:rsid w:val="003971BA"/>
    <w:rsid w:val="0039748F"/>
    <w:rsid w:val="0039782D"/>
    <w:rsid w:val="003A017E"/>
    <w:rsid w:val="003A09D3"/>
    <w:rsid w:val="003A0B87"/>
    <w:rsid w:val="003A1302"/>
    <w:rsid w:val="003A2048"/>
    <w:rsid w:val="003A20F9"/>
    <w:rsid w:val="003A2117"/>
    <w:rsid w:val="003A2972"/>
    <w:rsid w:val="003A2CFF"/>
    <w:rsid w:val="003A348B"/>
    <w:rsid w:val="003A39B6"/>
    <w:rsid w:val="003A3F4C"/>
    <w:rsid w:val="003A485A"/>
    <w:rsid w:val="003A4F77"/>
    <w:rsid w:val="003A4FC3"/>
    <w:rsid w:val="003A5858"/>
    <w:rsid w:val="003A5C39"/>
    <w:rsid w:val="003A5FA3"/>
    <w:rsid w:val="003A5FFB"/>
    <w:rsid w:val="003A6055"/>
    <w:rsid w:val="003A62C0"/>
    <w:rsid w:val="003A673B"/>
    <w:rsid w:val="003A69D2"/>
    <w:rsid w:val="003A76ED"/>
    <w:rsid w:val="003A774A"/>
    <w:rsid w:val="003A77B6"/>
    <w:rsid w:val="003A784E"/>
    <w:rsid w:val="003B0828"/>
    <w:rsid w:val="003B08F3"/>
    <w:rsid w:val="003B09F7"/>
    <w:rsid w:val="003B10BC"/>
    <w:rsid w:val="003B11B7"/>
    <w:rsid w:val="003B147A"/>
    <w:rsid w:val="003B1A38"/>
    <w:rsid w:val="003B1A3E"/>
    <w:rsid w:val="003B1F20"/>
    <w:rsid w:val="003B1F27"/>
    <w:rsid w:val="003B1FFB"/>
    <w:rsid w:val="003B2003"/>
    <w:rsid w:val="003B2202"/>
    <w:rsid w:val="003B268A"/>
    <w:rsid w:val="003B31F6"/>
    <w:rsid w:val="003B32C8"/>
    <w:rsid w:val="003B3C44"/>
    <w:rsid w:val="003B3D69"/>
    <w:rsid w:val="003B41B7"/>
    <w:rsid w:val="003B42DA"/>
    <w:rsid w:val="003B44C0"/>
    <w:rsid w:val="003B44DA"/>
    <w:rsid w:val="003B44F5"/>
    <w:rsid w:val="003B47F3"/>
    <w:rsid w:val="003B512E"/>
    <w:rsid w:val="003B52BE"/>
    <w:rsid w:val="003B548C"/>
    <w:rsid w:val="003B5855"/>
    <w:rsid w:val="003B5F2D"/>
    <w:rsid w:val="003B60B1"/>
    <w:rsid w:val="003B6109"/>
    <w:rsid w:val="003B676A"/>
    <w:rsid w:val="003B6A76"/>
    <w:rsid w:val="003B6AF4"/>
    <w:rsid w:val="003B6BA1"/>
    <w:rsid w:val="003C09A7"/>
    <w:rsid w:val="003C0E55"/>
    <w:rsid w:val="003C142F"/>
    <w:rsid w:val="003C1B2A"/>
    <w:rsid w:val="003C1FF6"/>
    <w:rsid w:val="003C2384"/>
    <w:rsid w:val="003C2561"/>
    <w:rsid w:val="003C2753"/>
    <w:rsid w:val="003C37C1"/>
    <w:rsid w:val="003C395C"/>
    <w:rsid w:val="003C45E4"/>
    <w:rsid w:val="003C4673"/>
    <w:rsid w:val="003C4CD8"/>
    <w:rsid w:val="003C53D5"/>
    <w:rsid w:val="003C5CA6"/>
    <w:rsid w:val="003C5E20"/>
    <w:rsid w:val="003C6276"/>
    <w:rsid w:val="003C6420"/>
    <w:rsid w:val="003C6DD6"/>
    <w:rsid w:val="003D1014"/>
    <w:rsid w:val="003D20F5"/>
    <w:rsid w:val="003D2655"/>
    <w:rsid w:val="003D2B0F"/>
    <w:rsid w:val="003D2E30"/>
    <w:rsid w:val="003D3060"/>
    <w:rsid w:val="003D3853"/>
    <w:rsid w:val="003D3CB2"/>
    <w:rsid w:val="003D4344"/>
    <w:rsid w:val="003D449B"/>
    <w:rsid w:val="003D4E49"/>
    <w:rsid w:val="003D4E92"/>
    <w:rsid w:val="003D606C"/>
    <w:rsid w:val="003D60BC"/>
    <w:rsid w:val="003D60E5"/>
    <w:rsid w:val="003D677D"/>
    <w:rsid w:val="003D68B9"/>
    <w:rsid w:val="003D6BD7"/>
    <w:rsid w:val="003D6ECD"/>
    <w:rsid w:val="003D728B"/>
    <w:rsid w:val="003D7E27"/>
    <w:rsid w:val="003E0751"/>
    <w:rsid w:val="003E0812"/>
    <w:rsid w:val="003E08A0"/>
    <w:rsid w:val="003E2D88"/>
    <w:rsid w:val="003E33D5"/>
    <w:rsid w:val="003E51F4"/>
    <w:rsid w:val="003E5C36"/>
    <w:rsid w:val="003E5CF9"/>
    <w:rsid w:val="003E6006"/>
    <w:rsid w:val="003E610A"/>
    <w:rsid w:val="003E6A95"/>
    <w:rsid w:val="003E6B06"/>
    <w:rsid w:val="003E6DC5"/>
    <w:rsid w:val="003E70B8"/>
    <w:rsid w:val="003E7966"/>
    <w:rsid w:val="003E7B1F"/>
    <w:rsid w:val="003E7BA2"/>
    <w:rsid w:val="003F068E"/>
    <w:rsid w:val="003F090C"/>
    <w:rsid w:val="003F178C"/>
    <w:rsid w:val="003F18BC"/>
    <w:rsid w:val="003F1E1D"/>
    <w:rsid w:val="003F2395"/>
    <w:rsid w:val="003F249A"/>
    <w:rsid w:val="003F2934"/>
    <w:rsid w:val="003F2AB1"/>
    <w:rsid w:val="003F343C"/>
    <w:rsid w:val="003F3627"/>
    <w:rsid w:val="003F397F"/>
    <w:rsid w:val="003F3A34"/>
    <w:rsid w:val="003F3F00"/>
    <w:rsid w:val="003F401D"/>
    <w:rsid w:val="003F4523"/>
    <w:rsid w:val="003F4639"/>
    <w:rsid w:val="003F48D2"/>
    <w:rsid w:val="003F4996"/>
    <w:rsid w:val="003F4E67"/>
    <w:rsid w:val="003F56A5"/>
    <w:rsid w:val="003F5D06"/>
    <w:rsid w:val="003F6257"/>
    <w:rsid w:val="003F66DD"/>
    <w:rsid w:val="003F704F"/>
    <w:rsid w:val="003F727E"/>
    <w:rsid w:val="003F7285"/>
    <w:rsid w:val="003F74BD"/>
    <w:rsid w:val="003F74F9"/>
    <w:rsid w:val="003F7772"/>
    <w:rsid w:val="003F78B9"/>
    <w:rsid w:val="003F7C0C"/>
    <w:rsid w:val="003F7DF3"/>
    <w:rsid w:val="003F7EB1"/>
    <w:rsid w:val="003F7F74"/>
    <w:rsid w:val="00400431"/>
    <w:rsid w:val="00401395"/>
    <w:rsid w:val="004013FC"/>
    <w:rsid w:val="00401567"/>
    <w:rsid w:val="00401F23"/>
    <w:rsid w:val="00401F27"/>
    <w:rsid w:val="004020CA"/>
    <w:rsid w:val="00402769"/>
    <w:rsid w:val="00403018"/>
    <w:rsid w:val="004030ED"/>
    <w:rsid w:val="0040326B"/>
    <w:rsid w:val="004032C4"/>
    <w:rsid w:val="0040397F"/>
    <w:rsid w:val="00403A4A"/>
    <w:rsid w:val="00403CEE"/>
    <w:rsid w:val="004044BB"/>
    <w:rsid w:val="004049F1"/>
    <w:rsid w:val="0040646C"/>
    <w:rsid w:val="004065D3"/>
    <w:rsid w:val="00406C9C"/>
    <w:rsid w:val="00406EDB"/>
    <w:rsid w:val="00407134"/>
    <w:rsid w:val="0040790B"/>
    <w:rsid w:val="0040795B"/>
    <w:rsid w:val="004104CC"/>
    <w:rsid w:val="00410A27"/>
    <w:rsid w:val="004111C7"/>
    <w:rsid w:val="00411D87"/>
    <w:rsid w:val="00411F8D"/>
    <w:rsid w:val="00412676"/>
    <w:rsid w:val="00412AF8"/>
    <w:rsid w:val="00412FFF"/>
    <w:rsid w:val="00413308"/>
    <w:rsid w:val="00413D8D"/>
    <w:rsid w:val="0041426C"/>
    <w:rsid w:val="00414900"/>
    <w:rsid w:val="00414959"/>
    <w:rsid w:val="00414960"/>
    <w:rsid w:val="00414A90"/>
    <w:rsid w:val="00414E83"/>
    <w:rsid w:val="00415099"/>
    <w:rsid w:val="0041534F"/>
    <w:rsid w:val="00415585"/>
    <w:rsid w:val="00415914"/>
    <w:rsid w:val="004159D7"/>
    <w:rsid w:val="00415D56"/>
    <w:rsid w:val="00416715"/>
    <w:rsid w:val="004168CD"/>
    <w:rsid w:val="00416996"/>
    <w:rsid w:val="004169B3"/>
    <w:rsid w:val="00416EBB"/>
    <w:rsid w:val="00417C2E"/>
    <w:rsid w:val="00417D73"/>
    <w:rsid w:val="004202C8"/>
    <w:rsid w:val="004213F1"/>
    <w:rsid w:val="00421CA1"/>
    <w:rsid w:val="00421F80"/>
    <w:rsid w:val="004220DA"/>
    <w:rsid w:val="004224FB"/>
    <w:rsid w:val="004225B9"/>
    <w:rsid w:val="0042494D"/>
    <w:rsid w:val="004256AC"/>
    <w:rsid w:val="00425BE0"/>
    <w:rsid w:val="00425BE7"/>
    <w:rsid w:val="00425F6F"/>
    <w:rsid w:val="00426717"/>
    <w:rsid w:val="00426BB5"/>
    <w:rsid w:val="00426DFD"/>
    <w:rsid w:val="00426F85"/>
    <w:rsid w:val="00427040"/>
    <w:rsid w:val="0042778F"/>
    <w:rsid w:val="00427B8C"/>
    <w:rsid w:val="00427D54"/>
    <w:rsid w:val="0043047C"/>
    <w:rsid w:val="00430D2A"/>
    <w:rsid w:val="004312C0"/>
    <w:rsid w:val="0043132E"/>
    <w:rsid w:val="00431E2B"/>
    <w:rsid w:val="00431F28"/>
    <w:rsid w:val="0043223A"/>
    <w:rsid w:val="00432744"/>
    <w:rsid w:val="00432D05"/>
    <w:rsid w:val="00432E94"/>
    <w:rsid w:val="00433C6C"/>
    <w:rsid w:val="00434007"/>
    <w:rsid w:val="004343C3"/>
    <w:rsid w:val="004346A4"/>
    <w:rsid w:val="00434920"/>
    <w:rsid w:val="004352BF"/>
    <w:rsid w:val="004355EB"/>
    <w:rsid w:val="00435E6E"/>
    <w:rsid w:val="004365A5"/>
    <w:rsid w:val="00436FA0"/>
    <w:rsid w:val="0043723D"/>
    <w:rsid w:val="00437316"/>
    <w:rsid w:val="00437DB2"/>
    <w:rsid w:val="00437E9E"/>
    <w:rsid w:val="004400C4"/>
    <w:rsid w:val="004412CB"/>
    <w:rsid w:val="004416DE"/>
    <w:rsid w:val="00441824"/>
    <w:rsid w:val="00441939"/>
    <w:rsid w:val="00441A0B"/>
    <w:rsid w:val="00441A5F"/>
    <w:rsid w:val="00441AD2"/>
    <w:rsid w:val="00441B71"/>
    <w:rsid w:val="00441F23"/>
    <w:rsid w:val="00442C45"/>
    <w:rsid w:val="004430D9"/>
    <w:rsid w:val="004437A4"/>
    <w:rsid w:val="004441A7"/>
    <w:rsid w:val="004445C9"/>
    <w:rsid w:val="004454D3"/>
    <w:rsid w:val="0044568E"/>
    <w:rsid w:val="00446A72"/>
    <w:rsid w:val="00446FB2"/>
    <w:rsid w:val="004470B0"/>
    <w:rsid w:val="0044714E"/>
    <w:rsid w:val="0044754B"/>
    <w:rsid w:val="004477B4"/>
    <w:rsid w:val="004477C1"/>
    <w:rsid w:val="00450365"/>
    <w:rsid w:val="00450956"/>
    <w:rsid w:val="004509A8"/>
    <w:rsid w:val="00450D48"/>
    <w:rsid w:val="00451059"/>
    <w:rsid w:val="004512EC"/>
    <w:rsid w:val="0045180D"/>
    <w:rsid w:val="00451EE5"/>
    <w:rsid w:val="00452033"/>
    <w:rsid w:val="00452613"/>
    <w:rsid w:val="004529F5"/>
    <w:rsid w:val="00452AB7"/>
    <w:rsid w:val="0045325A"/>
    <w:rsid w:val="004540BB"/>
    <w:rsid w:val="0045440D"/>
    <w:rsid w:val="0045446D"/>
    <w:rsid w:val="0045459A"/>
    <w:rsid w:val="0045548C"/>
    <w:rsid w:val="00455C13"/>
    <w:rsid w:val="00455EFF"/>
    <w:rsid w:val="004564E6"/>
    <w:rsid w:val="00456931"/>
    <w:rsid w:val="00456E0E"/>
    <w:rsid w:val="00456F7C"/>
    <w:rsid w:val="00457217"/>
    <w:rsid w:val="0045741C"/>
    <w:rsid w:val="00457EA4"/>
    <w:rsid w:val="00460448"/>
    <w:rsid w:val="004607E8"/>
    <w:rsid w:val="00460995"/>
    <w:rsid w:val="00461123"/>
    <w:rsid w:val="00461335"/>
    <w:rsid w:val="00461C63"/>
    <w:rsid w:val="00461EC0"/>
    <w:rsid w:val="00461F53"/>
    <w:rsid w:val="004628BC"/>
    <w:rsid w:val="00463500"/>
    <w:rsid w:val="00463FE5"/>
    <w:rsid w:val="00464242"/>
    <w:rsid w:val="0046424A"/>
    <w:rsid w:val="00464A44"/>
    <w:rsid w:val="00464CC0"/>
    <w:rsid w:val="00465510"/>
    <w:rsid w:val="00465F90"/>
    <w:rsid w:val="00465FF3"/>
    <w:rsid w:val="0046676F"/>
    <w:rsid w:val="00467286"/>
    <w:rsid w:val="00467702"/>
    <w:rsid w:val="00467AD9"/>
    <w:rsid w:val="00467D74"/>
    <w:rsid w:val="00467E7D"/>
    <w:rsid w:val="004701C6"/>
    <w:rsid w:val="00470250"/>
    <w:rsid w:val="00470648"/>
    <w:rsid w:val="00470CAB"/>
    <w:rsid w:val="00471AD0"/>
    <w:rsid w:val="00472B5B"/>
    <w:rsid w:val="00472DC2"/>
    <w:rsid w:val="0047302F"/>
    <w:rsid w:val="00473E7D"/>
    <w:rsid w:val="00474013"/>
    <w:rsid w:val="004740D7"/>
    <w:rsid w:val="0047416E"/>
    <w:rsid w:val="004744EA"/>
    <w:rsid w:val="004749DE"/>
    <w:rsid w:val="00474DE0"/>
    <w:rsid w:val="00474E5F"/>
    <w:rsid w:val="004758FF"/>
    <w:rsid w:val="00475D99"/>
    <w:rsid w:val="004766C5"/>
    <w:rsid w:val="004766FE"/>
    <w:rsid w:val="00476C9B"/>
    <w:rsid w:val="00476D4F"/>
    <w:rsid w:val="00476E68"/>
    <w:rsid w:val="00476E74"/>
    <w:rsid w:val="00476F19"/>
    <w:rsid w:val="00477464"/>
    <w:rsid w:val="004774B9"/>
    <w:rsid w:val="00480827"/>
    <w:rsid w:val="00480C1B"/>
    <w:rsid w:val="00481385"/>
    <w:rsid w:val="00481399"/>
    <w:rsid w:val="004823A0"/>
    <w:rsid w:val="004823F2"/>
    <w:rsid w:val="00482DA6"/>
    <w:rsid w:val="00482FD9"/>
    <w:rsid w:val="004838B5"/>
    <w:rsid w:val="00483B54"/>
    <w:rsid w:val="00483CE2"/>
    <w:rsid w:val="00483D7A"/>
    <w:rsid w:val="00483F6D"/>
    <w:rsid w:val="00484510"/>
    <w:rsid w:val="00484C2B"/>
    <w:rsid w:val="00484E84"/>
    <w:rsid w:val="00484EC1"/>
    <w:rsid w:val="0048504C"/>
    <w:rsid w:val="004853D6"/>
    <w:rsid w:val="00485465"/>
    <w:rsid w:val="00485766"/>
    <w:rsid w:val="00485F82"/>
    <w:rsid w:val="004866F1"/>
    <w:rsid w:val="00486D95"/>
    <w:rsid w:val="00486DD9"/>
    <w:rsid w:val="00486E22"/>
    <w:rsid w:val="004875FF"/>
    <w:rsid w:val="00487D4C"/>
    <w:rsid w:val="00487E32"/>
    <w:rsid w:val="0049026B"/>
    <w:rsid w:val="00491018"/>
    <w:rsid w:val="004913B7"/>
    <w:rsid w:val="004916D3"/>
    <w:rsid w:val="00491967"/>
    <w:rsid w:val="00492090"/>
    <w:rsid w:val="00492998"/>
    <w:rsid w:val="00492D98"/>
    <w:rsid w:val="00495033"/>
    <w:rsid w:val="004957EE"/>
    <w:rsid w:val="0049591A"/>
    <w:rsid w:val="00495AED"/>
    <w:rsid w:val="00495D12"/>
    <w:rsid w:val="00496BB9"/>
    <w:rsid w:val="00496C8B"/>
    <w:rsid w:val="00496E0C"/>
    <w:rsid w:val="00497002"/>
    <w:rsid w:val="00497770"/>
    <w:rsid w:val="004A003D"/>
    <w:rsid w:val="004A035C"/>
    <w:rsid w:val="004A09FA"/>
    <w:rsid w:val="004A0D0F"/>
    <w:rsid w:val="004A0E51"/>
    <w:rsid w:val="004A10CA"/>
    <w:rsid w:val="004A115C"/>
    <w:rsid w:val="004A1535"/>
    <w:rsid w:val="004A162D"/>
    <w:rsid w:val="004A1736"/>
    <w:rsid w:val="004A1CFC"/>
    <w:rsid w:val="004A2144"/>
    <w:rsid w:val="004A27A0"/>
    <w:rsid w:val="004A27F7"/>
    <w:rsid w:val="004A29A2"/>
    <w:rsid w:val="004A2B68"/>
    <w:rsid w:val="004A31CA"/>
    <w:rsid w:val="004A378C"/>
    <w:rsid w:val="004A3AAA"/>
    <w:rsid w:val="004A435E"/>
    <w:rsid w:val="004A471B"/>
    <w:rsid w:val="004A4916"/>
    <w:rsid w:val="004A4A5E"/>
    <w:rsid w:val="004A50FF"/>
    <w:rsid w:val="004A54D4"/>
    <w:rsid w:val="004A6216"/>
    <w:rsid w:val="004A62AA"/>
    <w:rsid w:val="004A630E"/>
    <w:rsid w:val="004A6842"/>
    <w:rsid w:val="004A6A95"/>
    <w:rsid w:val="004A6EC8"/>
    <w:rsid w:val="004A7146"/>
    <w:rsid w:val="004A7412"/>
    <w:rsid w:val="004B02D9"/>
    <w:rsid w:val="004B0758"/>
    <w:rsid w:val="004B09F5"/>
    <w:rsid w:val="004B0A06"/>
    <w:rsid w:val="004B0A9B"/>
    <w:rsid w:val="004B1218"/>
    <w:rsid w:val="004B12B1"/>
    <w:rsid w:val="004B12F4"/>
    <w:rsid w:val="004B1360"/>
    <w:rsid w:val="004B1B07"/>
    <w:rsid w:val="004B1C04"/>
    <w:rsid w:val="004B1C71"/>
    <w:rsid w:val="004B1E74"/>
    <w:rsid w:val="004B27E4"/>
    <w:rsid w:val="004B2D7D"/>
    <w:rsid w:val="004B2F33"/>
    <w:rsid w:val="004B3AA2"/>
    <w:rsid w:val="004B3EFA"/>
    <w:rsid w:val="004B3FA3"/>
    <w:rsid w:val="004B4849"/>
    <w:rsid w:val="004B4992"/>
    <w:rsid w:val="004B4B10"/>
    <w:rsid w:val="004B4C97"/>
    <w:rsid w:val="004B4FAB"/>
    <w:rsid w:val="004B507D"/>
    <w:rsid w:val="004B5D02"/>
    <w:rsid w:val="004B5E6A"/>
    <w:rsid w:val="004B612B"/>
    <w:rsid w:val="004B6A91"/>
    <w:rsid w:val="004B6BF3"/>
    <w:rsid w:val="004B6D9A"/>
    <w:rsid w:val="004B6EA0"/>
    <w:rsid w:val="004B718D"/>
    <w:rsid w:val="004B74BD"/>
    <w:rsid w:val="004B75B1"/>
    <w:rsid w:val="004B7CFA"/>
    <w:rsid w:val="004B7D05"/>
    <w:rsid w:val="004B7F3D"/>
    <w:rsid w:val="004B7F68"/>
    <w:rsid w:val="004C0106"/>
    <w:rsid w:val="004C046B"/>
    <w:rsid w:val="004C13FC"/>
    <w:rsid w:val="004C1AA6"/>
    <w:rsid w:val="004C250C"/>
    <w:rsid w:val="004C25F2"/>
    <w:rsid w:val="004C3EC8"/>
    <w:rsid w:val="004C497F"/>
    <w:rsid w:val="004C4CFE"/>
    <w:rsid w:val="004C4E7C"/>
    <w:rsid w:val="004C5358"/>
    <w:rsid w:val="004C53F6"/>
    <w:rsid w:val="004C5830"/>
    <w:rsid w:val="004C6785"/>
    <w:rsid w:val="004C6F0A"/>
    <w:rsid w:val="004C7DAD"/>
    <w:rsid w:val="004D04B2"/>
    <w:rsid w:val="004D1842"/>
    <w:rsid w:val="004D1EDB"/>
    <w:rsid w:val="004D1FED"/>
    <w:rsid w:val="004D295D"/>
    <w:rsid w:val="004D30C6"/>
    <w:rsid w:val="004D3513"/>
    <w:rsid w:val="004D362F"/>
    <w:rsid w:val="004D3909"/>
    <w:rsid w:val="004D4485"/>
    <w:rsid w:val="004D47FB"/>
    <w:rsid w:val="004D4960"/>
    <w:rsid w:val="004D4FF4"/>
    <w:rsid w:val="004D50FF"/>
    <w:rsid w:val="004D6025"/>
    <w:rsid w:val="004D6821"/>
    <w:rsid w:val="004D6D1F"/>
    <w:rsid w:val="004D7D5C"/>
    <w:rsid w:val="004D7E80"/>
    <w:rsid w:val="004E04DB"/>
    <w:rsid w:val="004E08A7"/>
    <w:rsid w:val="004E0B12"/>
    <w:rsid w:val="004E19FD"/>
    <w:rsid w:val="004E2000"/>
    <w:rsid w:val="004E218B"/>
    <w:rsid w:val="004E2234"/>
    <w:rsid w:val="004E2B01"/>
    <w:rsid w:val="004E2BCA"/>
    <w:rsid w:val="004E2BD0"/>
    <w:rsid w:val="004E2E82"/>
    <w:rsid w:val="004E3B0A"/>
    <w:rsid w:val="004E3C20"/>
    <w:rsid w:val="004E435E"/>
    <w:rsid w:val="004E43D7"/>
    <w:rsid w:val="004E4B20"/>
    <w:rsid w:val="004E4B4E"/>
    <w:rsid w:val="004E5DA5"/>
    <w:rsid w:val="004E6B7F"/>
    <w:rsid w:val="004E6F29"/>
    <w:rsid w:val="004E72E9"/>
    <w:rsid w:val="004E731C"/>
    <w:rsid w:val="004E75CD"/>
    <w:rsid w:val="004E7615"/>
    <w:rsid w:val="004E7E87"/>
    <w:rsid w:val="004E7EDE"/>
    <w:rsid w:val="004F08F5"/>
    <w:rsid w:val="004F098A"/>
    <w:rsid w:val="004F111D"/>
    <w:rsid w:val="004F1910"/>
    <w:rsid w:val="004F1C50"/>
    <w:rsid w:val="004F1D1F"/>
    <w:rsid w:val="004F1D62"/>
    <w:rsid w:val="004F1D75"/>
    <w:rsid w:val="004F1EDF"/>
    <w:rsid w:val="004F207E"/>
    <w:rsid w:val="004F26ED"/>
    <w:rsid w:val="004F3077"/>
    <w:rsid w:val="004F336D"/>
    <w:rsid w:val="004F352B"/>
    <w:rsid w:val="004F371F"/>
    <w:rsid w:val="004F3FD2"/>
    <w:rsid w:val="004F4180"/>
    <w:rsid w:val="004F48B6"/>
    <w:rsid w:val="004F5098"/>
    <w:rsid w:val="004F5259"/>
    <w:rsid w:val="004F575E"/>
    <w:rsid w:val="004F59B6"/>
    <w:rsid w:val="004F5A57"/>
    <w:rsid w:val="004F5DF5"/>
    <w:rsid w:val="004F67EF"/>
    <w:rsid w:val="004F73E0"/>
    <w:rsid w:val="004F7C5A"/>
    <w:rsid w:val="00500218"/>
    <w:rsid w:val="0050021E"/>
    <w:rsid w:val="00500267"/>
    <w:rsid w:val="005011D7"/>
    <w:rsid w:val="00501216"/>
    <w:rsid w:val="00501517"/>
    <w:rsid w:val="005019E1"/>
    <w:rsid w:val="00501D63"/>
    <w:rsid w:val="00502256"/>
    <w:rsid w:val="00502A01"/>
    <w:rsid w:val="005033D1"/>
    <w:rsid w:val="00503707"/>
    <w:rsid w:val="00503964"/>
    <w:rsid w:val="005039EB"/>
    <w:rsid w:val="00503DD7"/>
    <w:rsid w:val="00504002"/>
    <w:rsid w:val="00504C8A"/>
    <w:rsid w:val="0050525E"/>
    <w:rsid w:val="00505BD5"/>
    <w:rsid w:val="00506021"/>
    <w:rsid w:val="00506143"/>
    <w:rsid w:val="00506372"/>
    <w:rsid w:val="005065FC"/>
    <w:rsid w:val="00506A76"/>
    <w:rsid w:val="00506B1E"/>
    <w:rsid w:val="00506D1E"/>
    <w:rsid w:val="00506DDD"/>
    <w:rsid w:val="005100B1"/>
    <w:rsid w:val="0051016C"/>
    <w:rsid w:val="00511275"/>
    <w:rsid w:val="005113F7"/>
    <w:rsid w:val="00511F84"/>
    <w:rsid w:val="00512027"/>
    <w:rsid w:val="00512A63"/>
    <w:rsid w:val="00512C39"/>
    <w:rsid w:val="00512CE7"/>
    <w:rsid w:val="00513699"/>
    <w:rsid w:val="00513781"/>
    <w:rsid w:val="00513FEA"/>
    <w:rsid w:val="00514828"/>
    <w:rsid w:val="00514B87"/>
    <w:rsid w:val="005157AA"/>
    <w:rsid w:val="00515C14"/>
    <w:rsid w:val="00515FF8"/>
    <w:rsid w:val="005162B6"/>
    <w:rsid w:val="00516715"/>
    <w:rsid w:val="00516A66"/>
    <w:rsid w:val="00516B5A"/>
    <w:rsid w:val="00516DD0"/>
    <w:rsid w:val="00517018"/>
    <w:rsid w:val="00517199"/>
    <w:rsid w:val="005175A2"/>
    <w:rsid w:val="005179CB"/>
    <w:rsid w:val="00517CB5"/>
    <w:rsid w:val="0052023F"/>
    <w:rsid w:val="005207CF"/>
    <w:rsid w:val="00520FDA"/>
    <w:rsid w:val="005210EF"/>
    <w:rsid w:val="00521246"/>
    <w:rsid w:val="005212A6"/>
    <w:rsid w:val="00521C0A"/>
    <w:rsid w:val="00522041"/>
    <w:rsid w:val="00522363"/>
    <w:rsid w:val="0052240F"/>
    <w:rsid w:val="005227D8"/>
    <w:rsid w:val="00522905"/>
    <w:rsid w:val="00522EE6"/>
    <w:rsid w:val="00523398"/>
    <w:rsid w:val="00523873"/>
    <w:rsid w:val="00525289"/>
    <w:rsid w:val="00525E6C"/>
    <w:rsid w:val="005262E7"/>
    <w:rsid w:val="005263B7"/>
    <w:rsid w:val="005268C2"/>
    <w:rsid w:val="00526C1B"/>
    <w:rsid w:val="005272A3"/>
    <w:rsid w:val="005273F2"/>
    <w:rsid w:val="00527907"/>
    <w:rsid w:val="00527B00"/>
    <w:rsid w:val="00527E56"/>
    <w:rsid w:val="0053085F"/>
    <w:rsid w:val="00530CC2"/>
    <w:rsid w:val="00531090"/>
    <w:rsid w:val="005319BB"/>
    <w:rsid w:val="00531A6B"/>
    <w:rsid w:val="00531B71"/>
    <w:rsid w:val="00531EBC"/>
    <w:rsid w:val="00531F4A"/>
    <w:rsid w:val="0053204C"/>
    <w:rsid w:val="005322A8"/>
    <w:rsid w:val="00532341"/>
    <w:rsid w:val="005324AB"/>
    <w:rsid w:val="00533483"/>
    <w:rsid w:val="005339E0"/>
    <w:rsid w:val="00533F3D"/>
    <w:rsid w:val="0053437D"/>
    <w:rsid w:val="00534592"/>
    <w:rsid w:val="005345A8"/>
    <w:rsid w:val="00534D3E"/>
    <w:rsid w:val="00534D87"/>
    <w:rsid w:val="0053502F"/>
    <w:rsid w:val="00535707"/>
    <w:rsid w:val="00535E61"/>
    <w:rsid w:val="00535F63"/>
    <w:rsid w:val="005363CE"/>
    <w:rsid w:val="00536620"/>
    <w:rsid w:val="00536C65"/>
    <w:rsid w:val="0053732B"/>
    <w:rsid w:val="005376CE"/>
    <w:rsid w:val="0053794E"/>
    <w:rsid w:val="00537A8E"/>
    <w:rsid w:val="005400A5"/>
    <w:rsid w:val="00540214"/>
    <w:rsid w:val="00540BC7"/>
    <w:rsid w:val="0054111C"/>
    <w:rsid w:val="00541741"/>
    <w:rsid w:val="00542106"/>
    <w:rsid w:val="00542AE7"/>
    <w:rsid w:val="00542EE4"/>
    <w:rsid w:val="0054330D"/>
    <w:rsid w:val="00543572"/>
    <w:rsid w:val="0054395D"/>
    <w:rsid w:val="00543AA0"/>
    <w:rsid w:val="00543B0A"/>
    <w:rsid w:val="005441A3"/>
    <w:rsid w:val="005441E2"/>
    <w:rsid w:val="00544964"/>
    <w:rsid w:val="005449DA"/>
    <w:rsid w:val="00544D28"/>
    <w:rsid w:val="00545684"/>
    <w:rsid w:val="00545763"/>
    <w:rsid w:val="00545E1C"/>
    <w:rsid w:val="00545ED1"/>
    <w:rsid w:val="00545FF2"/>
    <w:rsid w:val="005465E4"/>
    <w:rsid w:val="00546BD0"/>
    <w:rsid w:val="00546EF7"/>
    <w:rsid w:val="005474BB"/>
    <w:rsid w:val="00547EF6"/>
    <w:rsid w:val="005506C9"/>
    <w:rsid w:val="005506D9"/>
    <w:rsid w:val="00550F59"/>
    <w:rsid w:val="005510D6"/>
    <w:rsid w:val="005514CB"/>
    <w:rsid w:val="005521B7"/>
    <w:rsid w:val="005525D1"/>
    <w:rsid w:val="005531EE"/>
    <w:rsid w:val="00553794"/>
    <w:rsid w:val="0055385A"/>
    <w:rsid w:val="0055390A"/>
    <w:rsid w:val="00553F2E"/>
    <w:rsid w:val="00554034"/>
    <w:rsid w:val="00554310"/>
    <w:rsid w:val="00554402"/>
    <w:rsid w:val="0055442F"/>
    <w:rsid w:val="0055559B"/>
    <w:rsid w:val="00555C1E"/>
    <w:rsid w:val="00556211"/>
    <w:rsid w:val="005563BD"/>
    <w:rsid w:val="00556AAC"/>
    <w:rsid w:val="00556AFC"/>
    <w:rsid w:val="00556AFD"/>
    <w:rsid w:val="00556DAE"/>
    <w:rsid w:val="00560116"/>
    <w:rsid w:val="005601E5"/>
    <w:rsid w:val="005602BA"/>
    <w:rsid w:val="005602CD"/>
    <w:rsid w:val="005605DB"/>
    <w:rsid w:val="0056132D"/>
    <w:rsid w:val="005613B2"/>
    <w:rsid w:val="00561997"/>
    <w:rsid w:val="005624FC"/>
    <w:rsid w:val="00562539"/>
    <w:rsid w:val="0056262F"/>
    <w:rsid w:val="00562BCC"/>
    <w:rsid w:val="00562C58"/>
    <w:rsid w:val="00563776"/>
    <w:rsid w:val="00563785"/>
    <w:rsid w:val="0056393B"/>
    <w:rsid w:val="00563A32"/>
    <w:rsid w:val="00564012"/>
    <w:rsid w:val="005640E5"/>
    <w:rsid w:val="005642B0"/>
    <w:rsid w:val="00564A7F"/>
    <w:rsid w:val="00565573"/>
    <w:rsid w:val="00565B7F"/>
    <w:rsid w:val="0056611B"/>
    <w:rsid w:val="00566140"/>
    <w:rsid w:val="0056673C"/>
    <w:rsid w:val="00566870"/>
    <w:rsid w:val="00566C34"/>
    <w:rsid w:val="005673B1"/>
    <w:rsid w:val="005676B6"/>
    <w:rsid w:val="00567832"/>
    <w:rsid w:val="00567B1A"/>
    <w:rsid w:val="00567D94"/>
    <w:rsid w:val="0057005D"/>
    <w:rsid w:val="00570293"/>
    <w:rsid w:val="00570D83"/>
    <w:rsid w:val="00570E17"/>
    <w:rsid w:val="00571707"/>
    <w:rsid w:val="005721E0"/>
    <w:rsid w:val="0057256C"/>
    <w:rsid w:val="00572F79"/>
    <w:rsid w:val="00573411"/>
    <w:rsid w:val="0057345C"/>
    <w:rsid w:val="00574125"/>
    <w:rsid w:val="00575114"/>
    <w:rsid w:val="005753E6"/>
    <w:rsid w:val="00575629"/>
    <w:rsid w:val="00576225"/>
    <w:rsid w:val="0057649E"/>
    <w:rsid w:val="00576557"/>
    <w:rsid w:val="00580107"/>
    <w:rsid w:val="00580533"/>
    <w:rsid w:val="00580626"/>
    <w:rsid w:val="00580951"/>
    <w:rsid w:val="005809D4"/>
    <w:rsid w:val="00580A27"/>
    <w:rsid w:val="00580A7B"/>
    <w:rsid w:val="00580B9C"/>
    <w:rsid w:val="00581115"/>
    <w:rsid w:val="00581530"/>
    <w:rsid w:val="00581CBE"/>
    <w:rsid w:val="00581F33"/>
    <w:rsid w:val="00582277"/>
    <w:rsid w:val="005825C9"/>
    <w:rsid w:val="00582BC3"/>
    <w:rsid w:val="005835E5"/>
    <w:rsid w:val="00584219"/>
    <w:rsid w:val="005846E4"/>
    <w:rsid w:val="00585678"/>
    <w:rsid w:val="005856DC"/>
    <w:rsid w:val="00585A08"/>
    <w:rsid w:val="00585AAC"/>
    <w:rsid w:val="00586095"/>
    <w:rsid w:val="0058663C"/>
    <w:rsid w:val="00586E99"/>
    <w:rsid w:val="00586F64"/>
    <w:rsid w:val="00587DB6"/>
    <w:rsid w:val="00587F36"/>
    <w:rsid w:val="00590512"/>
    <w:rsid w:val="005908FE"/>
    <w:rsid w:val="00590DF3"/>
    <w:rsid w:val="00591411"/>
    <w:rsid w:val="00591936"/>
    <w:rsid w:val="00591A02"/>
    <w:rsid w:val="0059242D"/>
    <w:rsid w:val="005924DD"/>
    <w:rsid w:val="00593341"/>
    <w:rsid w:val="00593504"/>
    <w:rsid w:val="00593673"/>
    <w:rsid w:val="00593D9E"/>
    <w:rsid w:val="005948AE"/>
    <w:rsid w:val="005948BF"/>
    <w:rsid w:val="005949A6"/>
    <w:rsid w:val="00594F24"/>
    <w:rsid w:val="005958CA"/>
    <w:rsid w:val="00596156"/>
    <w:rsid w:val="00596199"/>
    <w:rsid w:val="0059624C"/>
    <w:rsid w:val="0059638F"/>
    <w:rsid w:val="005965FA"/>
    <w:rsid w:val="00597244"/>
    <w:rsid w:val="00597CE9"/>
    <w:rsid w:val="005A05A0"/>
    <w:rsid w:val="005A0784"/>
    <w:rsid w:val="005A0786"/>
    <w:rsid w:val="005A0A4A"/>
    <w:rsid w:val="005A130B"/>
    <w:rsid w:val="005A13F2"/>
    <w:rsid w:val="005A163B"/>
    <w:rsid w:val="005A1FA0"/>
    <w:rsid w:val="005A23EC"/>
    <w:rsid w:val="005A2577"/>
    <w:rsid w:val="005A26EC"/>
    <w:rsid w:val="005A2D64"/>
    <w:rsid w:val="005A2E8F"/>
    <w:rsid w:val="005A3527"/>
    <w:rsid w:val="005A3813"/>
    <w:rsid w:val="005A3E99"/>
    <w:rsid w:val="005A41B7"/>
    <w:rsid w:val="005A42CC"/>
    <w:rsid w:val="005A4A02"/>
    <w:rsid w:val="005A52C1"/>
    <w:rsid w:val="005A5A46"/>
    <w:rsid w:val="005A5AB3"/>
    <w:rsid w:val="005A5E1C"/>
    <w:rsid w:val="005A6E50"/>
    <w:rsid w:val="005A705E"/>
    <w:rsid w:val="005A709C"/>
    <w:rsid w:val="005A7BDC"/>
    <w:rsid w:val="005A7CDA"/>
    <w:rsid w:val="005A7D27"/>
    <w:rsid w:val="005A7D9B"/>
    <w:rsid w:val="005B0426"/>
    <w:rsid w:val="005B0D7C"/>
    <w:rsid w:val="005B0FF3"/>
    <w:rsid w:val="005B1084"/>
    <w:rsid w:val="005B10F6"/>
    <w:rsid w:val="005B1697"/>
    <w:rsid w:val="005B19A3"/>
    <w:rsid w:val="005B1B76"/>
    <w:rsid w:val="005B1E49"/>
    <w:rsid w:val="005B1ECF"/>
    <w:rsid w:val="005B21B9"/>
    <w:rsid w:val="005B2292"/>
    <w:rsid w:val="005B2D42"/>
    <w:rsid w:val="005B2DED"/>
    <w:rsid w:val="005B366C"/>
    <w:rsid w:val="005B3976"/>
    <w:rsid w:val="005B3CBB"/>
    <w:rsid w:val="005B3EAF"/>
    <w:rsid w:val="005B4624"/>
    <w:rsid w:val="005B4912"/>
    <w:rsid w:val="005B4C1F"/>
    <w:rsid w:val="005B591D"/>
    <w:rsid w:val="005B5BFB"/>
    <w:rsid w:val="005B5DDF"/>
    <w:rsid w:val="005B5ED0"/>
    <w:rsid w:val="005B65AA"/>
    <w:rsid w:val="005B671E"/>
    <w:rsid w:val="005B6F71"/>
    <w:rsid w:val="005B751A"/>
    <w:rsid w:val="005B7552"/>
    <w:rsid w:val="005B7F7D"/>
    <w:rsid w:val="005C0270"/>
    <w:rsid w:val="005C04E2"/>
    <w:rsid w:val="005C07FA"/>
    <w:rsid w:val="005C0931"/>
    <w:rsid w:val="005C0A8F"/>
    <w:rsid w:val="005C1251"/>
    <w:rsid w:val="005C1838"/>
    <w:rsid w:val="005C1C67"/>
    <w:rsid w:val="005C1D46"/>
    <w:rsid w:val="005C1FB9"/>
    <w:rsid w:val="005C2DBC"/>
    <w:rsid w:val="005C2F7D"/>
    <w:rsid w:val="005C3172"/>
    <w:rsid w:val="005C3A23"/>
    <w:rsid w:val="005C3B4C"/>
    <w:rsid w:val="005C3C60"/>
    <w:rsid w:val="005C3EBD"/>
    <w:rsid w:val="005C41E5"/>
    <w:rsid w:val="005C4B9A"/>
    <w:rsid w:val="005C568E"/>
    <w:rsid w:val="005C5841"/>
    <w:rsid w:val="005C5B45"/>
    <w:rsid w:val="005C5D10"/>
    <w:rsid w:val="005C60D2"/>
    <w:rsid w:val="005C633C"/>
    <w:rsid w:val="005C64F2"/>
    <w:rsid w:val="005C667E"/>
    <w:rsid w:val="005C6A9B"/>
    <w:rsid w:val="005C6BB2"/>
    <w:rsid w:val="005C6BE4"/>
    <w:rsid w:val="005C6DB5"/>
    <w:rsid w:val="005C6F4C"/>
    <w:rsid w:val="005C7129"/>
    <w:rsid w:val="005C744D"/>
    <w:rsid w:val="005C7CCA"/>
    <w:rsid w:val="005D002C"/>
    <w:rsid w:val="005D0064"/>
    <w:rsid w:val="005D0226"/>
    <w:rsid w:val="005D1328"/>
    <w:rsid w:val="005D15F1"/>
    <w:rsid w:val="005D167B"/>
    <w:rsid w:val="005D18D5"/>
    <w:rsid w:val="005D21DC"/>
    <w:rsid w:val="005D2CC0"/>
    <w:rsid w:val="005D31CF"/>
    <w:rsid w:val="005D4026"/>
    <w:rsid w:val="005D4416"/>
    <w:rsid w:val="005D471B"/>
    <w:rsid w:val="005D4C66"/>
    <w:rsid w:val="005D4D7B"/>
    <w:rsid w:val="005D502D"/>
    <w:rsid w:val="005D5E10"/>
    <w:rsid w:val="005D637C"/>
    <w:rsid w:val="005D6860"/>
    <w:rsid w:val="005D6F77"/>
    <w:rsid w:val="005D7437"/>
    <w:rsid w:val="005D763F"/>
    <w:rsid w:val="005D7E20"/>
    <w:rsid w:val="005E01E6"/>
    <w:rsid w:val="005E09DB"/>
    <w:rsid w:val="005E0B1E"/>
    <w:rsid w:val="005E12E8"/>
    <w:rsid w:val="005E13FF"/>
    <w:rsid w:val="005E14FD"/>
    <w:rsid w:val="005E19FA"/>
    <w:rsid w:val="005E1C71"/>
    <w:rsid w:val="005E2101"/>
    <w:rsid w:val="005E214D"/>
    <w:rsid w:val="005E29D1"/>
    <w:rsid w:val="005E2C63"/>
    <w:rsid w:val="005E3478"/>
    <w:rsid w:val="005E3791"/>
    <w:rsid w:val="005E4300"/>
    <w:rsid w:val="005E4816"/>
    <w:rsid w:val="005E4BCF"/>
    <w:rsid w:val="005E504B"/>
    <w:rsid w:val="005E51D8"/>
    <w:rsid w:val="005E6528"/>
    <w:rsid w:val="005E720F"/>
    <w:rsid w:val="005E7364"/>
    <w:rsid w:val="005E790A"/>
    <w:rsid w:val="005E7C74"/>
    <w:rsid w:val="005F177A"/>
    <w:rsid w:val="005F22DB"/>
    <w:rsid w:val="005F2333"/>
    <w:rsid w:val="005F2C53"/>
    <w:rsid w:val="005F2C62"/>
    <w:rsid w:val="005F2D3E"/>
    <w:rsid w:val="005F32AA"/>
    <w:rsid w:val="005F32E0"/>
    <w:rsid w:val="005F3442"/>
    <w:rsid w:val="005F369A"/>
    <w:rsid w:val="005F38B8"/>
    <w:rsid w:val="005F3B4D"/>
    <w:rsid w:val="005F3E36"/>
    <w:rsid w:val="005F4213"/>
    <w:rsid w:val="005F4A7E"/>
    <w:rsid w:val="005F4A9B"/>
    <w:rsid w:val="005F4AA9"/>
    <w:rsid w:val="005F511D"/>
    <w:rsid w:val="005F58E9"/>
    <w:rsid w:val="005F5ACD"/>
    <w:rsid w:val="005F6382"/>
    <w:rsid w:val="005F64C8"/>
    <w:rsid w:val="005F6DE5"/>
    <w:rsid w:val="005F6E4E"/>
    <w:rsid w:val="005F7388"/>
    <w:rsid w:val="005F74FF"/>
    <w:rsid w:val="005F7515"/>
    <w:rsid w:val="006001EA"/>
    <w:rsid w:val="006008A4"/>
    <w:rsid w:val="00601320"/>
    <w:rsid w:val="00601A76"/>
    <w:rsid w:val="00601BCE"/>
    <w:rsid w:val="00601CF8"/>
    <w:rsid w:val="0060298C"/>
    <w:rsid w:val="0060319C"/>
    <w:rsid w:val="00603EDA"/>
    <w:rsid w:val="006041AE"/>
    <w:rsid w:val="006041FB"/>
    <w:rsid w:val="00604766"/>
    <w:rsid w:val="006047FB"/>
    <w:rsid w:val="00605196"/>
    <w:rsid w:val="00605524"/>
    <w:rsid w:val="00605635"/>
    <w:rsid w:val="006056ED"/>
    <w:rsid w:val="00605CFA"/>
    <w:rsid w:val="00605DC2"/>
    <w:rsid w:val="00605EAE"/>
    <w:rsid w:val="006060E0"/>
    <w:rsid w:val="00606493"/>
    <w:rsid w:val="006064E5"/>
    <w:rsid w:val="00606754"/>
    <w:rsid w:val="00606DC9"/>
    <w:rsid w:val="00606FB7"/>
    <w:rsid w:val="00610364"/>
    <w:rsid w:val="006106CD"/>
    <w:rsid w:val="00610A4F"/>
    <w:rsid w:val="00610BA7"/>
    <w:rsid w:val="00610BCD"/>
    <w:rsid w:val="00611D08"/>
    <w:rsid w:val="00611FE3"/>
    <w:rsid w:val="006125DA"/>
    <w:rsid w:val="00612720"/>
    <w:rsid w:val="00612FC9"/>
    <w:rsid w:val="006133E0"/>
    <w:rsid w:val="00614126"/>
    <w:rsid w:val="00614303"/>
    <w:rsid w:val="00614617"/>
    <w:rsid w:val="006157B8"/>
    <w:rsid w:val="00615833"/>
    <w:rsid w:val="006158AE"/>
    <w:rsid w:val="00615F18"/>
    <w:rsid w:val="00616155"/>
    <w:rsid w:val="00616309"/>
    <w:rsid w:val="00616A49"/>
    <w:rsid w:val="00616A66"/>
    <w:rsid w:val="00616C8A"/>
    <w:rsid w:val="0061720E"/>
    <w:rsid w:val="00617894"/>
    <w:rsid w:val="00617985"/>
    <w:rsid w:val="00617AF6"/>
    <w:rsid w:val="00617E27"/>
    <w:rsid w:val="00617EB3"/>
    <w:rsid w:val="00617ED3"/>
    <w:rsid w:val="00620047"/>
    <w:rsid w:val="0062081C"/>
    <w:rsid w:val="00620904"/>
    <w:rsid w:val="00621035"/>
    <w:rsid w:val="0062184E"/>
    <w:rsid w:val="00621B45"/>
    <w:rsid w:val="0062248A"/>
    <w:rsid w:val="00622D41"/>
    <w:rsid w:val="006230A6"/>
    <w:rsid w:val="00623717"/>
    <w:rsid w:val="0062403A"/>
    <w:rsid w:val="006244B4"/>
    <w:rsid w:val="006245ED"/>
    <w:rsid w:val="006250A7"/>
    <w:rsid w:val="00625851"/>
    <w:rsid w:val="00625B2D"/>
    <w:rsid w:val="006261C3"/>
    <w:rsid w:val="006262BD"/>
    <w:rsid w:val="00626344"/>
    <w:rsid w:val="00626728"/>
    <w:rsid w:val="006278B1"/>
    <w:rsid w:val="00627BC4"/>
    <w:rsid w:val="00627FA6"/>
    <w:rsid w:val="00630C2A"/>
    <w:rsid w:val="00630CDB"/>
    <w:rsid w:val="00631126"/>
    <w:rsid w:val="0063138D"/>
    <w:rsid w:val="00631661"/>
    <w:rsid w:val="00631C99"/>
    <w:rsid w:val="00632422"/>
    <w:rsid w:val="00632B7C"/>
    <w:rsid w:val="00632D87"/>
    <w:rsid w:val="00632D96"/>
    <w:rsid w:val="006339F5"/>
    <w:rsid w:val="0063427A"/>
    <w:rsid w:val="006344AB"/>
    <w:rsid w:val="00634699"/>
    <w:rsid w:val="00635105"/>
    <w:rsid w:val="00635AA0"/>
    <w:rsid w:val="00635DCE"/>
    <w:rsid w:val="00636437"/>
    <w:rsid w:val="006367E4"/>
    <w:rsid w:val="00636C1E"/>
    <w:rsid w:val="0063760E"/>
    <w:rsid w:val="00637E73"/>
    <w:rsid w:val="00640B7B"/>
    <w:rsid w:val="006412C6"/>
    <w:rsid w:val="006417B9"/>
    <w:rsid w:val="00642037"/>
    <w:rsid w:val="0064268A"/>
    <w:rsid w:val="006427C0"/>
    <w:rsid w:val="00643406"/>
    <w:rsid w:val="00643487"/>
    <w:rsid w:val="006437C5"/>
    <w:rsid w:val="006437D9"/>
    <w:rsid w:val="00643F91"/>
    <w:rsid w:val="00644317"/>
    <w:rsid w:val="00644661"/>
    <w:rsid w:val="00644955"/>
    <w:rsid w:val="00644A1C"/>
    <w:rsid w:val="00646025"/>
    <w:rsid w:val="006460B9"/>
    <w:rsid w:val="006460FE"/>
    <w:rsid w:val="00646258"/>
    <w:rsid w:val="0064707F"/>
    <w:rsid w:val="006474D9"/>
    <w:rsid w:val="00647F8B"/>
    <w:rsid w:val="00650C65"/>
    <w:rsid w:val="006510A9"/>
    <w:rsid w:val="00651E1B"/>
    <w:rsid w:val="00652036"/>
    <w:rsid w:val="00652071"/>
    <w:rsid w:val="00652336"/>
    <w:rsid w:val="00652956"/>
    <w:rsid w:val="00652A46"/>
    <w:rsid w:val="0065325A"/>
    <w:rsid w:val="00654041"/>
    <w:rsid w:val="00654245"/>
    <w:rsid w:val="0065462C"/>
    <w:rsid w:val="006546C5"/>
    <w:rsid w:val="006546DB"/>
    <w:rsid w:val="00654704"/>
    <w:rsid w:val="00654755"/>
    <w:rsid w:val="0065492C"/>
    <w:rsid w:val="00654BDA"/>
    <w:rsid w:val="00654C17"/>
    <w:rsid w:val="00654C7D"/>
    <w:rsid w:val="00654FD3"/>
    <w:rsid w:val="00655462"/>
    <w:rsid w:val="006555B6"/>
    <w:rsid w:val="006555FD"/>
    <w:rsid w:val="00655613"/>
    <w:rsid w:val="00655CB0"/>
    <w:rsid w:val="00657120"/>
    <w:rsid w:val="0065736C"/>
    <w:rsid w:val="00657509"/>
    <w:rsid w:val="00657A93"/>
    <w:rsid w:val="00657BA7"/>
    <w:rsid w:val="00657C0B"/>
    <w:rsid w:val="00657E32"/>
    <w:rsid w:val="00657E49"/>
    <w:rsid w:val="00661056"/>
    <w:rsid w:val="00661188"/>
    <w:rsid w:val="00662415"/>
    <w:rsid w:val="006628E4"/>
    <w:rsid w:val="00662DE6"/>
    <w:rsid w:val="00662EF1"/>
    <w:rsid w:val="00662F19"/>
    <w:rsid w:val="006632F8"/>
    <w:rsid w:val="006641EE"/>
    <w:rsid w:val="006646DE"/>
    <w:rsid w:val="006648E5"/>
    <w:rsid w:val="006650E5"/>
    <w:rsid w:val="00665384"/>
    <w:rsid w:val="00665619"/>
    <w:rsid w:val="00665675"/>
    <w:rsid w:val="00665884"/>
    <w:rsid w:val="00665A32"/>
    <w:rsid w:val="00665C39"/>
    <w:rsid w:val="00665ED5"/>
    <w:rsid w:val="0066660B"/>
    <w:rsid w:val="00666909"/>
    <w:rsid w:val="00666A30"/>
    <w:rsid w:val="00666B8C"/>
    <w:rsid w:val="00666FD1"/>
    <w:rsid w:val="0066709E"/>
    <w:rsid w:val="0066732D"/>
    <w:rsid w:val="00667374"/>
    <w:rsid w:val="00667402"/>
    <w:rsid w:val="00667B92"/>
    <w:rsid w:val="00667D3C"/>
    <w:rsid w:val="00667D97"/>
    <w:rsid w:val="006700E6"/>
    <w:rsid w:val="00670EF5"/>
    <w:rsid w:val="006713DC"/>
    <w:rsid w:val="0067146E"/>
    <w:rsid w:val="0067231C"/>
    <w:rsid w:val="00672735"/>
    <w:rsid w:val="00672907"/>
    <w:rsid w:val="00672D4F"/>
    <w:rsid w:val="00672E69"/>
    <w:rsid w:val="00672F47"/>
    <w:rsid w:val="0067476D"/>
    <w:rsid w:val="00674970"/>
    <w:rsid w:val="006757D4"/>
    <w:rsid w:val="0067585F"/>
    <w:rsid w:val="00676740"/>
    <w:rsid w:val="00676982"/>
    <w:rsid w:val="00676C75"/>
    <w:rsid w:val="00676F6A"/>
    <w:rsid w:val="006770E6"/>
    <w:rsid w:val="00677938"/>
    <w:rsid w:val="006802FC"/>
    <w:rsid w:val="0068038B"/>
    <w:rsid w:val="0068077A"/>
    <w:rsid w:val="00681397"/>
    <w:rsid w:val="00681C68"/>
    <w:rsid w:val="00681D5A"/>
    <w:rsid w:val="006827B0"/>
    <w:rsid w:val="00683239"/>
    <w:rsid w:val="006843D6"/>
    <w:rsid w:val="00684D68"/>
    <w:rsid w:val="00685822"/>
    <w:rsid w:val="00685CC8"/>
    <w:rsid w:val="00686957"/>
    <w:rsid w:val="00686EE4"/>
    <w:rsid w:val="0068736E"/>
    <w:rsid w:val="00687A6F"/>
    <w:rsid w:val="00687EDD"/>
    <w:rsid w:val="00690A74"/>
    <w:rsid w:val="00690C3A"/>
    <w:rsid w:val="00690FB1"/>
    <w:rsid w:val="006913AF"/>
    <w:rsid w:val="0069183F"/>
    <w:rsid w:val="00691C3E"/>
    <w:rsid w:val="00691CA9"/>
    <w:rsid w:val="00691DF8"/>
    <w:rsid w:val="00692C32"/>
    <w:rsid w:val="00693179"/>
    <w:rsid w:val="00693B67"/>
    <w:rsid w:val="00693C72"/>
    <w:rsid w:val="0069422F"/>
    <w:rsid w:val="0069463D"/>
    <w:rsid w:val="0069476C"/>
    <w:rsid w:val="006951B3"/>
    <w:rsid w:val="00695817"/>
    <w:rsid w:val="00695D7F"/>
    <w:rsid w:val="006964B5"/>
    <w:rsid w:val="00696685"/>
    <w:rsid w:val="006971F7"/>
    <w:rsid w:val="00697691"/>
    <w:rsid w:val="00697AFF"/>
    <w:rsid w:val="00697B17"/>
    <w:rsid w:val="00697E29"/>
    <w:rsid w:val="006A0432"/>
    <w:rsid w:val="006A0559"/>
    <w:rsid w:val="006A063B"/>
    <w:rsid w:val="006A0A7B"/>
    <w:rsid w:val="006A0BAC"/>
    <w:rsid w:val="006A1402"/>
    <w:rsid w:val="006A160C"/>
    <w:rsid w:val="006A1894"/>
    <w:rsid w:val="006A195E"/>
    <w:rsid w:val="006A1F8F"/>
    <w:rsid w:val="006A21B9"/>
    <w:rsid w:val="006A23AC"/>
    <w:rsid w:val="006A26FB"/>
    <w:rsid w:val="006A2873"/>
    <w:rsid w:val="006A2EF7"/>
    <w:rsid w:val="006A352E"/>
    <w:rsid w:val="006A38E8"/>
    <w:rsid w:val="006A3BFD"/>
    <w:rsid w:val="006A3C43"/>
    <w:rsid w:val="006A4062"/>
    <w:rsid w:val="006A41CB"/>
    <w:rsid w:val="006A4519"/>
    <w:rsid w:val="006A4C03"/>
    <w:rsid w:val="006A4D0F"/>
    <w:rsid w:val="006A4D71"/>
    <w:rsid w:val="006A4E05"/>
    <w:rsid w:val="006A4FD5"/>
    <w:rsid w:val="006A52CD"/>
    <w:rsid w:val="006A5330"/>
    <w:rsid w:val="006A59F7"/>
    <w:rsid w:val="006A5C3F"/>
    <w:rsid w:val="006A65E3"/>
    <w:rsid w:val="006A6DD2"/>
    <w:rsid w:val="006A6EBC"/>
    <w:rsid w:val="006A6F70"/>
    <w:rsid w:val="006A6FD3"/>
    <w:rsid w:val="006A728A"/>
    <w:rsid w:val="006A729B"/>
    <w:rsid w:val="006A7455"/>
    <w:rsid w:val="006A761F"/>
    <w:rsid w:val="006A76F0"/>
    <w:rsid w:val="006A7AC3"/>
    <w:rsid w:val="006B00C5"/>
    <w:rsid w:val="006B01FD"/>
    <w:rsid w:val="006B032A"/>
    <w:rsid w:val="006B1BC0"/>
    <w:rsid w:val="006B1E57"/>
    <w:rsid w:val="006B2311"/>
    <w:rsid w:val="006B267C"/>
    <w:rsid w:val="006B309D"/>
    <w:rsid w:val="006B3252"/>
    <w:rsid w:val="006B32F7"/>
    <w:rsid w:val="006B3883"/>
    <w:rsid w:val="006B39DA"/>
    <w:rsid w:val="006B3C80"/>
    <w:rsid w:val="006B3E2F"/>
    <w:rsid w:val="006B4219"/>
    <w:rsid w:val="006B4356"/>
    <w:rsid w:val="006B483C"/>
    <w:rsid w:val="006B50B9"/>
    <w:rsid w:val="006B5293"/>
    <w:rsid w:val="006B5767"/>
    <w:rsid w:val="006B5C80"/>
    <w:rsid w:val="006B6139"/>
    <w:rsid w:val="006B619F"/>
    <w:rsid w:val="006B68F8"/>
    <w:rsid w:val="006B69E9"/>
    <w:rsid w:val="006B76F7"/>
    <w:rsid w:val="006B7D03"/>
    <w:rsid w:val="006C0296"/>
    <w:rsid w:val="006C0759"/>
    <w:rsid w:val="006C136C"/>
    <w:rsid w:val="006C1377"/>
    <w:rsid w:val="006C1912"/>
    <w:rsid w:val="006C1D70"/>
    <w:rsid w:val="006C1DB5"/>
    <w:rsid w:val="006C1F1E"/>
    <w:rsid w:val="006C22A1"/>
    <w:rsid w:val="006C29E9"/>
    <w:rsid w:val="006C2D70"/>
    <w:rsid w:val="006C3208"/>
    <w:rsid w:val="006C427D"/>
    <w:rsid w:val="006C4D03"/>
    <w:rsid w:val="006C582A"/>
    <w:rsid w:val="006C5B67"/>
    <w:rsid w:val="006C5C46"/>
    <w:rsid w:val="006C68DB"/>
    <w:rsid w:val="006C6DED"/>
    <w:rsid w:val="006C7044"/>
    <w:rsid w:val="006C72D0"/>
    <w:rsid w:val="006C7B62"/>
    <w:rsid w:val="006C7C16"/>
    <w:rsid w:val="006C7FF1"/>
    <w:rsid w:val="006D0358"/>
    <w:rsid w:val="006D0A7D"/>
    <w:rsid w:val="006D0C84"/>
    <w:rsid w:val="006D0EE6"/>
    <w:rsid w:val="006D10A2"/>
    <w:rsid w:val="006D1149"/>
    <w:rsid w:val="006D18F1"/>
    <w:rsid w:val="006D1AAD"/>
    <w:rsid w:val="006D2467"/>
    <w:rsid w:val="006D275A"/>
    <w:rsid w:val="006D29FE"/>
    <w:rsid w:val="006D2FDE"/>
    <w:rsid w:val="006D392D"/>
    <w:rsid w:val="006D3B97"/>
    <w:rsid w:val="006D421B"/>
    <w:rsid w:val="006D434B"/>
    <w:rsid w:val="006D4634"/>
    <w:rsid w:val="006D491B"/>
    <w:rsid w:val="006D49FA"/>
    <w:rsid w:val="006D5604"/>
    <w:rsid w:val="006D57E1"/>
    <w:rsid w:val="006D6796"/>
    <w:rsid w:val="006D6DE5"/>
    <w:rsid w:val="006D7370"/>
    <w:rsid w:val="006D791B"/>
    <w:rsid w:val="006D7B7B"/>
    <w:rsid w:val="006D7C97"/>
    <w:rsid w:val="006E0770"/>
    <w:rsid w:val="006E1156"/>
    <w:rsid w:val="006E117C"/>
    <w:rsid w:val="006E119B"/>
    <w:rsid w:val="006E1B49"/>
    <w:rsid w:val="006E1EB3"/>
    <w:rsid w:val="006E2130"/>
    <w:rsid w:val="006E23E8"/>
    <w:rsid w:val="006E2DD1"/>
    <w:rsid w:val="006E33E3"/>
    <w:rsid w:val="006E346E"/>
    <w:rsid w:val="006E3835"/>
    <w:rsid w:val="006E3E52"/>
    <w:rsid w:val="006E3E9B"/>
    <w:rsid w:val="006E4292"/>
    <w:rsid w:val="006E4978"/>
    <w:rsid w:val="006E4B0A"/>
    <w:rsid w:val="006E513A"/>
    <w:rsid w:val="006E515D"/>
    <w:rsid w:val="006E5971"/>
    <w:rsid w:val="006E7A38"/>
    <w:rsid w:val="006E7F40"/>
    <w:rsid w:val="006F075C"/>
    <w:rsid w:val="006F08B6"/>
    <w:rsid w:val="006F154C"/>
    <w:rsid w:val="006F16C4"/>
    <w:rsid w:val="006F1B58"/>
    <w:rsid w:val="006F1E31"/>
    <w:rsid w:val="006F21F3"/>
    <w:rsid w:val="006F30B6"/>
    <w:rsid w:val="006F3353"/>
    <w:rsid w:val="006F3AFC"/>
    <w:rsid w:val="006F3DA4"/>
    <w:rsid w:val="006F3EAB"/>
    <w:rsid w:val="006F3F8D"/>
    <w:rsid w:val="006F4249"/>
    <w:rsid w:val="006F4693"/>
    <w:rsid w:val="006F49ED"/>
    <w:rsid w:val="006F50C6"/>
    <w:rsid w:val="006F51CE"/>
    <w:rsid w:val="006F5399"/>
    <w:rsid w:val="006F5B5C"/>
    <w:rsid w:val="006F5CFA"/>
    <w:rsid w:val="006F5DCE"/>
    <w:rsid w:val="006F6730"/>
    <w:rsid w:val="006F6801"/>
    <w:rsid w:val="006F6E1A"/>
    <w:rsid w:val="006F725F"/>
    <w:rsid w:val="006F7A0D"/>
    <w:rsid w:val="006F7B2D"/>
    <w:rsid w:val="00700327"/>
    <w:rsid w:val="007004E6"/>
    <w:rsid w:val="0070056E"/>
    <w:rsid w:val="00701037"/>
    <w:rsid w:val="007017C0"/>
    <w:rsid w:val="00702BB2"/>
    <w:rsid w:val="00702BC8"/>
    <w:rsid w:val="00702D19"/>
    <w:rsid w:val="007033E2"/>
    <w:rsid w:val="0070365F"/>
    <w:rsid w:val="00703759"/>
    <w:rsid w:val="00703CE6"/>
    <w:rsid w:val="00704A5F"/>
    <w:rsid w:val="00704CEF"/>
    <w:rsid w:val="00704E98"/>
    <w:rsid w:val="007055F1"/>
    <w:rsid w:val="00705600"/>
    <w:rsid w:val="00705DEB"/>
    <w:rsid w:val="00705FD0"/>
    <w:rsid w:val="00706883"/>
    <w:rsid w:val="00706B20"/>
    <w:rsid w:val="00706D8E"/>
    <w:rsid w:val="00706E36"/>
    <w:rsid w:val="007074A0"/>
    <w:rsid w:val="00707754"/>
    <w:rsid w:val="00707937"/>
    <w:rsid w:val="00707C27"/>
    <w:rsid w:val="00710199"/>
    <w:rsid w:val="00710A02"/>
    <w:rsid w:val="00711496"/>
    <w:rsid w:val="007114A5"/>
    <w:rsid w:val="00711925"/>
    <w:rsid w:val="00711928"/>
    <w:rsid w:val="00711AF1"/>
    <w:rsid w:val="00711DB3"/>
    <w:rsid w:val="0071204A"/>
    <w:rsid w:val="00712060"/>
    <w:rsid w:val="007120CC"/>
    <w:rsid w:val="00712311"/>
    <w:rsid w:val="00712673"/>
    <w:rsid w:val="00712B6E"/>
    <w:rsid w:val="00712D11"/>
    <w:rsid w:val="00712E87"/>
    <w:rsid w:val="00713140"/>
    <w:rsid w:val="00713285"/>
    <w:rsid w:val="007141E5"/>
    <w:rsid w:val="007149B5"/>
    <w:rsid w:val="00714D25"/>
    <w:rsid w:val="00714DC8"/>
    <w:rsid w:val="00714DE2"/>
    <w:rsid w:val="00715887"/>
    <w:rsid w:val="0071693C"/>
    <w:rsid w:val="00717304"/>
    <w:rsid w:val="0071747A"/>
    <w:rsid w:val="00717493"/>
    <w:rsid w:val="00717AB6"/>
    <w:rsid w:val="00717E6D"/>
    <w:rsid w:val="00720334"/>
    <w:rsid w:val="007209B5"/>
    <w:rsid w:val="00720ADA"/>
    <w:rsid w:val="00720C2B"/>
    <w:rsid w:val="007210A7"/>
    <w:rsid w:val="007215AA"/>
    <w:rsid w:val="007216BE"/>
    <w:rsid w:val="00721994"/>
    <w:rsid w:val="00721C7D"/>
    <w:rsid w:val="00721CF6"/>
    <w:rsid w:val="00721D46"/>
    <w:rsid w:val="00721F4D"/>
    <w:rsid w:val="00721F7D"/>
    <w:rsid w:val="0072231A"/>
    <w:rsid w:val="00722356"/>
    <w:rsid w:val="0072256A"/>
    <w:rsid w:val="007227BE"/>
    <w:rsid w:val="007245E7"/>
    <w:rsid w:val="007254BD"/>
    <w:rsid w:val="00725DAA"/>
    <w:rsid w:val="00726212"/>
    <w:rsid w:val="007264C0"/>
    <w:rsid w:val="00726AD8"/>
    <w:rsid w:val="00726FDC"/>
    <w:rsid w:val="00727684"/>
    <w:rsid w:val="0072789A"/>
    <w:rsid w:val="00730CB2"/>
    <w:rsid w:val="007313DD"/>
    <w:rsid w:val="00731D00"/>
    <w:rsid w:val="00732B37"/>
    <w:rsid w:val="00733325"/>
    <w:rsid w:val="0073427C"/>
    <w:rsid w:val="007343E1"/>
    <w:rsid w:val="00734599"/>
    <w:rsid w:val="00734A7B"/>
    <w:rsid w:val="00734DC9"/>
    <w:rsid w:val="00734F4B"/>
    <w:rsid w:val="00735088"/>
    <w:rsid w:val="007351CE"/>
    <w:rsid w:val="00735ABC"/>
    <w:rsid w:val="00735D14"/>
    <w:rsid w:val="00735FA7"/>
    <w:rsid w:val="007363D7"/>
    <w:rsid w:val="007367E0"/>
    <w:rsid w:val="00736E6A"/>
    <w:rsid w:val="00736EB1"/>
    <w:rsid w:val="0073700F"/>
    <w:rsid w:val="00737A2E"/>
    <w:rsid w:val="00740138"/>
    <w:rsid w:val="00740FAD"/>
    <w:rsid w:val="0074102F"/>
    <w:rsid w:val="00741467"/>
    <w:rsid w:val="00742216"/>
    <w:rsid w:val="007422AB"/>
    <w:rsid w:val="00742417"/>
    <w:rsid w:val="0074260F"/>
    <w:rsid w:val="007428D8"/>
    <w:rsid w:val="00742AE2"/>
    <w:rsid w:val="0074397D"/>
    <w:rsid w:val="00743B18"/>
    <w:rsid w:val="00743E05"/>
    <w:rsid w:val="00744193"/>
    <w:rsid w:val="00744620"/>
    <w:rsid w:val="0074519C"/>
    <w:rsid w:val="007458D1"/>
    <w:rsid w:val="00745B47"/>
    <w:rsid w:val="00745CCF"/>
    <w:rsid w:val="00745CD6"/>
    <w:rsid w:val="00746208"/>
    <w:rsid w:val="00746507"/>
    <w:rsid w:val="007467AB"/>
    <w:rsid w:val="00746FF0"/>
    <w:rsid w:val="007473EF"/>
    <w:rsid w:val="007476BB"/>
    <w:rsid w:val="00747D0E"/>
    <w:rsid w:val="00747FD2"/>
    <w:rsid w:val="00750296"/>
    <w:rsid w:val="00750346"/>
    <w:rsid w:val="007508BD"/>
    <w:rsid w:val="007509E9"/>
    <w:rsid w:val="00750D4D"/>
    <w:rsid w:val="007513C5"/>
    <w:rsid w:val="00751AD1"/>
    <w:rsid w:val="00751B95"/>
    <w:rsid w:val="00751ECF"/>
    <w:rsid w:val="00752BAC"/>
    <w:rsid w:val="00753026"/>
    <w:rsid w:val="00753362"/>
    <w:rsid w:val="0075376E"/>
    <w:rsid w:val="00753D58"/>
    <w:rsid w:val="00754169"/>
    <w:rsid w:val="007544A4"/>
    <w:rsid w:val="007547C3"/>
    <w:rsid w:val="00754C53"/>
    <w:rsid w:val="00755248"/>
    <w:rsid w:val="00755435"/>
    <w:rsid w:val="0075558E"/>
    <w:rsid w:val="00756013"/>
    <w:rsid w:val="00756456"/>
    <w:rsid w:val="0075657F"/>
    <w:rsid w:val="00756625"/>
    <w:rsid w:val="007568DC"/>
    <w:rsid w:val="007568FC"/>
    <w:rsid w:val="00756DF9"/>
    <w:rsid w:val="00757064"/>
    <w:rsid w:val="0075752F"/>
    <w:rsid w:val="007576E2"/>
    <w:rsid w:val="007577FB"/>
    <w:rsid w:val="00757B69"/>
    <w:rsid w:val="00757D68"/>
    <w:rsid w:val="007605D9"/>
    <w:rsid w:val="007613B5"/>
    <w:rsid w:val="007615EB"/>
    <w:rsid w:val="0076205E"/>
    <w:rsid w:val="007622CE"/>
    <w:rsid w:val="00762628"/>
    <w:rsid w:val="00762E38"/>
    <w:rsid w:val="0076382A"/>
    <w:rsid w:val="00763B76"/>
    <w:rsid w:val="00763D3C"/>
    <w:rsid w:val="00764DB5"/>
    <w:rsid w:val="00765417"/>
    <w:rsid w:val="00765D32"/>
    <w:rsid w:val="00765F60"/>
    <w:rsid w:val="00766DAF"/>
    <w:rsid w:val="00766DD8"/>
    <w:rsid w:val="00767221"/>
    <w:rsid w:val="0076767F"/>
    <w:rsid w:val="007676CE"/>
    <w:rsid w:val="00767BD0"/>
    <w:rsid w:val="00767C06"/>
    <w:rsid w:val="00767F0D"/>
    <w:rsid w:val="00770530"/>
    <w:rsid w:val="00770F27"/>
    <w:rsid w:val="0077114F"/>
    <w:rsid w:val="00771572"/>
    <w:rsid w:val="0077275F"/>
    <w:rsid w:val="00772ADC"/>
    <w:rsid w:val="00772CC9"/>
    <w:rsid w:val="00772D04"/>
    <w:rsid w:val="007737D6"/>
    <w:rsid w:val="0077388C"/>
    <w:rsid w:val="00774095"/>
    <w:rsid w:val="00774107"/>
    <w:rsid w:val="007744FC"/>
    <w:rsid w:val="00774B7D"/>
    <w:rsid w:val="00774DC0"/>
    <w:rsid w:val="0077631B"/>
    <w:rsid w:val="00776364"/>
    <w:rsid w:val="007768CA"/>
    <w:rsid w:val="00776A7D"/>
    <w:rsid w:val="00776DEC"/>
    <w:rsid w:val="00777053"/>
    <w:rsid w:val="007772F6"/>
    <w:rsid w:val="007774AE"/>
    <w:rsid w:val="00780516"/>
    <w:rsid w:val="007814D5"/>
    <w:rsid w:val="00781AB5"/>
    <w:rsid w:val="00781B9A"/>
    <w:rsid w:val="00781C83"/>
    <w:rsid w:val="00781D28"/>
    <w:rsid w:val="00781F37"/>
    <w:rsid w:val="00782075"/>
    <w:rsid w:val="00782079"/>
    <w:rsid w:val="00782433"/>
    <w:rsid w:val="0078262B"/>
    <w:rsid w:val="007827A9"/>
    <w:rsid w:val="007828BD"/>
    <w:rsid w:val="007829CE"/>
    <w:rsid w:val="00782BD9"/>
    <w:rsid w:val="007830D0"/>
    <w:rsid w:val="0078312B"/>
    <w:rsid w:val="00783C73"/>
    <w:rsid w:val="00783DD7"/>
    <w:rsid w:val="00783EB3"/>
    <w:rsid w:val="00784161"/>
    <w:rsid w:val="0078494C"/>
    <w:rsid w:val="00784CEF"/>
    <w:rsid w:val="007854AC"/>
    <w:rsid w:val="007855A5"/>
    <w:rsid w:val="007855F3"/>
    <w:rsid w:val="0078581F"/>
    <w:rsid w:val="00785B65"/>
    <w:rsid w:val="007860D3"/>
    <w:rsid w:val="00786218"/>
    <w:rsid w:val="007869DF"/>
    <w:rsid w:val="00787424"/>
    <w:rsid w:val="00787674"/>
    <w:rsid w:val="007876C0"/>
    <w:rsid w:val="00787703"/>
    <w:rsid w:val="00787BFA"/>
    <w:rsid w:val="007900F0"/>
    <w:rsid w:val="007901DD"/>
    <w:rsid w:val="00790A57"/>
    <w:rsid w:val="00790DE3"/>
    <w:rsid w:val="00790E3B"/>
    <w:rsid w:val="00791272"/>
    <w:rsid w:val="007915F3"/>
    <w:rsid w:val="00791E92"/>
    <w:rsid w:val="007922D1"/>
    <w:rsid w:val="00792951"/>
    <w:rsid w:val="00792A0D"/>
    <w:rsid w:val="00792AC4"/>
    <w:rsid w:val="007931F7"/>
    <w:rsid w:val="007934AF"/>
    <w:rsid w:val="00793A2B"/>
    <w:rsid w:val="00793CD0"/>
    <w:rsid w:val="00793FF6"/>
    <w:rsid w:val="00794151"/>
    <w:rsid w:val="00794389"/>
    <w:rsid w:val="007946C9"/>
    <w:rsid w:val="00794DEB"/>
    <w:rsid w:val="00794E61"/>
    <w:rsid w:val="007955FF"/>
    <w:rsid w:val="00795A1B"/>
    <w:rsid w:val="00795A7F"/>
    <w:rsid w:val="00795DA7"/>
    <w:rsid w:val="007964F6"/>
    <w:rsid w:val="00796CF1"/>
    <w:rsid w:val="007A06C8"/>
    <w:rsid w:val="007A09EF"/>
    <w:rsid w:val="007A0E47"/>
    <w:rsid w:val="007A10CE"/>
    <w:rsid w:val="007A125C"/>
    <w:rsid w:val="007A16B3"/>
    <w:rsid w:val="007A1DA8"/>
    <w:rsid w:val="007A2399"/>
    <w:rsid w:val="007A2A6E"/>
    <w:rsid w:val="007A2A86"/>
    <w:rsid w:val="007A2F04"/>
    <w:rsid w:val="007A31FF"/>
    <w:rsid w:val="007A3EAE"/>
    <w:rsid w:val="007A42E2"/>
    <w:rsid w:val="007A48AB"/>
    <w:rsid w:val="007A4D21"/>
    <w:rsid w:val="007A4DCD"/>
    <w:rsid w:val="007A4EB8"/>
    <w:rsid w:val="007A5249"/>
    <w:rsid w:val="007A53BC"/>
    <w:rsid w:val="007A5747"/>
    <w:rsid w:val="007A5941"/>
    <w:rsid w:val="007A65E1"/>
    <w:rsid w:val="007A7415"/>
    <w:rsid w:val="007A7480"/>
    <w:rsid w:val="007A78FD"/>
    <w:rsid w:val="007B165C"/>
    <w:rsid w:val="007B2302"/>
    <w:rsid w:val="007B2CB4"/>
    <w:rsid w:val="007B300E"/>
    <w:rsid w:val="007B34D8"/>
    <w:rsid w:val="007B3683"/>
    <w:rsid w:val="007B44B7"/>
    <w:rsid w:val="007B45E5"/>
    <w:rsid w:val="007B469D"/>
    <w:rsid w:val="007B53A4"/>
    <w:rsid w:val="007B56E9"/>
    <w:rsid w:val="007B587B"/>
    <w:rsid w:val="007B5DEA"/>
    <w:rsid w:val="007B6122"/>
    <w:rsid w:val="007B6144"/>
    <w:rsid w:val="007B663F"/>
    <w:rsid w:val="007B6798"/>
    <w:rsid w:val="007B6CAC"/>
    <w:rsid w:val="007B76F4"/>
    <w:rsid w:val="007B78BD"/>
    <w:rsid w:val="007B7A5C"/>
    <w:rsid w:val="007B7B8F"/>
    <w:rsid w:val="007C0311"/>
    <w:rsid w:val="007C03B4"/>
    <w:rsid w:val="007C11EC"/>
    <w:rsid w:val="007C17ED"/>
    <w:rsid w:val="007C217A"/>
    <w:rsid w:val="007C2CC2"/>
    <w:rsid w:val="007C3F2D"/>
    <w:rsid w:val="007C42F8"/>
    <w:rsid w:val="007C462D"/>
    <w:rsid w:val="007C4D39"/>
    <w:rsid w:val="007C505B"/>
    <w:rsid w:val="007C50D6"/>
    <w:rsid w:val="007C56DF"/>
    <w:rsid w:val="007C5DFE"/>
    <w:rsid w:val="007C5FD4"/>
    <w:rsid w:val="007C654F"/>
    <w:rsid w:val="007C720F"/>
    <w:rsid w:val="007C74A4"/>
    <w:rsid w:val="007D02A8"/>
    <w:rsid w:val="007D0996"/>
    <w:rsid w:val="007D0AE2"/>
    <w:rsid w:val="007D0C71"/>
    <w:rsid w:val="007D119D"/>
    <w:rsid w:val="007D1A44"/>
    <w:rsid w:val="007D1AFB"/>
    <w:rsid w:val="007D1C90"/>
    <w:rsid w:val="007D1C91"/>
    <w:rsid w:val="007D1F2A"/>
    <w:rsid w:val="007D208A"/>
    <w:rsid w:val="007D21FA"/>
    <w:rsid w:val="007D27F6"/>
    <w:rsid w:val="007D36A0"/>
    <w:rsid w:val="007D391E"/>
    <w:rsid w:val="007D3CAD"/>
    <w:rsid w:val="007D4BCD"/>
    <w:rsid w:val="007D53A2"/>
    <w:rsid w:val="007D687B"/>
    <w:rsid w:val="007D6B89"/>
    <w:rsid w:val="007D7265"/>
    <w:rsid w:val="007D7F23"/>
    <w:rsid w:val="007E05BF"/>
    <w:rsid w:val="007E06DD"/>
    <w:rsid w:val="007E07AA"/>
    <w:rsid w:val="007E0BB1"/>
    <w:rsid w:val="007E21BE"/>
    <w:rsid w:val="007E21FE"/>
    <w:rsid w:val="007E2302"/>
    <w:rsid w:val="007E23DC"/>
    <w:rsid w:val="007E2A23"/>
    <w:rsid w:val="007E2F1D"/>
    <w:rsid w:val="007E32E8"/>
    <w:rsid w:val="007E35C1"/>
    <w:rsid w:val="007E37E9"/>
    <w:rsid w:val="007E3876"/>
    <w:rsid w:val="007E3989"/>
    <w:rsid w:val="007E3AD6"/>
    <w:rsid w:val="007E3B0F"/>
    <w:rsid w:val="007E3C39"/>
    <w:rsid w:val="007E441E"/>
    <w:rsid w:val="007E4536"/>
    <w:rsid w:val="007E4B45"/>
    <w:rsid w:val="007E5867"/>
    <w:rsid w:val="007E5CD1"/>
    <w:rsid w:val="007E63CF"/>
    <w:rsid w:val="007E6812"/>
    <w:rsid w:val="007E6AD5"/>
    <w:rsid w:val="007E751C"/>
    <w:rsid w:val="007E7AFF"/>
    <w:rsid w:val="007E7ED4"/>
    <w:rsid w:val="007F0237"/>
    <w:rsid w:val="007F0268"/>
    <w:rsid w:val="007F03F1"/>
    <w:rsid w:val="007F0888"/>
    <w:rsid w:val="007F0977"/>
    <w:rsid w:val="007F0BD3"/>
    <w:rsid w:val="007F0FD5"/>
    <w:rsid w:val="007F104B"/>
    <w:rsid w:val="007F140E"/>
    <w:rsid w:val="007F19FD"/>
    <w:rsid w:val="007F25AB"/>
    <w:rsid w:val="007F2D39"/>
    <w:rsid w:val="007F3543"/>
    <w:rsid w:val="007F3E88"/>
    <w:rsid w:val="007F40EC"/>
    <w:rsid w:val="007F4984"/>
    <w:rsid w:val="007F4A60"/>
    <w:rsid w:val="007F4D47"/>
    <w:rsid w:val="007F5887"/>
    <w:rsid w:val="007F6839"/>
    <w:rsid w:val="007F6D1E"/>
    <w:rsid w:val="007F71AE"/>
    <w:rsid w:val="007F7A72"/>
    <w:rsid w:val="007F7CA4"/>
    <w:rsid w:val="007F7EB8"/>
    <w:rsid w:val="00800263"/>
    <w:rsid w:val="00800926"/>
    <w:rsid w:val="00800E91"/>
    <w:rsid w:val="00801E4E"/>
    <w:rsid w:val="008023F4"/>
    <w:rsid w:val="00802646"/>
    <w:rsid w:val="00802E06"/>
    <w:rsid w:val="008032DB"/>
    <w:rsid w:val="008038DB"/>
    <w:rsid w:val="00803C6A"/>
    <w:rsid w:val="008042AD"/>
    <w:rsid w:val="008052F2"/>
    <w:rsid w:val="00805544"/>
    <w:rsid w:val="00805859"/>
    <w:rsid w:val="008059AA"/>
    <w:rsid w:val="00805F06"/>
    <w:rsid w:val="008066E0"/>
    <w:rsid w:val="0080673D"/>
    <w:rsid w:val="008067A6"/>
    <w:rsid w:val="0080687F"/>
    <w:rsid w:val="00806D6E"/>
    <w:rsid w:val="0080711A"/>
    <w:rsid w:val="008079B2"/>
    <w:rsid w:val="008100A9"/>
    <w:rsid w:val="008100BC"/>
    <w:rsid w:val="00810227"/>
    <w:rsid w:val="00810271"/>
    <w:rsid w:val="00810489"/>
    <w:rsid w:val="00810A3F"/>
    <w:rsid w:val="00810B43"/>
    <w:rsid w:val="00810B8C"/>
    <w:rsid w:val="00810D37"/>
    <w:rsid w:val="00810EA7"/>
    <w:rsid w:val="00810F81"/>
    <w:rsid w:val="0081148E"/>
    <w:rsid w:val="0081156C"/>
    <w:rsid w:val="00811895"/>
    <w:rsid w:val="00811A49"/>
    <w:rsid w:val="00811B37"/>
    <w:rsid w:val="00812322"/>
    <w:rsid w:val="0081272C"/>
    <w:rsid w:val="008128D9"/>
    <w:rsid w:val="008131D7"/>
    <w:rsid w:val="00813230"/>
    <w:rsid w:val="0081339B"/>
    <w:rsid w:val="008147F9"/>
    <w:rsid w:val="008148F7"/>
    <w:rsid w:val="00814AF9"/>
    <w:rsid w:val="0081595F"/>
    <w:rsid w:val="00815A3B"/>
    <w:rsid w:val="00815B2E"/>
    <w:rsid w:val="00815DB1"/>
    <w:rsid w:val="0081682E"/>
    <w:rsid w:val="008174AC"/>
    <w:rsid w:val="00817933"/>
    <w:rsid w:val="00820751"/>
    <w:rsid w:val="00820946"/>
    <w:rsid w:val="0082095C"/>
    <w:rsid w:val="00820D1F"/>
    <w:rsid w:val="008210B5"/>
    <w:rsid w:val="00821344"/>
    <w:rsid w:val="00821589"/>
    <w:rsid w:val="008215D6"/>
    <w:rsid w:val="00821751"/>
    <w:rsid w:val="00821D20"/>
    <w:rsid w:val="00821D69"/>
    <w:rsid w:val="00821F3C"/>
    <w:rsid w:val="008221B5"/>
    <w:rsid w:val="008225DB"/>
    <w:rsid w:val="00822ECE"/>
    <w:rsid w:val="00822FE6"/>
    <w:rsid w:val="00823043"/>
    <w:rsid w:val="00823894"/>
    <w:rsid w:val="0082416E"/>
    <w:rsid w:val="0082434A"/>
    <w:rsid w:val="008244AD"/>
    <w:rsid w:val="008245EA"/>
    <w:rsid w:val="00824AF4"/>
    <w:rsid w:val="00824E15"/>
    <w:rsid w:val="00825233"/>
    <w:rsid w:val="0082566A"/>
    <w:rsid w:val="0082574A"/>
    <w:rsid w:val="00826281"/>
    <w:rsid w:val="008265D1"/>
    <w:rsid w:val="00826608"/>
    <w:rsid w:val="00826974"/>
    <w:rsid w:val="00827033"/>
    <w:rsid w:val="008273D1"/>
    <w:rsid w:val="0082783A"/>
    <w:rsid w:val="0082788F"/>
    <w:rsid w:val="00827FD8"/>
    <w:rsid w:val="0083065A"/>
    <w:rsid w:val="008310DE"/>
    <w:rsid w:val="00831146"/>
    <w:rsid w:val="008315A6"/>
    <w:rsid w:val="00831EE6"/>
    <w:rsid w:val="008327FC"/>
    <w:rsid w:val="00832A92"/>
    <w:rsid w:val="00832CF1"/>
    <w:rsid w:val="00832DA8"/>
    <w:rsid w:val="0083351A"/>
    <w:rsid w:val="0083375A"/>
    <w:rsid w:val="00833A86"/>
    <w:rsid w:val="00833BC8"/>
    <w:rsid w:val="00833CC7"/>
    <w:rsid w:val="00833D98"/>
    <w:rsid w:val="00833E93"/>
    <w:rsid w:val="0083420C"/>
    <w:rsid w:val="008345AD"/>
    <w:rsid w:val="00834794"/>
    <w:rsid w:val="00834C6F"/>
    <w:rsid w:val="00835468"/>
    <w:rsid w:val="0083566E"/>
    <w:rsid w:val="008356D6"/>
    <w:rsid w:val="0083612E"/>
    <w:rsid w:val="00836830"/>
    <w:rsid w:val="00836AD6"/>
    <w:rsid w:val="00836CBB"/>
    <w:rsid w:val="00836EC8"/>
    <w:rsid w:val="0083724D"/>
    <w:rsid w:val="008376E6"/>
    <w:rsid w:val="008376EA"/>
    <w:rsid w:val="008401CA"/>
    <w:rsid w:val="00840525"/>
    <w:rsid w:val="00840BCE"/>
    <w:rsid w:val="00840CA0"/>
    <w:rsid w:val="008410F1"/>
    <w:rsid w:val="008413FC"/>
    <w:rsid w:val="008418CA"/>
    <w:rsid w:val="00841D39"/>
    <w:rsid w:val="008422AE"/>
    <w:rsid w:val="008423D1"/>
    <w:rsid w:val="008428F9"/>
    <w:rsid w:val="008429E3"/>
    <w:rsid w:val="008433E2"/>
    <w:rsid w:val="00843696"/>
    <w:rsid w:val="008437A0"/>
    <w:rsid w:val="008438FE"/>
    <w:rsid w:val="008439A9"/>
    <w:rsid w:val="00843C7E"/>
    <w:rsid w:val="00844124"/>
    <w:rsid w:val="008458A4"/>
    <w:rsid w:val="00845B4C"/>
    <w:rsid w:val="00845C55"/>
    <w:rsid w:val="00845D3F"/>
    <w:rsid w:val="008463EC"/>
    <w:rsid w:val="008469A3"/>
    <w:rsid w:val="00850089"/>
    <w:rsid w:val="00850920"/>
    <w:rsid w:val="00850E32"/>
    <w:rsid w:val="00851552"/>
    <w:rsid w:val="0085192E"/>
    <w:rsid w:val="00851B58"/>
    <w:rsid w:val="00851B7B"/>
    <w:rsid w:val="00851DB9"/>
    <w:rsid w:val="00852009"/>
    <w:rsid w:val="00852719"/>
    <w:rsid w:val="0085296C"/>
    <w:rsid w:val="00852BC5"/>
    <w:rsid w:val="00852BF7"/>
    <w:rsid w:val="008530B0"/>
    <w:rsid w:val="008533A9"/>
    <w:rsid w:val="008533CD"/>
    <w:rsid w:val="00853A9E"/>
    <w:rsid w:val="00853EF4"/>
    <w:rsid w:val="0085435B"/>
    <w:rsid w:val="00854CCA"/>
    <w:rsid w:val="0085513F"/>
    <w:rsid w:val="0085537A"/>
    <w:rsid w:val="00855C17"/>
    <w:rsid w:val="00856189"/>
    <w:rsid w:val="00856FC8"/>
    <w:rsid w:val="00857360"/>
    <w:rsid w:val="008577FC"/>
    <w:rsid w:val="00857DEB"/>
    <w:rsid w:val="0086092E"/>
    <w:rsid w:val="00860EC5"/>
    <w:rsid w:val="0086172D"/>
    <w:rsid w:val="00861840"/>
    <w:rsid w:val="00861A09"/>
    <w:rsid w:val="00861D6B"/>
    <w:rsid w:val="00861FC0"/>
    <w:rsid w:val="0086280C"/>
    <w:rsid w:val="00862A99"/>
    <w:rsid w:val="00862A9F"/>
    <w:rsid w:val="00862EA9"/>
    <w:rsid w:val="0086312A"/>
    <w:rsid w:val="0086332D"/>
    <w:rsid w:val="0086371A"/>
    <w:rsid w:val="0086392B"/>
    <w:rsid w:val="008639DE"/>
    <w:rsid w:val="00863B6E"/>
    <w:rsid w:val="00863D59"/>
    <w:rsid w:val="00863EF6"/>
    <w:rsid w:val="0086422F"/>
    <w:rsid w:val="00864369"/>
    <w:rsid w:val="00864544"/>
    <w:rsid w:val="008648C5"/>
    <w:rsid w:val="00865411"/>
    <w:rsid w:val="00865840"/>
    <w:rsid w:val="00865AD6"/>
    <w:rsid w:val="00865B75"/>
    <w:rsid w:val="00865CC5"/>
    <w:rsid w:val="00865D01"/>
    <w:rsid w:val="00865D26"/>
    <w:rsid w:val="0086654D"/>
    <w:rsid w:val="00866B54"/>
    <w:rsid w:val="00866BAC"/>
    <w:rsid w:val="00866FF6"/>
    <w:rsid w:val="0086733B"/>
    <w:rsid w:val="00867B51"/>
    <w:rsid w:val="00867C15"/>
    <w:rsid w:val="00867F7C"/>
    <w:rsid w:val="008706AD"/>
    <w:rsid w:val="00870849"/>
    <w:rsid w:val="00870D18"/>
    <w:rsid w:val="00871599"/>
    <w:rsid w:val="008722B4"/>
    <w:rsid w:val="008722E6"/>
    <w:rsid w:val="00872763"/>
    <w:rsid w:val="008729FE"/>
    <w:rsid w:val="00872BC2"/>
    <w:rsid w:val="00872EE6"/>
    <w:rsid w:val="0087356D"/>
    <w:rsid w:val="00873EAD"/>
    <w:rsid w:val="00873F78"/>
    <w:rsid w:val="00874137"/>
    <w:rsid w:val="008748D9"/>
    <w:rsid w:val="008752A4"/>
    <w:rsid w:val="008756FA"/>
    <w:rsid w:val="00875DDB"/>
    <w:rsid w:val="00876A05"/>
    <w:rsid w:val="00876AB2"/>
    <w:rsid w:val="008772EB"/>
    <w:rsid w:val="008776AF"/>
    <w:rsid w:val="00877A0C"/>
    <w:rsid w:val="00880868"/>
    <w:rsid w:val="008809EB"/>
    <w:rsid w:val="008809F0"/>
    <w:rsid w:val="00880EA1"/>
    <w:rsid w:val="008812EE"/>
    <w:rsid w:val="008813AC"/>
    <w:rsid w:val="008816BB"/>
    <w:rsid w:val="00881A19"/>
    <w:rsid w:val="00881F65"/>
    <w:rsid w:val="008822B3"/>
    <w:rsid w:val="008823B0"/>
    <w:rsid w:val="00882486"/>
    <w:rsid w:val="008826B3"/>
    <w:rsid w:val="00882A1E"/>
    <w:rsid w:val="00882B04"/>
    <w:rsid w:val="00882B75"/>
    <w:rsid w:val="00882C3E"/>
    <w:rsid w:val="00882C99"/>
    <w:rsid w:val="00883795"/>
    <w:rsid w:val="008838D4"/>
    <w:rsid w:val="008839FB"/>
    <w:rsid w:val="00883AFC"/>
    <w:rsid w:val="00883F48"/>
    <w:rsid w:val="00884671"/>
    <w:rsid w:val="0088484B"/>
    <w:rsid w:val="008851DE"/>
    <w:rsid w:val="008856AB"/>
    <w:rsid w:val="00886265"/>
    <w:rsid w:val="00886304"/>
    <w:rsid w:val="00886484"/>
    <w:rsid w:val="008867A9"/>
    <w:rsid w:val="00886874"/>
    <w:rsid w:val="00886965"/>
    <w:rsid w:val="00886B4C"/>
    <w:rsid w:val="00886D8B"/>
    <w:rsid w:val="008901D6"/>
    <w:rsid w:val="00890237"/>
    <w:rsid w:val="0089077A"/>
    <w:rsid w:val="008909F9"/>
    <w:rsid w:val="00890A35"/>
    <w:rsid w:val="00890D8D"/>
    <w:rsid w:val="00890EB5"/>
    <w:rsid w:val="00891189"/>
    <w:rsid w:val="00891250"/>
    <w:rsid w:val="0089151B"/>
    <w:rsid w:val="00891743"/>
    <w:rsid w:val="00891C60"/>
    <w:rsid w:val="0089253A"/>
    <w:rsid w:val="0089279D"/>
    <w:rsid w:val="00892EF8"/>
    <w:rsid w:val="00893626"/>
    <w:rsid w:val="008936AA"/>
    <w:rsid w:val="00893B29"/>
    <w:rsid w:val="00893E80"/>
    <w:rsid w:val="00894550"/>
    <w:rsid w:val="008947B3"/>
    <w:rsid w:val="00894961"/>
    <w:rsid w:val="00894988"/>
    <w:rsid w:val="008949BD"/>
    <w:rsid w:val="00894A8B"/>
    <w:rsid w:val="008951E9"/>
    <w:rsid w:val="008953B4"/>
    <w:rsid w:val="00895A81"/>
    <w:rsid w:val="00896244"/>
    <w:rsid w:val="00896576"/>
    <w:rsid w:val="008967AE"/>
    <w:rsid w:val="00896838"/>
    <w:rsid w:val="00896929"/>
    <w:rsid w:val="00896B48"/>
    <w:rsid w:val="00896FCE"/>
    <w:rsid w:val="00897607"/>
    <w:rsid w:val="00897C41"/>
    <w:rsid w:val="00897D46"/>
    <w:rsid w:val="008A0148"/>
    <w:rsid w:val="008A03BE"/>
    <w:rsid w:val="008A03DC"/>
    <w:rsid w:val="008A03F4"/>
    <w:rsid w:val="008A06F1"/>
    <w:rsid w:val="008A0A2D"/>
    <w:rsid w:val="008A126B"/>
    <w:rsid w:val="008A12BA"/>
    <w:rsid w:val="008A1444"/>
    <w:rsid w:val="008A1494"/>
    <w:rsid w:val="008A1530"/>
    <w:rsid w:val="008A19F4"/>
    <w:rsid w:val="008A1AD7"/>
    <w:rsid w:val="008A38D7"/>
    <w:rsid w:val="008A3A5D"/>
    <w:rsid w:val="008A3D0F"/>
    <w:rsid w:val="008A3DFF"/>
    <w:rsid w:val="008A4016"/>
    <w:rsid w:val="008A43C5"/>
    <w:rsid w:val="008A4504"/>
    <w:rsid w:val="008A4F84"/>
    <w:rsid w:val="008A5541"/>
    <w:rsid w:val="008A58B2"/>
    <w:rsid w:val="008A5C97"/>
    <w:rsid w:val="008A5CC0"/>
    <w:rsid w:val="008A63E8"/>
    <w:rsid w:val="008A6826"/>
    <w:rsid w:val="008A69C3"/>
    <w:rsid w:val="008A7C88"/>
    <w:rsid w:val="008A7D3F"/>
    <w:rsid w:val="008B003B"/>
    <w:rsid w:val="008B00B6"/>
    <w:rsid w:val="008B044B"/>
    <w:rsid w:val="008B0532"/>
    <w:rsid w:val="008B05FD"/>
    <w:rsid w:val="008B06B6"/>
    <w:rsid w:val="008B0736"/>
    <w:rsid w:val="008B10BC"/>
    <w:rsid w:val="008B10DB"/>
    <w:rsid w:val="008B124F"/>
    <w:rsid w:val="008B1370"/>
    <w:rsid w:val="008B18C6"/>
    <w:rsid w:val="008B20E9"/>
    <w:rsid w:val="008B2268"/>
    <w:rsid w:val="008B22F8"/>
    <w:rsid w:val="008B238D"/>
    <w:rsid w:val="008B2D46"/>
    <w:rsid w:val="008B3B8C"/>
    <w:rsid w:val="008B3D57"/>
    <w:rsid w:val="008B427D"/>
    <w:rsid w:val="008B504A"/>
    <w:rsid w:val="008B523F"/>
    <w:rsid w:val="008B617F"/>
    <w:rsid w:val="008B654E"/>
    <w:rsid w:val="008B6A80"/>
    <w:rsid w:val="008B6AEC"/>
    <w:rsid w:val="008B743C"/>
    <w:rsid w:val="008B771D"/>
    <w:rsid w:val="008B77EE"/>
    <w:rsid w:val="008B7919"/>
    <w:rsid w:val="008B7AEF"/>
    <w:rsid w:val="008B7E96"/>
    <w:rsid w:val="008C00D0"/>
    <w:rsid w:val="008C0380"/>
    <w:rsid w:val="008C0473"/>
    <w:rsid w:val="008C04A2"/>
    <w:rsid w:val="008C05EB"/>
    <w:rsid w:val="008C0B1E"/>
    <w:rsid w:val="008C0B49"/>
    <w:rsid w:val="008C0E95"/>
    <w:rsid w:val="008C112E"/>
    <w:rsid w:val="008C1910"/>
    <w:rsid w:val="008C1B7B"/>
    <w:rsid w:val="008C2804"/>
    <w:rsid w:val="008C2ADD"/>
    <w:rsid w:val="008C2B0D"/>
    <w:rsid w:val="008C2DA0"/>
    <w:rsid w:val="008C2E93"/>
    <w:rsid w:val="008C3428"/>
    <w:rsid w:val="008C39D0"/>
    <w:rsid w:val="008C3BDE"/>
    <w:rsid w:val="008C3D0A"/>
    <w:rsid w:val="008C46D4"/>
    <w:rsid w:val="008C499A"/>
    <w:rsid w:val="008C5407"/>
    <w:rsid w:val="008C67E5"/>
    <w:rsid w:val="008C7898"/>
    <w:rsid w:val="008C7B1A"/>
    <w:rsid w:val="008C7C1A"/>
    <w:rsid w:val="008D0C63"/>
    <w:rsid w:val="008D1092"/>
    <w:rsid w:val="008D145D"/>
    <w:rsid w:val="008D1756"/>
    <w:rsid w:val="008D1DF0"/>
    <w:rsid w:val="008D2452"/>
    <w:rsid w:val="008D24BA"/>
    <w:rsid w:val="008D24CE"/>
    <w:rsid w:val="008D27DF"/>
    <w:rsid w:val="008D2CDC"/>
    <w:rsid w:val="008D3063"/>
    <w:rsid w:val="008D478C"/>
    <w:rsid w:val="008D53DA"/>
    <w:rsid w:val="008D5E46"/>
    <w:rsid w:val="008D6A7F"/>
    <w:rsid w:val="008D6CED"/>
    <w:rsid w:val="008D6D7B"/>
    <w:rsid w:val="008D71F5"/>
    <w:rsid w:val="008D7765"/>
    <w:rsid w:val="008D7793"/>
    <w:rsid w:val="008D77CF"/>
    <w:rsid w:val="008D7980"/>
    <w:rsid w:val="008D79AF"/>
    <w:rsid w:val="008D7A73"/>
    <w:rsid w:val="008D7AAD"/>
    <w:rsid w:val="008D7DB7"/>
    <w:rsid w:val="008D7EF7"/>
    <w:rsid w:val="008D7FAA"/>
    <w:rsid w:val="008E00D0"/>
    <w:rsid w:val="008E0EFC"/>
    <w:rsid w:val="008E183A"/>
    <w:rsid w:val="008E1B5A"/>
    <w:rsid w:val="008E2BE0"/>
    <w:rsid w:val="008E3760"/>
    <w:rsid w:val="008E3819"/>
    <w:rsid w:val="008E480B"/>
    <w:rsid w:val="008E49C8"/>
    <w:rsid w:val="008E565F"/>
    <w:rsid w:val="008E5C39"/>
    <w:rsid w:val="008E6610"/>
    <w:rsid w:val="008E66C2"/>
    <w:rsid w:val="008E68A3"/>
    <w:rsid w:val="008E718A"/>
    <w:rsid w:val="008E757C"/>
    <w:rsid w:val="008E7D8A"/>
    <w:rsid w:val="008F0617"/>
    <w:rsid w:val="008F06F5"/>
    <w:rsid w:val="008F0A4D"/>
    <w:rsid w:val="008F0C05"/>
    <w:rsid w:val="008F0C25"/>
    <w:rsid w:val="008F0CA6"/>
    <w:rsid w:val="008F0E03"/>
    <w:rsid w:val="008F1231"/>
    <w:rsid w:val="008F182F"/>
    <w:rsid w:val="008F1CF7"/>
    <w:rsid w:val="008F1ED5"/>
    <w:rsid w:val="008F1F67"/>
    <w:rsid w:val="008F2367"/>
    <w:rsid w:val="008F2531"/>
    <w:rsid w:val="008F273D"/>
    <w:rsid w:val="008F3037"/>
    <w:rsid w:val="008F30D5"/>
    <w:rsid w:val="008F3172"/>
    <w:rsid w:val="008F32ED"/>
    <w:rsid w:val="008F521A"/>
    <w:rsid w:val="008F53AE"/>
    <w:rsid w:val="008F5566"/>
    <w:rsid w:val="008F586B"/>
    <w:rsid w:val="008F5EB9"/>
    <w:rsid w:val="008F6116"/>
    <w:rsid w:val="008F62B1"/>
    <w:rsid w:val="008F63E8"/>
    <w:rsid w:val="008F684A"/>
    <w:rsid w:val="008F6AD7"/>
    <w:rsid w:val="008F6FE3"/>
    <w:rsid w:val="008F738F"/>
    <w:rsid w:val="008F73CA"/>
    <w:rsid w:val="008F7791"/>
    <w:rsid w:val="008F7868"/>
    <w:rsid w:val="008F78F2"/>
    <w:rsid w:val="00901067"/>
    <w:rsid w:val="00901A9A"/>
    <w:rsid w:val="009021FA"/>
    <w:rsid w:val="009024BC"/>
    <w:rsid w:val="0090264C"/>
    <w:rsid w:val="0090276A"/>
    <w:rsid w:val="00902B6D"/>
    <w:rsid w:val="009030BA"/>
    <w:rsid w:val="009033E6"/>
    <w:rsid w:val="009035D7"/>
    <w:rsid w:val="009035E6"/>
    <w:rsid w:val="00903ECD"/>
    <w:rsid w:val="0090510E"/>
    <w:rsid w:val="009051D9"/>
    <w:rsid w:val="00905A26"/>
    <w:rsid w:val="00905D97"/>
    <w:rsid w:val="009065B2"/>
    <w:rsid w:val="009066AE"/>
    <w:rsid w:val="009066B4"/>
    <w:rsid w:val="009066D0"/>
    <w:rsid w:val="009068B8"/>
    <w:rsid w:val="00907A19"/>
    <w:rsid w:val="00907DEE"/>
    <w:rsid w:val="009112DA"/>
    <w:rsid w:val="009114BD"/>
    <w:rsid w:val="009122BE"/>
    <w:rsid w:val="00912AB5"/>
    <w:rsid w:val="00912EA4"/>
    <w:rsid w:val="009134B0"/>
    <w:rsid w:val="00914DCB"/>
    <w:rsid w:val="00915738"/>
    <w:rsid w:val="009157AB"/>
    <w:rsid w:val="0091595C"/>
    <w:rsid w:val="00915A7B"/>
    <w:rsid w:val="009163C4"/>
    <w:rsid w:val="00916595"/>
    <w:rsid w:val="00916DCD"/>
    <w:rsid w:val="00916F4E"/>
    <w:rsid w:val="00917137"/>
    <w:rsid w:val="009175A0"/>
    <w:rsid w:val="00917D49"/>
    <w:rsid w:val="00917D8C"/>
    <w:rsid w:val="00920855"/>
    <w:rsid w:val="009209F3"/>
    <w:rsid w:val="0092172C"/>
    <w:rsid w:val="00921CDB"/>
    <w:rsid w:val="00921D98"/>
    <w:rsid w:val="00922366"/>
    <w:rsid w:val="00922ED3"/>
    <w:rsid w:val="00923049"/>
    <w:rsid w:val="009230BC"/>
    <w:rsid w:val="009231F9"/>
    <w:rsid w:val="00923736"/>
    <w:rsid w:val="009244AC"/>
    <w:rsid w:val="00924A04"/>
    <w:rsid w:val="00924AD4"/>
    <w:rsid w:val="00925913"/>
    <w:rsid w:val="00925A9D"/>
    <w:rsid w:val="009262E4"/>
    <w:rsid w:val="009262EE"/>
    <w:rsid w:val="009276BA"/>
    <w:rsid w:val="00927826"/>
    <w:rsid w:val="00927966"/>
    <w:rsid w:val="00927ADE"/>
    <w:rsid w:val="00927E2B"/>
    <w:rsid w:val="00927E34"/>
    <w:rsid w:val="00930051"/>
    <w:rsid w:val="0093010E"/>
    <w:rsid w:val="009315F4"/>
    <w:rsid w:val="00931E19"/>
    <w:rsid w:val="009326B2"/>
    <w:rsid w:val="009326E5"/>
    <w:rsid w:val="00932731"/>
    <w:rsid w:val="00932772"/>
    <w:rsid w:val="00932C8C"/>
    <w:rsid w:val="00932CCA"/>
    <w:rsid w:val="00934080"/>
    <w:rsid w:val="009341B1"/>
    <w:rsid w:val="00934A3F"/>
    <w:rsid w:val="00934B3A"/>
    <w:rsid w:val="00934DD1"/>
    <w:rsid w:val="009354C3"/>
    <w:rsid w:val="00935672"/>
    <w:rsid w:val="0093579F"/>
    <w:rsid w:val="00935A52"/>
    <w:rsid w:val="00935E6B"/>
    <w:rsid w:val="00935F64"/>
    <w:rsid w:val="009361CA"/>
    <w:rsid w:val="0093662E"/>
    <w:rsid w:val="00936FA8"/>
    <w:rsid w:val="00937194"/>
    <w:rsid w:val="00937368"/>
    <w:rsid w:val="00937C6B"/>
    <w:rsid w:val="009403B5"/>
    <w:rsid w:val="009403FD"/>
    <w:rsid w:val="00940979"/>
    <w:rsid w:val="009409EC"/>
    <w:rsid w:val="00940E87"/>
    <w:rsid w:val="00941428"/>
    <w:rsid w:val="00942153"/>
    <w:rsid w:val="0094255C"/>
    <w:rsid w:val="00942E70"/>
    <w:rsid w:val="0094329B"/>
    <w:rsid w:val="0094399E"/>
    <w:rsid w:val="00943C15"/>
    <w:rsid w:val="00943D33"/>
    <w:rsid w:val="00943E7A"/>
    <w:rsid w:val="0094423B"/>
    <w:rsid w:val="00944A71"/>
    <w:rsid w:val="009455FF"/>
    <w:rsid w:val="009457A6"/>
    <w:rsid w:val="0094581C"/>
    <w:rsid w:val="00945A65"/>
    <w:rsid w:val="00945C8A"/>
    <w:rsid w:val="00945CD6"/>
    <w:rsid w:val="00946032"/>
    <w:rsid w:val="00946058"/>
    <w:rsid w:val="009462FD"/>
    <w:rsid w:val="0094649F"/>
    <w:rsid w:val="00947B1B"/>
    <w:rsid w:val="00947E6D"/>
    <w:rsid w:val="00947F5C"/>
    <w:rsid w:val="00950086"/>
    <w:rsid w:val="00950644"/>
    <w:rsid w:val="009506E0"/>
    <w:rsid w:val="00950779"/>
    <w:rsid w:val="009508D2"/>
    <w:rsid w:val="00950B06"/>
    <w:rsid w:val="00950B7D"/>
    <w:rsid w:val="00950DB7"/>
    <w:rsid w:val="00951B46"/>
    <w:rsid w:val="00952074"/>
    <w:rsid w:val="009520AA"/>
    <w:rsid w:val="00952404"/>
    <w:rsid w:val="00952BB7"/>
    <w:rsid w:val="00952D8B"/>
    <w:rsid w:val="00952DDB"/>
    <w:rsid w:val="00952F25"/>
    <w:rsid w:val="009530A2"/>
    <w:rsid w:val="00953AC0"/>
    <w:rsid w:val="00953BB6"/>
    <w:rsid w:val="00953BC7"/>
    <w:rsid w:val="00953D4F"/>
    <w:rsid w:val="00953FD3"/>
    <w:rsid w:val="0095454E"/>
    <w:rsid w:val="00954602"/>
    <w:rsid w:val="00954941"/>
    <w:rsid w:val="00954E55"/>
    <w:rsid w:val="0095527D"/>
    <w:rsid w:val="009552FE"/>
    <w:rsid w:val="0095564E"/>
    <w:rsid w:val="00955E0B"/>
    <w:rsid w:val="009561CF"/>
    <w:rsid w:val="009564D2"/>
    <w:rsid w:val="009564D3"/>
    <w:rsid w:val="009568CE"/>
    <w:rsid w:val="00956F50"/>
    <w:rsid w:val="00957483"/>
    <w:rsid w:val="00957E3E"/>
    <w:rsid w:val="00960781"/>
    <w:rsid w:val="00961315"/>
    <w:rsid w:val="00961661"/>
    <w:rsid w:val="00961943"/>
    <w:rsid w:val="00961A6E"/>
    <w:rsid w:val="0096236B"/>
    <w:rsid w:val="0096251D"/>
    <w:rsid w:val="00962BE7"/>
    <w:rsid w:val="00962C16"/>
    <w:rsid w:val="00962E0F"/>
    <w:rsid w:val="00963058"/>
    <w:rsid w:val="0096375A"/>
    <w:rsid w:val="00963F8A"/>
    <w:rsid w:val="00964002"/>
    <w:rsid w:val="00964209"/>
    <w:rsid w:val="009645C5"/>
    <w:rsid w:val="009647E4"/>
    <w:rsid w:val="00964AFC"/>
    <w:rsid w:val="00964C61"/>
    <w:rsid w:val="00964D10"/>
    <w:rsid w:val="00965115"/>
    <w:rsid w:val="00965F01"/>
    <w:rsid w:val="0096613D"/>
    <w:rsid w:val="00966745"/>
    <w:rsid w:val="0096765F"/>
    <w:rsid w:val="00967876"/>
    <w:rsid w:val="00970072"/>
    <w:rsid w:val="0097041D"/>
    <w:rsid w:val="009711B6"/>
    <w:rsid w:val="0097177C"/>
    <w:rsid w:val="009719AE"/>
    <w:rsid w:val="00971ACF"/>
    <w:rsid w:val="00971BDF"/>
    <w:rsid w:val="009721E6"/>
    <w:rsid w:val="00972A7B"/>
    <w:rsid w:val="00972E27"/>
    <w:rsid w:val="009731AD"/>
    <w:rsid w:val="00973ECC"/>
    <w:rsid w:val="009740E9"/>
    <w:rsid w:val="00974460"/>
    <w:rsid w:val="009746A8"/>
    <w:rsid w:val="00974967"/>
    <w:rsid w:val="00974BF2"/>
    <w:rsid w:val="00974CDB"/>
    <w:rsid w:val="00974DA7"/>
    <w:rsid w:val="00974F35"/>
    <w:rsid w:val="00975179"/>
    <w:rsid w:val="009752D1"/>
    <w:rsid w:val="0097542C"/>
    <w:rsid w:val="009757BA"/>
    <w:rsid w:val="00975A01"/>
    <w:rsid w:val="00975B6B"/>
    <w:rsid w:val="00976CBD"/>
    <w:rsid w:val="00976D58"/>
    <w:rsid w:val="00976FAC"/>
    <w:rsid w:val="00977126"/>
    <w:rsid w:val="0097789F"/>
    <w:rsid w:val="00977CE0"/>
    <w:rsid w:val="00980925"/>
    <w:rsid w:val="00980BA2"/>
    <w:rsid w:val="00981518"/>
    <w:rsid w:val="0098217C"/>
    <w:rsid w:val="00982E1A"/>
    <w:rsid w:val="00983368"/>
    <w:rsid w:val="009833E0"/>
    <w:rsid w:val="009836A2"/>
    <w:rsid w:val="00984343"/>
    <w:rsid w:val="00984602"/>
    <w:rsid w:val="00984EF3"/>
    <w:rsid w:val="009855C7"/>
    <w:rsid w:val="00985C90"/>
    <w:rsid w:val="009861F3"/>
    <w:rsid w:val="00986F0B"/>
    <w:rsid w:val="009870CF"/>
    <w:rsid w:val="00987202"/>
    <w:rsid w:val="00987240"/>
    <w:rsid w:val="00987276"/>
    <w:rsid w:val="009874CB"/>
    <w:rsid w:val="00987C30"/>
    <w:rsid w:val="00990425"/>
    <w:rsid w:val="00990667"/>
    <w:rsid w:val="00990703"/>
    <w:rsid w:val="00990FEE"/>
    <w:rsid w:val="0099135C"/>
    <w:rsid w:val="0099143D"/>
    <w:rsid w:val="00991907"/>
    <w:rsid w:val="00991919"/>
    <w:rsid w:val="00991D66"/>
    <w:rsid w:val="00992176"/>
    <w:rsid w:val="00992883"/>
    <w:rsid w:val="00992FD4"/>
    <w:rsid w:val="00993534"/>
    <w:rsid w:val="0099377F"/>
    <w:rsid w:val="009944F8"/>
    <w:rsid w:val="009949DD"/>
    <w:rsid w:val="00995277"/>
    <w:rsid w:val="009959B8"/>
    <w:rsid w:val="009962AA"/>
    <w:rsid w:val="00996CCE"/>
    <w:rsid w:val="00996CDC"/>
    <w:rsid w:val="0099732B"/>
    <w:rsid w:val="009977A8"/>
    <w:rsid w:val="00997A59"/>
    <w:rsid w:val="009A000F"/>
    <w:rsid w:val="009A02A3"/>
    <w:rsid w:val="009A058F"/>
    <w:rsid w:val="009A0AF0"/>
    <w:rsid w:val="009A0E7D"/>
    <w:rsid w:val="009A19AF"/>
    <w:rsid w:val="009A1D6A"/>
    <w:rsid w:val="009A1EB9"/>
    <w:rsid w:val="009A1FAF"/>
    <w:rsid w:val="009A2EDF"/>
    <w:rsid w:val="009A39B3"/>
    <w:rsid w:val="009A3F46"/>
    <w:rsid w:val="009A402D"/>
    <w:rsid w:val="009A4430"/>
    <w:rsid w:val="009A467E"/>
    <w:rsid w:val="009A47D2"/>
    <w:rsid w:val="009A4A38"/>
    <w:rsid w:val="009A52D1"/>
    <w:rsid w:val="009A5342"/>
    <w:rsid w:val="009A5A4F"/>
    <w:rsid w:val="009A5C10"/>
    <w:rsid w:val="009A72AD"/>
    <w:rsid w:val="009A7827"/>
    <w:rsid w:val="009A7E6A"/>
    <w:rsid w:val="009B048B"/>
    <w:rsid w:val="009B06CB"/>
    <w:rsid w:val="009B080D"/>
    <w:rsid w:val="009B088C"/>
    <w:rsid w:val="009B096C"/>
    <w:rsid w:val="009B0C6F"/>
    <w:rsid w:val="009B0DFA"/>
    <w:rsid w:val="009B0E5E"/>
    <w:rsid w:val="009B104E"/>
    <w:rsid w:val="009B1991"/>
    <w:rsid w:val="009B1AE2"/>
    <w:rsid w:val="009B1DBF"/>
    <w:rsid w:val="009B203D"/>
    <w:rsid w:val="009B2959"/>
    <w:rsid w:val="009B3877"/>
    <w:rsid w:val="009B401A"/>
    <w:rsid w:val="009B4350"/>
    <w:rsid w:val="009B442D"/>
    <w:rsid w:val="009B50BC"/>
    <w:rsid w:val="009B51EA"/>
    <w:rsid w:val="009B5BF1"/>
    <w:rsid w:val="009B5D12"/>
    <w:rsid w:val="009B611C"/>
    <w:rsid w:val="009B6855"/>
    <w:rsid w:val="009B69C3"/>
    <w:rsid w:val="009B6B2E"/>
    <w:rsid w:val="009B75E4"/>
    <w:rsid w:val="009B7D11"/>
    <w:rsid w:val="009C012B"/>
    <w:rsid w:val="009C09F8"/>
    <w:rsid w:val="009C0AFB"/>
    <w:rsid w:val="009C0E80"/>
    <w:rsid w:val="009C14DB"/>
    <w:rsid w:val="009C162D"/>
    <w:rsid w:val="009C17B9"/>
    <w:rsid w:val="009C1E01"/>
    <w:rsid w:val="009C2591"/>
    <w:rsid w:val="009C262E"/>
    <w:rsid w:val="009C32E7"/>
    <w:rsid w:val="009C399A"/>
    <w:rsid w:val="009C3CB3"/>
    <w:rsid w:val="009C3F39"/>
    <w:rsid w:val="009C43F4"/>
    <w:rsid w:val="009C44BA"/>
    <w:rsid w:val="009C53B5"/>
    <w:rsid w:val="009C5416"/>
    <w:rsid w:val="009C5566"/>
    <w:rsid w:val="009C568E"/>
    <w:rsid w:val="009C5830"/>
    <w:rsid w:val="009C5C44"/>
    <w:rsid w:val="009C5D74"/>
    <w:rsid w:val="009C5E01"/>
    <w:rsid w:val="009C5E55"/>
    <w:rsid w:val="009C6880"/>
    <w:rsid w:val="009C696E"/>
    <w:rsid w:val="009C76E4"/>
    <w:rsid w:val="009C7AC7"/>
    <w:rsid w:val="009C7F19"/>
    <w:rsid w:val="009C7FA5"/>
    <w:rsid w:val="009D03C6"/>
    <w:rsid w:val="009D0F4D"/>
    <w:rsid w:val="009D1212"/>
    <w:rsid w:val="009D1551"/>
    <w:rsid w:val="009D16B6"/>
    <w:rsid w:val="009D16C7"/>
    <w:rsid w:val="009D1A18"/>
    <w:rsid w:val="009D228B"/>
    <w:rsid w:val="009D280E"/>
    <w:rsid w:val="009D2AFB"/>
    <w:rsid w:val="009D2E74"/>
    <w:rsid w:val="009D3027"/>
    <w:rsid w:val="009D347A"/>
    <w:rsid w:val="009D3AC2"/>
    <w:rsid w:val="009D4061"/>
    <w:rsid w:val="009D4127"/>
    <w:rsid w:val="009D4C84"/>
    <w:rsid w:val="009D4C8F"/>
    <w:rsid w:val="009D5685"/>
    <w:rsid w:val="009D5759"/>
    <w:rsid w:val="009D57AD"/>
    <w:rsid w:val="009D5A17"/>
    <w:rsid w:val="009D5CBF"/>
    <w:rsid w:val="009D61F7"/>
    <w:rsid w:val="009D62C5"/>
    <w:rsid w:val="009D62C6"/>
    <w:rsid w:val="009D71A0"/>
    <w:rsid w:val="009E0437"/>
    <w:rsid w:val="009E066F"/>
    <w:rsid w:val="009E08B1"/>
    <w:rsid w:val="009E1017"/>
    <w:rsid w:val="009E1AE4"/>
    <w:rsid w:val="009E2322"/>
    <w:rsid w:val="009E2420"/>
    <w:rsid w:val="009E342F"/>
    <w:rsid w:val="009E3B9A"/>
    <w:rsid w:val="009E5299"/>
    <w:rsid w:val="009E5AB1"/>
    <w:rsid w:val="009E5CA9"/>
    <w:rsid w:val="009E5D0A"/>
    <w:rsid w:val="009E5E23"/>
    <w:rsid w:val="009E5F0A"/>
    <w:rsid w:val="009E64B2"/>
    <w:rsid w:val="009E666A"/>
    <w:rsid w:val="009E678F"/>
    <w:rsid w:val="009E67FD"/>
    <w:rsid w:val="009E70D5"/>
    <w:rsid w:val="009E71E6"/>
    <w:rsid w:val="009E75FE"/>
    <w:rsid w:val="009E7959"/>
    <w:rsid w:val="009E7F1E"/>
    <w:rsid w:val="009F0A3F"/>
    <w:rsid w:val="009F0E3E"/>
    <w:rsid w:val="009F0E73"/>
    <w:rsid w:val="009F1D9D"/>
    <w:rsid w:val="009F1DB3"/>
    <w:rsid w:val="009F207E"/>
    <w:rsid w:val="009F2177"/>
    <w:rsid w:val="009F3156"/>
    <w:rsid w:val="009F328C"/>
    <w:rsid w:val="009F3DA7"/>
    <w:rsid w:val="009F4473"/>
    <w:rsid w:val="009F5F3A"/>
    <w:rsid w:val="009F64CC"/>
    <w:rsid w:val="009F69C5"/>
    <w:rsid w:val="009F6AA9"/>
    <w:rsid w:val="009F71AE"/>
    <w:rsid w:val="009F781D"/>
    <w:rsid w:val="009F7D97"/>
    <w:rsid w:val="009F7F0F"/>
    <w:rsid w:val="00A005BC"/>
    <w:rsid w:val="00A00BA7"/>
    <w:rsid w:val="00A01260"/>
    <w:rsid w:val="00A01396"/>
    <w:rsid w:val="00A02648"/>
    <w:rsid w:val="00A03186"/>
    <w:rsid w:val="00A03F51"/>
    <w:rsid w:val="00A0412C"/>
    <w:rsid w:val="00A047A2"/>
    <w:rsid w:val="00A049AE"/>
    <w:rsid w:val="00A04BB2"/>
    <w:rsid w:val="00A04F2D"/>
    <w:rsid w:val="00A0556C"/>
    <w:rsid w:val="00A0582F"/>
    <w:rsid w:val="00A061C6"/>
    <w:rsid w:val="00A0653B"/>
    <w:rsid w:val="00A07634"/>
    <w:rsid w:val="00A07917"/>
    <w:rsid w:val="00A07B00"/>
    <w:rsid w:val="00A11500"/>
    <w:rsid w:val="00A11782"/>
    <w:rsid w:val="00A11A4D"/>
    <w:rsid w:val="00A11A84"/>
    <w:rsid w:val="00A11D92"/>
    <w:rsid w:val="00A11E55"/>
    <w:rsid w:val="00A120CD"/>
    <w:rsid w:val="00A128A9"/>
    <w:rsid w:val="00A12A91"/>
    <w:rsid w:val="00A13624"/>
    <w:rsid w:val="00A141F3"/>
    <w:rsid w:val="00A1430C"/>
    <w:rsid w:val="00A15308"/>
    <w:rsid w:val="00A15E50"/>
    <w:rsid w:val="00A15EDF"/>
    <w:rsid w:val="00A166A0"/>
    <w:rsid w:val="00A179E7"/>
    <w:rsid w:val="00A17C0B"/>
    <w:rsid w:val="00A17DD1"/>
    <w:rsid w:val="00A20306"/>
    <w:rsid w:val="00A20643"/>
    <w:rsid w:val="00A20690"/>
    <w:rsid w:val="00A20C25"/>
    <w:rsid w:val="00A20E77"/>
    <w:rsid w:val="00A215DA"/>
    <w:rsid w:val="00A217D0"/>
    <w:rsid w:val="00A21A0F"/>
    <w:rsid w:val="00A21C9D"/>
    <w:rsid w:val="00A22018"/>
    <w:rsid w:val="00A222EB"/>
    <w:rsid w:val="00A2274D"/>
    <w:rsid w:val="00A22D72"/>
    <w:rsid w:val="00A23784"/>
    <w:rsid w:val="00A23A1D"/>
    <w:rsid w:val="00A23B15"/>
    <w:rsid w:val="00A24455"/>
    <w:rsid w:val="00A2470A"/>
    <w:rsid w:val="00A24A6C"/>
    <w:rsid w:val="00A24E65"/>
    <w:rsid w:val="00A25B11"/>
    <w:rsid w:val="00A2618D"/>
    <w:rsid w:val="00A26FF1"/>
    <w:rsid w:val="00A272C3"/>
    <w:rsid w:val="00A2763B"/>
    <w:rsid w:val="00A276F9"/>
    <w:rsid w:val="00A27957"/>
    <w:rsid w:val="00A27960"/>
    <w:rsid w:val="00A301B5"/>
    <w:rsid w:val="00A30801"/>
    <w:rsid w:val="00A30ABE"/>
    <w:rsid w:val="00A30B54"/>
    <w:rsid w:val="00A30D18"/>
    <w:rsid w:val="00A30FF1"/>
    <w:rsid w:val="00A31103"/>
    <w:rsid w:val="00A31281"/>
    <w:rsid w:val="00A320B4"/>
    <w:rsid w:val="00A32563"/>
    <w:rsid w:val="00A32841"/>
    <w:rsid w:val="00A32F46"/>
    <w:rsid w:val="00A3308B"/>
    <w:rsid w:val="00A33284"/>
    <w:rsid w:val="00A33BD1"/>
    <w:rsid w:val="00A34756"/>
    <w:rsid w:val="00A34B0D"/>
    <w:rsid w:val="00A353BD"/>
    <w:rsid w:val="00A35A41"/>
    <w:rsid w:val="00A36276"/>
    <w:rsid w:val="00A36827"/>
    <w:rsid w:val="00A36C50"/>
    <w:rsid w:val="00A36EB9"/>
    <w:rsid w:val="00A36F35"/>
    <w:rsid w:val="00A36FA5"/>
    <w:rsid w:val="00A370BF"/>
    <w:rsid w:val="00A370F3"/>
    <w:rsid w:val="00A371C7"/>
    <w:rsid w:val="00A3738D"/>
    <w:rsid w:val="00A3769A"/>
    <w:rsid w:val="00A40219"/>
    <w:rsid w:val="00A4065B"/>
    <w:rsid w:val="00A41991"/>
    <w:rsid w:val="00A41A3E"/>
    <w:rsid w:val="00A41D81"/>
    <w:rsid w:val="00A41EF6"/>
    <w:rsid w:val="00A41F8D"/>
    <w:rsid w:val="00A422A2"/>
    <w:rsid w:val="00A426C2"/>
    <w:rsid w:val="00A4276C"/>
    <w:rsid w:val="00A42BA4"/>
    <w:rsid w:val="00A431A4"/>
    <w:rsid w:val="00A434A0"/>
    <w:rsid w:val="00A4356D"/>
    <w:rsid w:val="00A44763"/>
    <w:rsid w:val="00A448AD"/>
    <w:rsid w:val="00A44E35"/>
    <w:rsid w:val="00A459DE"/>
    <w:rsid w:val="00A459DF"/>
    <w:rsid w:val="00A45ADE"/>
    <w:rsid w:val="00A45D6A"/>
    <w:rsid w:val="00A463C3"/>
    <w:rsid w:val="00A46524"/>
    <w:rsid w:val="00A466CF"/>
    <w:rsid w:val="00A46890"/>
    <w:rsid w:val="00A46ACD"/>
    <w:rsid w:val="00A46E25"/>
    <w:rsid w:val="00A4764C"/>
    <w:rsid w:val="00A47819"/>
    <w:rsid w:val="00A478E3"/>
    <w:rsid w:val="00A47A0D"/>
    <w:rsid w:val="00A47D24"/>
    <w:rsid w:val="00A47D76"/>
    <w:rsid w:val="00A47E8F"/>
    <w:rsid w:val="00A50A0F"/>
    <w:rsid w:val="00A50E0A"/>
    <w:rsid w:val="00A50F66"/>
    <w:rsid w:val="00A5145C"/>
    <w:rsid w:val="00A523EB"/>
    <w:rsid w:val="00A52503"/>
    <w:rsid w:val="00A52CFC"/>
    <w:rsid w:val="00A52E01"/>
    <w:rsid w:val="00A535C1"/>
    <w:rsid w:val="00A539B8"/>
    <w:rsid w:val="00A53A51"/>
    <w:rsid w:val="00A53C4A"/>
    <w:rsid w:val="00A543BF"/>
    <w:rsid w:val="00A54795"/>
    <w:rsid w:val="00A54944"/>
    <w:rsid w:val="00A549C5"/>
    <w:rsid w:val="00A5522E"/>
    <w:rsid w:val="00A55C9A"/>
    <w:rsid w:val="00A56320"/>
    <w:rsid w:val="00A5696A"/>
    <w:rsid w:val="00A56AFE"/>
    <w:rsid w:val="00A57829"/>
    <w:rsid w:val="00A602F3"/>
    <w:rsid w:val="00A60D18"/>
    <w:rsid w:val="00A611D9"/>
    <w:rsid w:val="00A61368"/>
    <w:rsid w:val="00A61445"/>
    <w:rsid w:val="00A61AE3"/>
    <w:rsid w:val="00A61B21"/>
    <w:rsid w:val="00A620C1"/>
    <w:rsid w:val="00A6228C"/>
    <w:rsid w:val="00A626B6"/>
    <w:rsid w:val="00A62A85"/>
    <w:rsid w:val="00A62B59"/>
    <w:rsid w:val="00A62D26"/>
    <w:rsid w:val="00A62EA3"/>
    <w:rsid w:val="00A63488"/>
    <w:rsid w:val="00A63B93"/>
    <w:rsid w:val="00A643E1"/>
    <w:rsid w:val="00A6497A"/>
    <w:rsid w:val="00A64B65"/>
    <w:rsid w:val="00A64D8C"/>
    <w:rsid w:val="00A64F5D"/>
    <w:rsid w:val="00A65210"/>
    <w:rsid w:val="00A65657"/>
    <w:rsid w:val="00A658E3"/>
    <w:rsid w:val="00A662C3"/>
    <w:rsid w:val="00A666C0"/>
    <w:rsid w:val="00A6672C"/>
    <w:rsid w:val="00A66765"/>
    <w:rsid w:val="00A66819"/>
    <w:rsid w:val="00A66C4B"/>
    <w:rsid w:val="00A67206"/>
    <w:rsid w:val="00A67594"/>
    <w:rsid w:val="00A67FF7"/>
    <w:rsid w:val="00A704D5"/>
    <w:rsid w:val="00A70E49"/>
    <w:rsid w:val="00A713DB"/>
    <w:rsid w:val="00A71465"/>
    <w:rsid w:val="00A718D7"/>
    <w:rsid w:val="00A7190B"/>
    <w:rsid w:val="00A7218E"/>
    <w:rsid w:val="00A721F3"/>
    <w:rsid w:val="00A725D8"/>
    <w:rsid w:val="00A72BB8"/>
    <w:rsid w:val="00A72C6D"/>
    <w:rsid w:val="00A72D4B"/>
    <w:rsid w:val="00A7334F"/>
    <w:rsid w:val="00A73819"/>
    <w:rsid w:val="00A7391A"/>
    <w:rsid w:val="00A73E47"/>
    <w:rsid w:val="00A7468C"/>
    <w:rsid w:val="00A7509E"/>
    <w:rsid w:val="00A75826"/>
    <w:rsid w:val="00A75C9A"/>
    <w:rsid w:val="00A76209"/>
    <w:rsid w:val="00A76BAF"/>
    <w:rsid w:val="00A771F9"/>
    <w:rsid w:val="00A7784F"/>
    <w:rsid w:val="00A778B9"/>
    <w:rsid w:val="00A77A3A"/>
    <w:rsid w:val="00A77D87"/>
    <w:rsid w:val="00A77F9C"/>
    <w:rsid w:val="00A80140"/>
    <w:rsid w:val="00A806E1"/>
    <w:rsid w:val="00A80A0C"/>
    <w:rsid w:val="00A811DF"/>
    <w:rsid w:val="00A8141A"/>
    <w:rsid w:val="00A81B47"/>
    <w:rsid w:val="00A81DF3"/>
    <w:rsid w:val="00A822C0"/>
    <w:rsid w:val="00A823F0"/>
    <w:rsid w:val="00A8335F"/>
    <w:rsid w:val="00A8365B"/>
    <w:rsid w:val="00A83CCA"/>
    <w:rsid w:val="00A845FD"/>
    <w:rsid w:val="00A85764"/>
    <w:rsid w:val="00A85AA8"/>
    <w:rsid w:val="00A86132"/>
    <w:rsid w:val="00A86281"/>
    <w:rsid w:val="00A86455"/>
    <w:rsid w:val="00A86940"/>
    <w:rsid w:val="00A86DF2"/>
    <w:rsid w:val="00A870F5"/>
    <w:rsid w:val="00A87788"/>
    <w:rsid w:val="00A87AD3"/>
    <w:rsid w:val="00A87D2B"/>
    <w:rsid w:val="00A90536"/>
    <w:rsid w:val="00A907D1"/>
    <w:rsid w:val="00A90CE8"/>
    <w:rsid w:val="00A90F72"/>
    <w:rsid w:val="00A91183"/>
    <w:rsid w:val="00A91339"/>
    <w:rsid w:val="00A913C7"/>
    <w:rsid w:val="00A91824"/>
    <w:rsid w:val="00A91CB4"/>
    <w:rsid w:val="00A91DBF"/>
    <w:rsid w:val="00A91DF0"/>
    <w:rsid w:val="00A91FE8"/>
    <w:rsid w:val="00A920A8"/>
    <w:rsid w:val="00A920CC"/>
    <w:rsid w:val="00A925FF"/>
    <w:rsid w:val="00A92B4F"/>
    <w:rsid w:val="00A931A8"/>
    <w:rsid w:val="00A937CE"/>
    <w:rsid w:val="00A938B0"/>
    <w:rsid w:val="00A93DFE"/>
    <w:rsid w:val="00A93E01"/>
    <w:rsid w:val="00A94498"/>
    <w:rsid w:val="00A94623"/>
    <w:rsid w:val="00A948EA"/>
    <w:rsid w:val="00A94FF8"/>
    <w:rsid w:val="00A959CC"/>
    <w:rsid w:val="00A969F6"/>
    <w:rsid w:val="00A96B7E"/>
    <w:rsid w:val="00A96D58"/>
    <w:rsid w:val="00A970FB"/>
    <w:rsid w:val="00A972B8"/>
    <w:rsid w:val="00A97381"/>
    <w:rsid w:val="00A97924"/>
    <w:rsid w:val="00AA0F74"/>
    <w:rsid w:val="00AA1279"/>
    <w:rsid w:val="00AA1ECB"/>
    <w:rsid w:val="00AA216A"/>
    <w:rsid w:val="00AA28D6"/>
    <w:rsid w:val="00AA2B8B"/>
    <w:rsid w:val="00AA38DC"/>
    <w:rsid w:val="00AA4332"/>
    <w:rsid w:val="00AA45B1"/>
    <w:rsid w:val="00AA499C"/>
    <w:rsid w:val="00AA4E79"/>
    <w:rsid w:val="00AA4F62"/>
    <w:rsid w:val="00AA58CE"/>
    <w:rsid w:val="00AA5B84"/>
    <w:rsid w:val="00AA5D1D"/>
    <w:rsid w:val="00AA60DC"/>
    <w:rsid w:val="00AA696B"/>
    <w:rsid w:val="00AA7787"/>
    <w:rsid w:val="00AA79DC"/>
    <w:rsid w:val="00AA7C35"/>
    <w:rsid w:val="00AA7DDF"/>
    <w:rsid w:val="00AB0014"/>
    <w:rsid w:val="00AB0204"/>
    <w:rsid w:val="00AB025E"/>
    <w:rsid w:val="00AB0867"/>
    <w:rsid w:val="00AB08C9"/>
    <w:rsid w:val="00AB0A6D"/>
    <w:rsid w:val="00AB0AB3"/>
    <w:rsid w:val="00AB115C"/>
    <w:rsid w:val="00AB11D0"/>
    <w:rsid w:val="00AB1404"/>
    <w:rsid w:val="00AB1B01"/>
    <w:rsid w:val="00AB209B"/>
    <w:rsid w:val="00AB23CC"/>
    <w:rsid w:val="00AB26D9"/>
    <w:rsid w:val="00AB300D"/>
    <w:rsid w:val="00AB31B3"/>
    <w:rsid w:val="00AB3ED9"/>
    <w:rsid w:val="00AB473C"/>
    <w:rsid w:val="00AB4FC9"/>
    <w:rsid w:val="00AB504B"/>
    <w:rsid w:val="00AB5167"/>
    <w:rsid w:val="00AB57D1"/>
    <w:rsid w:val="00AB5CBC"/>
    <w:rsid w:val="00AB6117"/>
    <w:rsid w:val="00AB6376"/>
    <w:rsid w:val="00AB6937"/>
    <w:rsid w:val="00AB6C26"/>
    <w:rsid w:val="00AB7023"/>
    <w:rsid w:val="00AB7AA6"/>
    <w:rsid w:val="00AB7C9F"/>
    <w:rsid w:val="00AC0897"/>
    <w:rsid w:val="00AC0FFA"/>
    <w:rsid w:val="00AC1EBC"/>
    <w:rsid w:val="00AC21C0"/>
    <w:rsid w:val="00AC23A0"/>
    <w:rsid w:val="00AC24F8"/>
    <w:rsid w:val="00AC3183"/>
    <w:rsid w:val="00AC31B0"/>
    <w:rsid w:val="00AC33F4"/>
    <w:rsid w:val="00AC34E2"/>
    <w:rsid w:val="00AC360D"/>
    <w:rsid w:val="00AC3F37"/>
    <w:rsid w:val="00AC41C7"/>
    <w:rsid w:val="00AC42FB"/>
    <w:rsid w:val="00AC4908"/>
    <w:rsid w:val="00AC4E57"/>
    <w:rsid w:val="00AC4F28"/>
    <w:rsid w:val="00AC5473"/>
    <w:rsid w:val="00AC5607"/>
    <w:rsid w:val="00AC5E3A"/>
    <w:rsid w:val="00AC645A"/>
    <w:rsid w:val="00AC67E2"/>
    <w:rsid w:val="00AC6C7E"/>
    <w:rsid w:val="00AC794E"/>
    <w:rsid w:val="00AC7992"/>
    <w:rsid w:val="00AD0080"/>
    <w:rsid w:val="00AD0194"/>
    <w:rsid w:val="00AD0213"/>
    <w:rsid w:val="00AD10D7"/>
    <w:rsid w:val="00AD1427"/>
    <w:rsid w:val="00AD1446"/>
    <w:rsid w:val="00AD1513"/>
    <w:rsid w:val="00AD1794"/>
    <w:rsid w:val="00AD19ED"/>
    <w:rsid w:val="00AD1CB0"/>
    <w:rsid w:val="00AD1FBF"/>
    <w:rsid w:val="00AD2BDC"/>
    <w:rsid w:val="00AD2C78"/>
    <w:rsid w:val="00AD3B13"/>
    <w:rsid w:val="00AD40C0"/>
    <w:rsid w:val="00AD47B9"/>
    <w:rsid w:val="00AD5226"/>
    <w:rsid w:val="00AD530A"/>
    <w:rsid w:val="00AD57B9"/>
    <w:rsid w:val="00AD5898"/>
    <w:rsid w:val="00AD5917"/>
    <w:rsid w:val="00AD601B"/>
    <w:rsid w:val="00AD67D9"/>
    <w:rsid w:val="00AD6920"/>
    <w:rsid w:val="00AD69BC"/>
    <w:rsid w:val="00AD6A65"/>
    <w:rsid w:val="00AD721B"/>
    <w:rsid w:val="00AD7923"/>
    <w:rsid w:val="00AE0E24"/>
    <w:rsid w:val="00AE11B8"/>
    <w:rsid w:val="00AE1E1E"/>
    <w:rsid w:val="00AE1FA7"/>
    <w:rsid w:val="00AE2011"/>
    <w:rsid w:val="00AE2039"/>
    <w:rsid w:val="00AE23D3"/>
    <w:rsid w:val="00AE2430"/>
    <w:rsid w:val="00AE2760"/>
    <w:rsid w:val="00AE286C"/>
    <w:rsid w:val="00AE34EF"/>
    <w:rsid w:val="00AE3635"/>
    <w:rsid w:val="00AE3D3B"/>
    <w:rsid w:val="00AE3ECB"/>
    <w:rsid w:val="00AE4278"/>
    <w:rsid w:val="00AE45A4"/>
    <w:rsid w:val="00AE4781"/>
    <w:rsid w:val="00AE4AED"/>
    <w:rsid w:val="00AE506C"/>
    <w:rsid w:val="00AE5167"/>
    <w:rsid w:val="00AE5557"/>
    <w:rsid w:val="00AE5760"/>
    <w:rsid w:val="00AE583E"/>
    <w:rsid w:val="00AE5EF2"/>
    <w:rsid w:val="00AE62C3"/>
    <w:rsid w:val="00AE6BD9"/>
    <w:rsid w:val="00AE6DA9"/>
    <w:rsid w:val="00AE6E08"/>
    <w:rsid w:val="00AE6E4E"/>
    <w:rsid w:val="00AE7279"/>
    <w:rsid w:val="00AE7934"/>
    <w:rsid w:val="00AF027D"/>
    <w:rsid w:val="00AF0541"/>
    <w:rsid w:val="00AF0CCD"/>
    <w:rsid w:val="00AF0F4B"/>
    <w:rsid w:val="00AF0F52"/>
    <w:rsid w:val="00AF1125"/>
    <w:rsid w:val="00AF1A64"/>
    <w:rsid w:val="00AF2362"/>
    <w:rsid w:val="00AF3135"/>
    <w:rsid w:val="00AF3143"/>
    <w:rsid w:val="00AF3FC8"/>
    <w:rsid w:val="00AF44AA"/>
    <w:rsid w:val="00AF4759"/>
    <w:rsid w:val="00AF4C07"/>
    <w:rsid w:val="00AF5086"/>
    <w:rsid w:val="00AF5424"/>
    <w:rsid w:val="00AF56B7"/>
    <w:rsid w:val="00AF5B73"/>
    <w:rsid w:val="00AF61CB"/>
    <w:rsid w:val="00AF6B22"/>
    <w:rsid w:val="00AF70E2"/>
    <w:rsid w:val="00AF71FF"/>
    <w:rsid w:val="00AF72F7"/>
    <w:rsid w:val="00AF7651"/>
    <w:rsid w:val="00AF7922"/>
    <w:rsid w:val="00AF7F5B"/>
    <w:rsid w:val="00B002CD"/>
    <w:rsid w:val="00B00559"/>
    <w:rsid w:val="00B009AD"/>
    <w:rsid w:val="00B00FC8"/>
    <w:rsid w:val="00B01073"/>
    <w:rsid w:val="00B010D0"/>
    <w:rsid w:val="00B01541"/>
    <w:rsid w:val="00B01697"/>
    <w:rsid w:val="00B01E32"/>
    <w:rsid w:val="00B021D6"/>
    <w:rsid w:val="00B0254A"/>
    <w:rsid w:val="00B02603"/>
    <w:rsid w:val="00B02B01"/>
    <w:rsid w:val="00B03006"/>
    <w:rsid w:val="00B03278"/>
    <w:rsid w:val="00B032C9"/>
    <w:rsid w:val="00B039B0"/>
    <w:rsid w:val="00B03BAA"/>
    <w:rsid w:val="00B044D3"/>
    <w:rsid w:val="00B046CE"/>
    <w:rsid w:val="00B04DA3"/>
    <w:rsid w:val="00B04DD9"/>
    <w:rsid w:val="00B04E5C"/>
    <w:rsid w:val="00B050C1"/>
    <w:rsid w:val="00B0526B"/>
    <w:rsid w:val="00B0535D"/>
    <w:rsid w:val="00B05E4F"/>
    <w:rsid w:val="00B06A35"/>
    <w:rsid w:val="00B06F10"/>
    <w:rsid w:val="00B07489"/>
    <w:rsid w:val="00B07E78"/>
    <w:rsid w:val="00B10AD1"/>
    <w:rsid w:val="00B10CAC"/>
    <w:rsid w:val="00B10D2A"/>
    <w:rsid w:val="00B10F9E"/>
    <w:rsid w:val="00B111A2"/>
    <w:rsid w:val="00B111F3"/>
    <w:rsid w:val="00B11493"/>
    <w:rsid w:val="00B115B4"/>
    <w:rsid w:val="00B11E2D"/>
    <w:rsid w:val="00B1227A"/>
    <w:rsid w:val="00B132F5"/>
    <w:rsid w:val="00B13398"/>
    <w:rsid w:val="00B137D0"/>
    <w:rsid w:val="00B13857"/>
    <w:rsid w:val="00B13CBB"/>
    <w:rsid w:val="00B143F5"/>
    <w:rsid w:val="00B14704"/>
    <w:rsid w:val="00B154F1"/>
    <w:rsid w:val="00B15A49"/>
    <w:rsid w:val="00B164E6"/>
    <w:rsid w:val="00B16506"/>
    <w:rsid w:val="00B16B7B"/>
    <w:rsid w:val="00B1795A"/>
    <w:rsid w:val="00B17EED"/>
    <w:rsid w:val="00B2002F"/>
    <w:rsid w:val="00B2059B"/>
    <w:rsid w:val="00B205F8"/>
    <w:rsid w:val="00B20D6E"/>
    <w:rsid w:val="00B20E74"/>
    <w:rsid w:val="00B20EEE"/>
    <w:rsid w:val="00B21330"/>
    <w:rsid w:val="00B21777"/>
    <w:rsid w:val="00B21B89"/>
    <w:rsid w:val="00B21EF8"/>
    <w:rsid w:val="00B21F9F"/>
    <w:rsid w:val="00B22D31"/>
    <w:rsid w:val="00B22F51"/>
    <w:rsid w:val="00B23CE3"/>
    <w:rsid w:val="00B23DC5"/>
    <w:rsid w:val="00B23FE8"/>
    <w:rsid w:val="00B2454F"/>
    <w:rsid w:val="00B24561"/>
    <w:rsid w:val="00B24C30"/>
    <w:rsid w:val="00B24F9F"/>
    <w:rsid w:val="00B251AE"/>
    <w:rsid w:val="00B2586C"/>
    <w:rsid w:val="00B25ABD"/>
    <w:rsid w:val="00B25D14"/>
    <w:rsid w:val="00B26131"/>
    <w:rsid w:val="00B26D99"/>
    <w:rsid w:val="00B26DD4"/>
    <w:rsid w:val="00B27DCA"/>
    <w:rsid w:val="00B308C0"/>
    <w:rsid w:val="00B310A2"/>
    <w:rsid w:val="00B31391"/>
    <w:rsid w:val="00B3164A"/>
    <w:rsid w:val="00B32733"/>
    <w:rsid w:val="00B32AC4"/>
    <w:rsid w:val="00B32BDD"/>
    <w:rsid w:val="00B333EC"/>
    <w:rsid w:val="00B333FF"/>
    <w:rsid w:val="00B336AA"/>
    <w:rsid w:val="00B33AB7"/>
    <w:rsid w:val="00B33B27"/>
    <w:rsid w:val="00B33BAD"/>
    <w:rsid w:val="00B343BB"/>
    <w:rsid w:val="00B34C0C"/>
    <w:rsid w:val="00B34C9F"/>
    <w:rsid w:val="00B34CA4"/>
    <w:rsid w:val="00B35246"/>
    <w:rsid w:val="00B35AE4"/>
    <w:rsid w:val="00B362D8"/>
    <w:rsid w:val="00B37199"/>
    <w:rsid w:val="00B37891"/>
    <w:rsid w:val="00B379AE"/>
    <w:rsid w:val="00B40840"/>
    <w:rsid w:val="00B40C03"/>
    <w:rsid w:val="00B40E06"/>
    <w:rsid w:val="00B41043"/>
    <w:rsid w:val="00B411AF"/>
    <w:rsid w:val="00B411DB"/>
    <w:rsid w:val="00B426D2"/>
    <w:rsid w:val="00B43223"/>
    <w:rsid w:val="00B433DE"/>
    <w:rsid w:val="00B4348B"/>
    <w:rsid w:val="00B436BA"/>
    <w:rsid w:val="00B445BD"/>
    <w:rsid w:val="00B445FE"/>
    <w:rsid w:val="00B448C8"/>
    <w:rsid w:val="00B449CD"/>
    <w:rsid w:val="00B44A9E"/>
    <w:rsid w:val="00B44E3B"/>
    <w:rsid w:val="00B45238"/>
    <w:rsid w:val="00B45855"/>
    <w:rsid w:val="00B45F99"/>
    <w:rsid w:val="00B462DC"/>
    <w:rsid w:val="00B46C42"/>
    <w:rsid w:val="00B476AE"/>
    <w:rsid w:val="00B47909"/>
    <w:rsid w:val="00B47B48"/>
    <w:rsid w:val="00B47D2A"/>
    <w:rsid w:val="00B50747"/>
    <w:rsid w:val="00B5161F"/>
    <w:rsid w:val="00B5164D"/>
    <w:rsid w:val="00B516E0"/>
    <w:rsid w:val="00B5174F"/>
    <w:rsid w:val="00B518AA"/>
    <w:rsid w:val="00B52029"/>
    <w:rsid w:val="00B52320"/>
    <w:rsid w:val="00B5268A"/>
    <w:rsid w:val="00B526EA"/>
    <w:rsid w:val="00B528C3"/>
    <w:rsid w:val="00B528E2"/>
    <w:rsid w:val="00B52CC1"/>
    <w:rsid w:val="00B52E48"/>
    <w:rsid w:val="00B53183"/>
    <w:rsid w:val="00B532EB"/>
    <w:rsid w:val="00B53359"/>
    <w:rsid w:val="00B533D2"/>
    <w:rsid w:val="00B53793"/>
    <w:rsid w:val="00B53836"/>
    <w:rsid w:val="00B5460D"/>
    <w:rsid w:val="00B54633"/>
    <w:rsid w:val="00B54710"/>
    <w:rsid w:val="00B554AD"/>
    <w:rsid w:val="00B55982"/>
    <w:rsid w:val="00B55AA5"/>
    <w:rsid w:val="00B560F5"/>
    <w:rsid w:val="00B56443"/>
    <w:rsid w:val="00B5784D"/>
    <w:rsid w:val="00B57D3C"/>
    <w:rsid w:val="00B57EB9"/>
    <w:rsid w:val="00B60031"/>
    <w:rsid w:val="00B601CC"/>
    <w:rsid w:val="00B6024C"/>
    <w:rsid w:val="00B604A9"/>
    <w:rsid w:val="00B6054D"/>
    <w:rsid w:val="00B62157"/>
    <w:rsid w:val="00B626EC"/>
    <w:rsid w:val="00B62D98"/>
    <w:rsid w:val="00B63027"/>
    <w:rsid w:val="00B634F3"/>
    <w:rsid w:val="00B6360C"/>
    <w:rsid w:val="00B6516A"/>
    <w:rsid w:val="00B6539B"/>
    <w:rsid w:val="00B65441"/>
    <w:rsid w:val="00B65569"/>
    <w:rsid w:val="00B655E7"/>
    <w:rsid w:val="00B65729"/>
    <w:rsid w:val="00B6597E"/>
    <w:rsid w:val="00B659D0"/>
    <w:rsid w:val="00B66216"/>
    <w:rsid w:val="00B66285"/>
    <w:rsid w:val="00B662A9"/>
    <w:rsid w:val="00B66760"/>
    <w:rsid w:val="00B66797"/>
    <w:rsid w:val="00B671A6"/>
    <w:rsid w:val="00B67588"/>
    <w:rsid w:val="00B675C6"/>
    <w:rsid w:val="00B67ACE"/>
    <w:rsid w:val="00B67D5A"/>
    <w:rsid w:val="00B67E10"/>
    <w:rsid w:val="00B67EDE"/>
    <w:rsid w:val="00B67F65"/>
    <w:rsid w:val="00B70487"/>
    <w:rsid w:val="00B70494"/>
    <w:rsid w:val="00B71247"/>
    <w:rsid w:val="00B71257"/>
    <w:rsid w:val="00B714F0"/>
    <w:rsid w:val="00B716DD"/>
    <w:rsid w:val="00B7190A"/>
    <w:rsid w:val="00B71976"/>
    <w:rsid w:val="00B71BBD"/>
    <w:rsid w:val="00B72BD6"/>
    <w:rsid w:val="00B72CB6"/>
    <w:rsid w:val="00B73272"/>
    <w:rsid w:val="00B73309"/>
    <w:rsid w:val="00B7375B"/>
    <w:rsid w:val="00B74863"/>
    <w:rsid w:val="00B74B8B"/>
    <w:rsid w:val="00B74FCA"/>
    <w:rsid w:val="00B75007"/>
    <w:rsid w:val="00B755D4"/>
    <w:rsid w:val="00B758B7"/>
    <w:rsid w:val="00B75A54"/>
    <w:rsid w:val="00B75ED9"/>
    <w:rsid w:val="00B76E5A"/>
    <w:rsid w:val="00B771A0"/>
    <w:rsid w:val="00B775AE"/>
    <w:rsid w:val="00B7769E"/>
    <w:rsid w:val="00B77E39"/>
    <w:rsid w:val="00B803EA"/>
    <w:rsid w:val="00B808B1"/>
    <w:rsid w:val="00B81066"/>
    <w:rsid w:val="00B81563"/>
    <w:rsid w:val="00B8157F"/>
    <w:rsid w:val="00B8165E"/>
    <w:rsid w:val="00B8244B"/>
    <w:rsid w:val="00B824BF"/>
    <w:rsid w:val="00B82968"/>
    <w:rsid w:val="00B82AC2"/>
    <w:rsid w:val="00B82CDA"/>
    <w:rsid w:val="00B83550"/>
    <w:rsid w:val="00B8374C"/>
    <w:rsid w:val="00B8413C"/>
    <w:rsid w:val="00B8427A"/>
    <w:rsid w:val="00B843F5"/>
    <w:rsid w:val="00B8458D"/>
    <w:rsid w:val="00B8477A"/>
    <w:rsid w:val="00B8485E"/>
    <w:rsid w:val="00B849C0"/>
    <w:rsid w:val="00B84E61"/>
    <w:rsid w:val="00B84E69"/>
    <w:rsid w:val="00B852F5"/>
    <w:rsid w:val="00B8553F"/>
    <w:rsid w:val="00B85B29"/>
    <w:rsid w:val="00B85C98"/>
    <w:rsid w:val="00B85D2C"/>
    <w:rsid w:val="00B85EF6"/>
    <w:rsid w:val="00B8620C"/>
    <w:rsid w:val="00B86619"/>
    <w:rsid w:val="00B86D5E"/>
    <w:rsid w:val="00B9061D"/>
    <w:rsid w:val="00B90B55"/>
    <w:rsid w:val="00B91248"/>
    <w:rsid w:val="00B9155D"/>
    <w:rsid w:val="00B91EA4"/>
    <w:rsid w:val="00B92CD5"/>
    <w:rsid w:val="00B93239"/>
    <w:rsid w:val="00B9334A"/>
    <w:rsid w:val="00B93F2F"/>
    <w:rsid w:val="00B9495E"/>
    <w:rsid w:val="00B94982"/>
    <w:rsid w:val="00B950BE"/>
    <w:rsid w:val="00B95344"/>
    <w:rsid w:val="00B95E5B"/>
    <w:rsid w:val="00B97640"/>
    <w:rsid w:val="00B97CCF"/>
    <w:rsid w:val="00BA02A2"/>
    <w:rsid w:val="00BA0419"/>
    <w:rsid w:val="00BA0B86"/>
    <w:rsid w:val="00BA12E9"/>
    <w:rsid w:val="00BA171D"/>
    <w:rsid w:val="00BA1F5F"/>
    <w:rsid w:val="00BA2555"/>
    <w:rsid w:val="00BA2B48"/>
    <w:rsid w:val="00BA3154"/>
    <w:rsid w:val="00BA36E2"/>
    <w:rsid w:val="00BA3F48"/>
    <w:rsid w:val="00BA428D"/>
    <w:rsid w:val="00BA46FC"/>
    <w:rsid w:val="00BA47C1"/>
    <w:rsid w:val="00BA5070"/>
    <w:rsid w:val="00BA5654"/>
    <w:rsid w:val="00BA57CF"/>
    <w:rsid w:val="00BA5959"/>
    <w:rsid w:val="00BA6024"/>
    <w:rsid w:val="00BA612A"/>
    <w:rsid w:val="00BA63ED"/>
    <w:rsid w:val="00BA663C"/>
    <w:rsid w:val="00BA66D0"/>
    <w:rsid w:val="00BA6C74"/>
    <w:rsid w:val="00BA71A2"/>
    <w:rsid w:val="00BA7562"/>
    <w:rsid w:val="00BA7C7C"/>
    <w:rsid w:val="00BA7D94"/>
    <w:rsid w:val="00BB0034"/>
    <w:rsid w:val="00BB03A4"/>
    <w:rsid w:val="00BB051F"/>
    <w:rsid w:val="00BB057B"/>
    <w:rsid w:val="00BB08A6"/>
    <w:rsid w:val="00BB0ABE"/>
    <w:rsid w:val="00BB11CD"/>
    <w:rsid w:val="00BB1324"/>
    <w:rsid w:val="00BB24EA"/>
    <w:rsid w:val="00BB2BE4"/>
    <w:rsid w:val="00BB3957"/>
    <w:rsid w:val="00BB39B3"/>
    <w:rsid w:val="00BB40DC"/>
    <w:rsid w:val="00BB4748"/>
    <w:rsid w:val="00BB51A7"/>
    <w:rsid w:val="00BB6010"/>
    <w:rsid w:val="00BB64B8"/>
    <w:rsid w:val="00BB66D8"/>
    <w:rsid w:val="00BB6CC6"/>
    <w:rsid w:val="00BB7BAD"/>
    <w:rsid w:val="00BB7EDD"/>
    <w:rsid w:val="00BC04CE"/>
    <w:rsid w:val="00BC07B2"/>
    <w:rsid w:val="00BC0D1D"/>
    <w:rsid w:val="00BC0E40"/>
    <w:rsid w:val="00BC1542"/>
    <w:rsid w:val="00BC188C"/>
    <w:rsid w:val="00BC1934"/>
    <w:rsid w:val="00BC1F70"/>
    <w:rsid w:val="00BC20C8"/>
    <w:rsid w:val="00BC2259"/>
    <w:rsid w:val="00BC2350"/>
    <w:rsid w:val="00BC2850"/>
    <w:rsid w:val="00BC28BD"/>
    <w:rsid w:val="00BC3360"/>
    <w:rsid w:val="00BC3516"/>
    <w:rsid w:val="00BC3B5F"/>
    <w:rsid w:val="00BC4C6A"/>
    <w:rsid w:val="00BC4F25"/>
    <w:rsid w:val="00BC55B5"/>
    <w:rsid w:val="00BC560A"/>
    <w:rsid w:val="00BC6061"/>
    <w:rsid w:val="00BC62E5"/>
    <w:rsid w:val="00BC6547"/>
    <w:rsid w:val="00BC6825"/>
    <w:rsid w:val="00BC6C60"/>
    <w:rsid w:val="00BC701A"/>
    <w:rsid w:val="00BC7567"/>
    <w:rsid w:val="00BD06DE"/>
    <w:rsid w:val="00BD09C2"/>
    <w:rsid w:val="00BD1756"/>
    <w:rsid w:val="00BD17F3"/>
    <w:rsid w:val="00BD1D0A"/>
    <w:rsid w:val="00BD1DDC"/>
    <w:rsid w:val="00BD2000"/>
    <w:rsid w:val="00BD20C7"/>
    <w:rsid w:val="00BD20EC"/>
    <w:rsid w:val="00BD25E5"/>
    <w:rsid w:val="00BD2C3A"/>
    <w:rsid w:val="00BD2CD8"/>
    <w:rsid w:val="00BD30A2"/>
    <w:rsid w:val="00BD30F9"/>
    <w:rsid w:val="00BD3572"/>
    <w:rsid w:val="00BD3993"/>
    <w:rsid w:val="00BD3B28"/>
    <w:rsid w:val="00BD3F24"/>
    <w:rsid w:val="00BD4222"/>
    <w:rsid w:val="00BD4364"/>
    <w:rsid w:val="00BD438A"/>
    <w:rsid w:val="00BD44FF"/>
    <w:rsid w:val="00BD4BBA"/>
    <w:rsid w:val="00BD4C1A"/>
    <w:rsid w:val="00BD4FC2"/>
    <w:rsid w:val="00BD6334"/>
    <w:rsid w:val="00BD68EF"/>
    <w:rsid w:val="00BD697C"/>
    <w:rsid w:val="00BD6A92"/>
    <w:rsid w:val="00BD6BCF"/>
    <w:rsid w:val="00BD6D0E"/>
    <w:rsid w:val="00BD6EC3"/>
    <w:rsid w:val="00BD7460"/>
    <w:rsid w:val="00BD7653"/>
    <w:rsid w:val="00BE0217"/>
    <w:rsid w:val="00BE0B86"/>
    <w:rsid w:val="00BE0E17"/>
    <w:rsid w:val="00BE0FFC"/>
    <w:rsid w:val="00BE11BA"/>
    <w:rsid w:val="00BE1314"/>
    <w:rsid w:val="00BE144D"/>
    <w:rsid w:val="00BE1897"/>
    <w:rsid w:val="00BE2501"/>
    <w:rsid w:val="00BE251C"/>
    <w:rsid w:val="00BE28E2"/>
    <w:rsid w:val="00BE2F58"/>
    <w:rsid w:val="00BE3264"/>
    <w:rsid w:val="00BE3787"/>
    <w:rsid w:val="00BE387D"/>
    <w:rsid w:val="00BE3C28"/>
    <w:rsid w:val="00BE4421"/>
    <w:rsid w:val="00BE4D44"/>
    <w:rsid w:val="00BE53C1"/>
    <w:rsid w:val="00BE59E5"/>
    <w:rsid w:val="00BE5FF0"/>
    <w:rsid w:val="00BE6291"/>
    <w:rsid w:val="00BE64A4"/>
    <w:rsid w:val="00BE660E"/>
    <w:rsid w:val="00BE69CF"/>
    <w:rsid w:val="00BE78AE"/>
    <w:rsid w:val="00BE7C6D"/>
    <w:rsid w:val="00BF001C"/>
    <w:rsid w:val="00BF110E"/>
    <w:rsid w:val="00BF1596"/>
    <w:rsid w:val="00BF1798"/>
    <w:rsid w:val="00BF1CB9"/>
    <w:rsid w:val="00BF24DF"/>
    <w:rsid w:val="00BF2E94"/>
    <w:rsid w:val="00BF2F2D"/>
    <w:rsid w:val="00BF32F6"/>
    <w:rsid w:val="00BF378A"/>
    <w:rsid w:val="00BF38EE"/>
    <w:rsid w:val="00BF3A90"/>
    <w:rsid w:val="00BF3ED6"/>
    <w:rsid w:val="00BF402A"/>
    <w:rsid w:val="00BF522B"/>
    <w:rsid w:val="00BF5D1F"/>
    <w:rsid w:val="00BF63D6"/>
    <w:rsid w:val="00BF6B0E"/>
    <w:rsid w:val="00BF6B91"/>
    <w:rsid w:val="00BF6D2C"/>
    <w:rsid w:val="00BF75CF"/>
    <w:rsid w:val="00BF7BAC"/>
    <w:rsid w:val="00BF7FFC"/>
    <w:rsid w:val="00C00897"/>
    <w:rsid w:val="00C00C54"/>
    <w:rsid w:val="00C00CE0"/>
    <w:rsid w:val="00C01291"/>
    <w:rsid w:val="00C0131E"/>
    <w:rsid w:val="00C013C8"/>
    <w:rsid w:val="00C01E15"/>
    <w:rsid w:val="00C02185"/>
    <w:rsid w:val="00C0253C"/>
    <w:rsid w:val="00C0287B"/>
    <w:rsid w:val="00C02C1E"/>
    <w:rsid w:val="00C02CFB"/>
    <w:rsid w:val="00C03103"/>
    <w:rsid w:val="00C03AAA"/>
    <w:rsid w:val="00C03B8E"/>
    <w:rsid w:val="00C03FFE"/>
    <w:rsid w:val="00C0409D"/>
    <w:rsid w:val="00C04A36"/>
    <w:rsid w:val="00C04B21"/>
    <w:rsid w:val="00C04D0B"/>
    <w:rsid w:val="00C052D6"/>
    <w:rsid w:val="00C056AE"/>
    <w:rsid w:val="00C05886"/>
    <w:rsid w:val="00C05E40"/>
    <w:rsid w:val="00C05EAA"/>
    <w:rsid w:val="00C06047"/>
    <w:rsid w:val="00C0796C"/>
    <w:rsid w:val="00C07E8C"/>
    <w:rsid w:val="00C10B55"/>
    <w:rsid w:val="00C10E7E"/>
    <w:rsid w:val="00C10E98"/>
    <w:rsid w:val="00C11731"/>
    <w:rsid w:val="00C120C4"/>
    <w:rsid w:val="00C12567"/>
    <w:rsid w:val="00C128BC"/>
    <w:rsid w:val="00C12CC6"/>
    <w:rsid w:val="00C12FA2"/>
    <w:rsid w:val="00C13052"/>
    <w:rsid w:val="00C13BCB"/>
    <w:rsid w:val="00C13F25"/>
    <w:rsid w:val="00C14272"/>
    <w:rsid w:val="00C14997"/>
    <w:rsid w:val="00C14AC3"/>
    <w:rsid w:val="00C15423"/>
    <w:rsid w:val="00C15514"/>
    <w:rsid w:val="00C155F8"/>
    <w:rsid w:val="00C15EE8"/>
    <w:rsid w:val="00C15F89"/>
    <w:rsid w:val="00C16873"/>
    <w:rsid w:val="00C16A3D"/>
    <w:rsid w:val="00C16E94"/>
    <w:rsid w:val="00C17294"/>
    <w:rsid w:val="00C17D00"/>
    <w:rsid w:val="00C17EC1"/>
    <w:rsid w:val="00C206B7"/>
    <w:rsid w:val="00C208F0"/>
    <w:rsid w:val="00C2115A"/>
    <w:rsid w:val="00C21503"/>
    <w:rsid w:val="00C21C2E"/>
    <w:rsid w:val="00C21E23"/>
    <w:rsid w:val="00C21E74"/>
    <w:rsid w:val="00C2221A"/>
    <w:rsid w:val="00C2239B"/>
    <w:rsid w:val="00C2270E"/>
    <w:rsid w:val="00C22AEB"/>
    <w:rsid w:val="00C2302A"/>
    <w:rsid w:val="00C23297"/>
    <w:rsid w:val="00C2330E"/>
    <w:rsid w:val="00C23336"/>
    <w:rsid w:val="00C2390B"/>
    <w:rsid w:val="00C2439B"/>
    <w:rsid w:val="00C24904"/>
    <w:rsid w:val="00C25C8E"/>
    <w:rsid w:val="00C25E3B"/>
    <w:rsid w:val="00C25E5E"/>
    <w:rsid w:val="00C25E7D"/>
    <w:rsid w:val="00C26035"/>
    <w:rsid w:val="00C267BA"/>
    <w:rsid w:val="00C2728E"/>
    <w:rsid w:val="00C274D5"/>
    <w:rsid w:val="00C278E3"/>
    <w:rsid w:val="00C27D28"/>
    <w:rsid w:val="00C30389"/>
    <w:rsid w:val="00C307C5"/>
    <w:rsid w:val="00C30FFB"/>
    <w:rsid w:val="00C3119F"/>
    <w:rsid w:val="00C313C2"/>
    <w:rsid w:val="00C314C0"/>
    <w:rsid w:val="00C3155F"/>
    <w:rsid w:val="00C31A3B"/>
    <w:rsid w:val="00C31CC2"/>
    <w:rsid w:val="00C323BD"/>
    <w:rsid w:val="00C33403"/>
    <w:rsid w:val="00C33546"/>
    <w:rsid w:val="00C336FD"/>
    <w:rsid w:val="00C33BB8"/>
    <w:rsid w:val="00C342B0"/>
    <w:rsid w:val="00C3444F"/>
    <w:rsid w:val="00C347F1"/>
    <w:rsid w:val="00C34ECF"/>
    <w:rsid w:val="00C35572"/>
    <w:rsid w:val="00C358D8"/>
    <w:rsid w:val="00C35F2F"/>
    <w:rsid w:val="00C35FFB"/>
    <w:rsid w:val="00C36415"/>
    <w:rsid w:val="00C3650C"/>
    <w:rsid w:val="00C368EC"/>
    <w:rsid w:val="00C4022B"/>
    <w:rsid w:val="00C40D72"/>
    <w:rsid w:val="00C41104"/>
    <w:rsid w:val="00C4182B"/>
    <w:rsid w:val="00C4231B"/>
    <w:rsid w:val="00C42645"/>
    <w:rsid w:val="00C4276E"/>
    <w:rsid w:val="00C42C20"/>
    <w:rsid w:val="00C42DEA"/>
    <w:rsid w:val="00C4314B"/>
    <w:rsid w:val="00C431B6"/>
    <w:rsid w:val="00C433D5"/>
    <w:rsid w:val="00C43ABE"/>
    <w:rsid w:val="00C440F9"/>
    <w:rsid w:val="00C4429D"/>
    <w:rsid w:val="00C448CD"/>
    <w:rsid w:val="00C450DF"/>
    <w:rsid w:val="00C46C64"/>
    <w:rsid w:val="00C471A3"/>
    <w:rsid w:val="00C47403"/>
    <w:rsid w:val="00C47E4F"/>
    <w:rsid w:val="00C47EE6"/>
    <w:rsid w:val="00C50074"/>
    <w:rsid w:val="00C5041D"/>
    <w:rsid w:val="00C50443"/>
    <w:rsid w:val="00C50AD1"/>
    <w:rsid w:val="00C50E22"/>
    <w:rsid w:val="00C514C9"/>
    <w:rsid w:val="00C51698"/>
    <w:rsid w:val="00C517FE"/>
    <w:rsid w:val="00C51C90"/>
    <w:rsid w:val="00C52029"/>
    <w:rsid w:val="00C52ECB"/>
    <w:rsid w:val="00C532D3"/>
    <w:rsid w:val="00C537F1"/>
    <w:rsid w:val="00C53F0A"/>
    <w:rsid w:val="00C54043"/>
    <w:rsid w:val="00C5460F"/>
    <w:rsid w:val="00C547ED"/>
    <w:rsid w:val="00C55CA8"/>
    <w:rsid w:val="00C56570"/>
    <w:rsid w:val="00C577A5"/>
    <w:rsid w:val="00C57911"/>
    <w:rsid w:val="00C57CEB"/>
    <w:rsid w:val="00C57D1A"/>
    <w:rsid w:val="00C57F95"/>
    <w:rsid w:val="00C6043C"/>
    <w:rsid w:val="00C60D37"/>
    <w:rsid w:val="00C61365"/>
    <w:rsid w:val="00C614DF"/>
    <w:rsid w:val="00C6165C"/>
    <w:rsid w:val="00C61F0F"/>
    <w:rsid w:val="00C62112"/>
    <w:rsid w:val="00C623BB"/>
    <w:rsid w:val="00C6343E"/>
    <w:rsid w:val="00C640FE"/>
    <w:rsid w:val="00C642AE"/>
    <w:rsid w:val="00C6475B"/>
    <w:rsid w:val="00C65163"/>
    <w:rsid w:val="00C657AE"/>
    <w:rsid w:val="00C65F4E"/>
    <w:rsid w:val="00C66033"/>
    <w:rsid w:val="00C6651D"/>
    <w:rsid w:val="00C667ED"/>
    <w:rsid w:val="00C66B17"/>
    <w:rsid w:val="00C66BAE"/>
    <w:rsid w:val="00C67529"/>
    <w:rsid w:val="00C67603"/>
    <w:rsid w:val="00C679AE"/>
    <w:rsid w:val="00C67DD1"/>
    <w:rsid w:val="00C67E6E"/>
    <w:rsid w:val="00C67E92"/>
    <w:rsid w:val="00C70BD4"/>
    <w:rsid w:val="00C70ECA"/>
    <w:rsid w:val="00C70EE9"/>
    <w:rsid w:val="00C71858"/>
    <w:rsid w:val="00C722C4"/>
    <w:rsid w:val="00C72307"/>
    <w:rsid w:val="00C73216"/>
    <w:rsid w:val="00C73A53"/>
    <w:rsid w:val="00C73F98"/>
    <w:rsid w:val="00C7421E"/>
    <w:rsid w:val="00C74D85"/>
    <w:rsid w:val="00C750C5"/>
    <w:rsid w:val="00C75173"/>
    <w:rsid w:val="00C75181"/>
    <w:rsid w:val="00C751FB"/>
    <w:rsid w:val="00C75235"/>
    <w:rsid w:val="00C75877"/>
    <w:rsid w:val="00C75A92"/>
    <w:rsid w:val="00C75CC7"/>
    <w:rsid w:val="00C75FC5"/>
    <w:rsid w:val="00C7628C"/>
    <w:rsid w:val="00C766BA"/>
    <w:rsid w:val="00C774AB"/>
    <w:rsid w:val="00C803C1"/>
    <w:rsid w:val="00C8053E"/>
    <w:rsid w:val="00C80FD7"/>
    <w:rsid w:val="00C813F0"/>
    <w:rsid w:val="00C817A2"/>
    <w:rsid w:val="00C81A5F"/>
    <w:rsid w:val="00C81B81"/>
    <w:rsid w:val="00C81F17"/>
    <w:rsid w:val="00C81F1B"/>
    <w:rsid w:val="00C8211E"/>
    <w:rsid w:val="00C82230"/>
    <w:rsid w:val="00C82553"/>
    <w:rsid w:val="00C829E4"/>
    <w:rsid w:val="00C829F3"/>
    <w:rsid w:val="00C83206"/>
    <w:rsid w:val="00C83B37"/>
    <w:rsid w:val="00C83BB5"/>
    <w:rsid w:val="00C83C4E"/>
    <w:rsid w:val="00C843E8"/>
    <w:rsid w:val="00C84525"/>
    <w:rsid w:val="00C84DE7"/>
    <w:rsid w:val="00C84F31"/>
    <w:rsid w:val="00C85724"/>
    <w:rsid w:val="00C85EB3"/>
    <w:rsid w:val="00C867BE"/>
    <w:rsid w:val="00C86D73"/>
    <w:rsid w:val="00C86E2B"/>
    <w:rsid w:val="00C86F0B"/>
    <w:rsid w:val="00C87543"/>
    <w:rsid w:val="00C87AC5"/>
    <w:rsid w:val="00C87BED"/>
    <w:rsid w:val="00C87F17"/>
    <w:rsid w:val="00C9029D"/>
    <w:rsid w:val="00C90450"/>
    <w:rsid w:val="00C906CD"/>
    <w:rsid w:val="00C91402"/>
    <w:rsid w:val="00C915CB"/>
    <w:rsid w:val="00C91649"/>
    <w:rsid w:val="00C91660"/>
    <w:rsid w:val="00C916FA"/>
    <w:rsid w:val="00C91F62"/>
    <w:rsid w:val="00C926B1"/>
    <w:rsid w:val="00C928CC"/>
    <w:rsid w:val="00C92C95"/>
    <w:rsid w:val="00C92D0A"/>
    <w:rsid w:val="00C92F69"/>
    <w:rsid w:val="00C93004"/>
    <w:rsid w:val="00C93198"/>
    <w:rsid w:val="00C932A2"/>
    <w:rsid w:val="00C93369"/>
    <w:rsid w:val="00C9345A"/>
    <w:rsid w:val="00C9397A"/>
    <w:rsid w:val="00C939BA"/>
    <w:rsid w:val="00C93A9C"/>
    <w:rsid w:val="00C94147"/>
    <w:rsid w:val="00C94394"/>
    <w:rsid w:val="00C948AC"/>
    <w:rsid w:val="00C949B5"/>
    <w:rsid w:val="00C94DC6"/>
    <w:rsid w:val="00C94F2C"/>
    <w:rsid w:val="00C95023"/>
    <w:rsid w:val="00C95F56"/>
    <w:rsid w:val="00C96309"/>
    <w:rsid w:val="00C9690D"/>
    <w:rsid w:val="00C96EA3"/>
    <w:rsid w:val="00C9711A"/>
    <w:rsid w:val="00C9764A"/>
    <w:rsid w:val="00C97DC6"/>
    <w:rsid w:val="00CA0451"/>
    <w:rsid w:val="00CA0786"/>
    <w:rsid w:val="00CA0908"/>
    <w:rsid w:val="00CA0984"/>
    <w:rsid w:val="00CA0F45"/>
    <w:rsid w:val="00CA122E"/>
    <w:rsid w:val="00CA1305"/>
    <w:rsid w:val="00CA1817"/>
    <w:rsid w:val="00CA1A3B"/>
    <w:rsid w:val="00CA1D18"/>
    <w:rsid w:val="00CA20A9"/>
    <w:rsid w:val="00CA22BC"/>
    <w:rsid w:val="00CA24FA"/>
    <w:rsid w:val="00CA2500"/>
    <w:rsid w:val="00CA256C"/>
    <w:rsid w:val="00CA26A1"/>
    <w:rsid w:val="00CA2A16"/>
    <w:rsid w:val="00CA31C3"/>
    <w:rsid w:val="00CA3523"/>
    <w:rsid w:val="00CA366B"/>
    <w:rsid w:val="00CA3FAA"/>
    <w:rsid w:val="00CA4620"/>
    <w:rsid w:val="00CA4E72"/>
    <w:rsid w:val="00CA4FDC"/>
    <w:rsid w:val="00CA58CB"/>
    <w:rsid w:val="00CA5C2D"/>
    <w:rsid w:val="00CA5C7F"/>
    <w:rsid w:val="00CA6431"/>
    <w:rsid w:val="00CA65B7"/>
    <w:rsid w:val="00CA67C3"/>
    <w:rsid w:val="00CA6FB0"/>
    <w:rsid w:val="00CA76DD"/>
    <w:rsid w:val="00CB03EA"/>
    <w:rsid w:val="00CB080C"/>
    <w:rsid w:val="00CB0850"/>
    <w:rsid w:val="00CB0A4E"/>
    <w:rsid w:val="00CB1042"/>
    <w:rsid w:val="00CB129C"/>
    <w:rsid w:val="00CB14AD"/>
    <w:rsid w:val="00CB17BB"/>
    <w:rsid w:val="00CB1B38"/>
    <w:rsid w:val="00CB28DE"/>
    <w:rsid w:val="00CB2B47"/>
    <w:rsid w:val="00CB2F94"/>
    <w:rsid w:val="00CB2FBF"/>
    <w:rsid w:val="00CB4790"/>
    <w:rsid w:val="00CB4AA4"/>
    <w:rsid w:val="00CB4BE9"/>
    <w:rsid w:val="00CB4EFE"/>
    <w:rsid w:val="00CB507A"/>
    <w:rsid w:val="00CB5526"/>
    <w:rsid w:val="00CB55E6"/>
    <w:rsid w:val="00CB57E4"/>
    <w:rsid w:val="00CB5964"/>
    <w:rsid w:val="00CB5CA4"/>
    <w:rsid w:val="00CB5F89"/>
    <w:rsid w:val="00CB5FD4"/>
    <w:rsid w:val="00CB6333"/>
    <w:rsid w:val="00CB6690"/>
    <w:rsid w:val="00CB6AE4"/>
    <w:rsid w:val="00CB6BFA"/>
    <w:rsid w:val="00CB6CFD"/>
    <w:rsid w:val="00CB7236"/>
    <w:rsid w:val="00CB74DE"/>
    <w:rsid w:val="00CB76D1"/>
    <w:rsid w:val="00CB7941"/>
    <w:rsid w:val="00CC0244"/>
    <w:rsid w:val="00CC0804"/>
    <w:rsid w:val="00CC091D"/>
    <w:rsid w:val="00CC0A7D"/>
    <w:rsid w:val="00CC0AF3"/>
    <w:rsid w:val="00CC167B"/>
    <w:rsid w:val="00CC16CD"/>
    <w:rsid w:val="00CC190B"/>
    <w:rsid w:val="00CC19F9"/>
    <w:rsid w:val="00CC1C3F"/>
    <w:rsid w:val="00CC20D2"/>
    <w:rsid w:val="00CC2D07"/>
    <w:rsid w:val="00CC2E50"/>
    <w:rsid w:val="00CC2FA4"/>
    <w:rsid w:val="00CC30D0"/>
    <w:rsid w:val="00CC351C"/>
    <w:rsid w:val="00CC3701"/>
    <w:rsid w:val="00CC3EA0"/>
    <w:rsid w:val="00CC400F"/>
    <w:rsid w:val="00CC4343"/>
    <w:rsid w:val="00CC48F6"/>
    <w:rsid w:val="00CC4A6B"/>
    <w:rsid w:val="00CC519A"/>
    <w:rsid w:val="00CC54F8"/>
    <w:rsid w:val="00CC58F4"/>
    <w:rsid w:val="00CC5EC1"/>
    <w:rsid w:val="00CC61C0"/>
    <w:rsid w:val="00CC64FA"/>
    <w:rsid w:val="00CC6745"/>
    <w:rsid w:val="00CC6A54"/>
    <w:rsid w:val="00CC6DE6"/>
    <w:rsid w:val="00CC6F55"/>
    <w:rsid w:val="00CC7772"/>
    <w:rsid w:val="00CC7B80"/>
    <w:rsid w:val="00CC7EBC"/>
    <w:rsid w:val="00CC7FAF"/>
    <w:rsid w:val="00CC7FD6"/>
    <w:rsid w:val="00CD02E8"/>
    <w:rsid w:val="00CD0377"/>
    <w:rsid w:val="00CD0489"/>
    <w:rsid w:val="00CD0BD9"/>
    <w:rsid w:val="00CD0E41"/>
    <w:rsid w:val="00CD0E83"/>
    <w:rsid w:val="00CD14F1"/>
    <w:rsid w:val="00CD1632"/>
    <w:rsid w:val="00CD251F"/>
    <w:rsid w:val="00CD310D"/>
    <w:rsid w:val="00CD3753"/>
    <w:rsid w:val="00CD421B"/>
    <w:rsid w:val="00CD4423"/>
    <w:rsid w:val="00CD462D"/>
    <w:rsid w:val="00CD4B80"/>
    <w:rsid w:val="00CD52F1"/>
    <w:rsid w:val="00CD5392"/>
    <w:rsid w:val="00CD5A2A"/>
    <w:rsid w:val="00CD5AB6"/>
    <w:rsid w:val="00CD69F7"/>
    <w:rsid w:val="00CD6F3D"/>
    <w:rsid w:val="00CD7C8F"/>
    <w:rsid w:val="00CD7DD6"/>
    <w:rsid w:val="00CE0108"/>
    <w:rsid w:val="00CE0193"/>
    <w:rsid w:val="00CE04C9"/>
    <w:rsid w:val="00CE04EE"/>
    <w:rsid w:val="00CE0864"/>
    <w:rsid w:val="00CE0B94"/>
    <w:rsid w:val="00CE0D50"/>
    <w:rsid w:val="00CE0DFF"/>
    <w:rsid w:val="00CE11B7"/>
    <w:rsid w:val="00CE1715"/>
    <w:rsid w:val="00CE181F"/>
    <w:rsid w:val="00CE1949"/>
    <w:rsid w:val="00CE19F4"/>
    <w:rsid w:val="00CE1BE6"/>
    <w:rsid w:val="00CE2090"/>
    <w:rsid w:val="00CE2999"/>
    <w:rsid w:val="00CE422B"/>
    <w:rsid w:val="00CE454F"/>
    <w:rsid w:val="00CE4687"/>
    <w:rsid w:val="00CE4DC1"/>
    <w:rsid w:val="00CE510E"/>
    <w:rsid w:val="00CE5400"/>
    <w:rsid w:val="00CE5401"/>
    <w:rsid w:val="00CE5685"/>
    <w:rsid w:val="00CE583E"/>
    <w:rsid w:val="00CE608E"/>
    <w:rsid w:val="00CE6197"/>
    <w:rsid w:val="00CE6478"/>
    <w:rsid w:val="00CE671F"/>
    <w:rsid w:val="00CE6781"/>
    <w:rsid w:val="00CE6DE8"/>
    <w:rsid w:val="00CE79F8"/>
    <w:rsid w:val="00CE7DC8"/>
    <w:rsid w:val="00CF0DC5"/>
    <w:rsid w:val="00CF0DCC"/>
    <w:rsid w:val="00CF1278"/>
    <w:rsid w:val="00CF148F"/>
    <w:rsid w:val="00CF1511"/>
    <w:rsid w:val="00CF1655"/>
    <w:rsid w:val="00CF1904"/>
    <w:rsid w:val="00CF1A06"/>
    <w:rsid w:val="00CF1B03"/>
    <w:rsid w:val="00CF1BE5"/>
    <w:rsid w:val="00CF1D9D"/>
    <w:rsid w:val="00CF22E0"/>
    <w:rsid w:val="00CF290B"/>
    <w:rsid w:val="00CF2D53"/>
    <w:rsid w:val="00CF3091"/>
    <w:rsid w:val="00CF31AD"/>
    <w:rsid w:val="00CF32ED"/>
    <w:rsid w:val="00CF3881"/>
    <w:rsid w:val="00CF392F"/>
    <w:rsid w:val="00CF3E1E"/>
    <w:rsid w:val="00CF4273"/>
    <w:rsid w:val="00CF456D"/>
    <w:rsid w:val="00CF55C4"/>
    <w:rsid w:val="00CF6FCB"/>
    <w:rsid w:val="00CF6FE1"/>
    <w:rsid w:val="00CF703F"/>
    <w:rsid w:val="00CF76B5"/>
    <w:rsid w:val="00CF7AC7"/>
    <w:rsid w:val="00CF7D0D"/>
    <w:rsid w:val="00CF7E80"/>
    <w:rsid w:val="00D0019B"/>
    <w:rsid w:val="00D00E9D"/>
    <w:rsid w:val="00D01416"/>
    <w:rsid w:val="00D017C6"/>
    <w:rsid w:val="00D01841"/>
    <w:rsid w:val="00D01EA0"/>
    <w:rsid w:val="00D01EB5"/>
    <w:rsid w:val="00D02303"/>
    <w:rsid w:val="00D02506"/>
    <w:rsid w:val="00D02634"/>
    <w:rsid w:val="00D029A1"/>
    <w:rsid w:val="00D02A01"/>
    <w:rsid w:val="00D02AB8"/>
    <w:rsid w:val="00D02BF2"/>
    <w:rsid w:val="00D02D9F"/>
    <w:rsid w:val="00D02DF9"/>
    <w:rsid w:val="00D02E8D"/>
    <w:rsid w:val="00D0310F"/>
    <w:rsid w:val="00D032FA"/>
    <w:rsid w:val="00D0381C"/>
    <w:rsid w:val="00D03A0D"/>
    <w:rsid w:val="00D03B34"/>
    <w:rsid w:val="00D03D1B"/>
    <w:rsid w:val="00D04248"/>
    <w:rsid w:val="00D0453E"/>
    <w:rsid w:val="00D04A38"/>
    <w:rsid w:val="00D053AF"/>
    <w:rsid w:val="00D05550"/>
    <w:rsid w:val="00D05E32"/>
    <w:rsid w:val="00D05EF4"/>
    <w:rsid w:val="00D061AD"/>
    <w:rsid w:val="00D065AB"/>
    <w:rsid w:val="00D066EB"/>
    <w:rsid w:val="00D073CB"/>
    <w:rsid w:val="00D07866"/>
    <w:rsid w:val="00D10167"/>
    <w:rsid w:val="00D101ED"/>
    <w:rsid w:val="00D10595"/>
    <w:rsid w:val="00D10DE8"/>
    <w:rsid w:val="00D114F9"/>
    <w:rsid w:val="00D117E4"/>
    <w:rsid w:val="00D11C72"/>
    <w:rsid w:val="00D11E9B"/>
    <w:rsid w:val="00D11F16"/>
    <w:rsid w:val="00D124CC"/>
    <w:rsid w:val="00D12518"/>
    <w:rsid w:val="00D12CCA"/>
    <w:rsid w:val="00D13236"/>
    <w:rsid w:val="00D13531"/>
    <w:rsid w:val="00D136C2"/>
    <w:rsid w:val="00D13750"/>
    <w:rsid w:val="00D13938"/>
    <w:rsid w:val="00D13C20"/>
    <w:rsid w:val="00D13F58"/>
    <w:rsid w:val="00D14044"/>
    <w:rsid w:val="00D14A0E"/>
    <w:rsid w:val="00D14A8D"/>
    <w:rsid w:val="00D152CC"/>
    <w:rsid w:val="00D158A2"/>
    <w:rsid w:val="00D16332"/>
    <w:rsid w:val="00D169BB"/>
    <w:rsid w:val="00D171A5"/>
    <w:rsid w:val="00D17908"/>
    <w:rsid w:val="00D17AAB"/>
    <w:rsid w:val="00D17F51"/>
    <w:rsid w:val="00D20674"/>
    <w:rsid w:val="00D20696"/>
    <w:rsid w:val="00D20A09"/>
    <w:rsid w:val="00D20B98"/>
    <w:rsid w:val="00D2107D"/>
    <w:rsid w:val="00D2113A"/>
    <w:rsid w:val="00D21168"/>
    <w:rsid w:val="00D215FD"/>
    <w:rsid w:val="00D216BB"/>
    <w:rsid w:val="00D218FF"/>
    <w:rsid w:val="00D22165"/>
    <w:rsid w:val="00D22193"/>
    <w:rsid w:val="00D22BCD"/>
    <w:rsid w:val="00D238BF"/>
    <w:rsid w:val="00D2426B"/>
    <w:rsid w:val="00D24770"/>
    <w:rsid w:val="00D2512E"/>
    <w:rsid w:val="00D2579B"/>
    <w:rsid w:val="00D25D12"/>
    <w:rsid w:val="00D25DEC"/>
    <w:rsid w:val="00D260F9"/>
    <w:rsid w:val="00D269FE"/>
    <w:rsid w:val="00D26E3A"/>
    <w:rsid w:val="00D278ED"/>
    <w:rsid w:val="00D27DAB"/>
    <w:rsid w:val="00D3005B"/>
    <w:rsid w:val="00D3041D"/>
    <w:rsid w:val="00D3102C"/>
    <w:rsid w:val="00D31303"/>
    <w:rsid w:val="00D31538"/>
    <w:rsid w:val="00D31B36"/>
    <w:rsid w:val="00D31F64"/>
    <w:rsid w:val="00D32249"/>
    <w:rsid w:val="00D32401"/>
    <w:rsid w:val="00D32C8C"/>
    <w:rsid w:val="00D32CA0"/>
    <w:rsid w:val="00D33388"/>
    <w:rsid w:val="00D33DD9"/>
    <w:rsid w:val="00D340DF"/>
    <w:rsid w:val="00D34116"/>
    <w:rsid w:val="00D344BE"/>
    <w:rsid w:val="00D344C0"/>
    <w:rsid w:val="00D34707"/>
    <w:rsid w:val="00D34B1B"/>
    <w:rsid w:val="00D35164"/>
    <w:rsid w:val="00D3524C"/>
    <w:rsid w:val="00D36A41"/>
    <w:rsid w:val="00D36CFE"/>
    <w:rsid w:val="00D37870"/>
    <w:rsid w:val="00D37958"/>
    <w:rsid w:val="00D37CAB"/>
    <w:rsid w:val="00D37D5D"/>
    <w:rsid w:val="00D37E4D"/>
    <w:rsid w:val="00D37F20"/>
    <w:rsid w:val="00D40278"/>
    <w:rsid w:val="00D40A5E"/>
    <w:rsid w:val="00D414CE"/>
    <w:rsid w:val="00D41F0A"/>
    <w:rsid w:val="00D422B5"/>
    <w:rsid w:val="00D4275C"/>
    <w:rsid w:val="00D42D0C"/>
    <w:rsid w:val="00D43099"/>
    <w:rsid w:val="00D43730"/>
    <w:rsid w:val="00D43977"/>
    <w:rsid w:val="00D4458A"/>
    <w:rsid w:val="00D44AFD"/>
    <w:rsid w:val="00D44C87"/>
    <w:rsid w:val="00D44CEE"/>
    <w:rsid w:val="00D44D42"/>
    <w:rsid w:val="00D45475"/>
    <w:rsid w:val="00D45504"/>
    <w:rsid w:val="00D45933"/>
    <w:rsid w:val="00D46117"/>
    <w:rsid w:val="00D46AAB"/>
    <w:rsid w:val="00D46D3D"/>
    <w:rsid w:val="00D474F6"/>
    <w:rsid w:val="00D47BAB"/>
    <w:rsid w:val="00D50298"/>
    <w:rsid w:val="00D5070C"/>
    <w:rsid w:val="00D50ACC"/>
    <w:rsid w:val="00D50CC7"/>
    <w:rsid w:val="00D518A6"/>
    <w:rsid w:val="00D518A7"/>
    <w:rsid w:val="00D518E7"/>
    <w:rsid w:val="00D53367"/>
    <w:rsid w:val="00D53583"/>
    <w:rsid w:val="00D53924"/>
    <w:rsid w:val="00D53D60"/>
    <w:rsid w:val="00D53EBA"/>
    <w:rsid w:val="00D54126"/>
    <w:rsid w:val="00D54176"/>
    <w:rsid w:val="00D54774"/>
    <w:rsid w:val="00D54C4F"/>
    <w:rsid w:val="00D54C55"/>
    <w:rsid w:val="00D54D11"/>
    <w:rsid w:val="00D54EFA"/>
    <w:rsid w:val="00D55214"/>
    <w:rsid w:val="00D553E0"/>
    <w:rsid w:val="00D556A0"/>
    <w:rsid w:val="00D55E48"/>
    <w:rsid w:val="00D56D9E"/>
    <w:rsid w:val="00D57585"/>
    <w:rsid w:val="00D57813"/>
    <w:rsid w:val="00D57933"/>
    <w:rsid w:val="00D57C49"/>
    <w:rsid w:val="00D57C4B"/>
    <w:rsid w:val="00D60691"/>
    <w:rsid w:val="00D61387"/>
    <w:rsid w:val="00D61407"/>
    <w:rsid w:val="00D61ADA"/>
    <w:rsid w:val="00D61BFC"/>
    <w:rsid w:val="00D6282D"/>
    <w:rsid w:val="00D629C4"/>
    <w:rsid w:val="00D62B14"/>
    <w:rsid w:val="00D62F6C"/>
    <w:rsid w:val="00D63000"/>
    <w:rsid w:val="00D631F4"/>
    <w:rsid w:val="00D633F7"/>
    <w:rsid w:val="00D635E4"/>
    <w:rsid w:val="00D63F1E"/>
    <w:rsid w:val="00D640C8"/>
    <w:rsid w:val="00D64D8F"/>
    <w:rsid w:val="00D65371"/>
    <w:rsid w:val="00D6584F"/>
    <w:rsid w:val="00D66F70"/>
    <w:rsid w:val="00D67095"/>
    <w:rsid w:val="00D67121"/>
    <w:rsid w:val="00D70524"/>
    <w:rsid w:val="00D70B11"/>
    <w:rsid w:val="00D70B2A"/>
    <w:rsid w:val="00D70DF0"/>
    <w:rsid w:val="00D710B6"/>
    <w:rsid w:val="00D7150C"/>
    <w:rsid w:val="00D72065"/>
    <w:rsid w:val="00D726FC"/>
    <w:rsid w:val="00D72DC9"/>
    <w:rsid w:val="00D72E64"/>
    <w:rsid w:val="00D72FFF"/>
    <w:rsid w:val="00D732C1"/>
    <w:rsid w:val="00D73B0D"/>
    <w:rsid w:val="00D73BA0"/>
    <w:rsid w:val="00D73C25"/>
    <w:rsid w:val="00D73F9D"/>
    <w:rsid w:val="00D754FA"/>
    <w:rsid w:val="00D75944"/>
    <w:rsid w:val="00D75A15"/>
    <w:rsid w:val="00D766FA"/>
    <w:rsid w:val="00D80389"/>
    <w:rsid w:val="00D803CA"/>
    <w:rsid w:val="00D80B79"/>
    <w:rsid w:val="00D80FCE"/>
    <w:rsid w:val="00D814E7"/>
    <w:rsid w:val="00D816E2"/>
    <w:rsid w:val="00D825E9"/>
    <w:rsid w:val="00D8276C"/>
    <w:rsid w:val="00D829D6"/>
    <w:rsid w:val="00D82BAA"/>
    <w:rsid w:val="00D82BD6"/>
    <w:rsid w:val="00D83486"/>
    <w:rsid w:val="00D838E2"/>
    <w:rsid w:val="00D83EC1"/>
    <w:rsid w:val="00D843B7"/>
    <w:rsid w:val="00D84450"/>
    <w:rsid w:val="00D844B1"/>
    <w:rsid w:val="00D84735"/>
    <w:rsid w:val="00D85151"/>
    <w:rsid w:val="00D859AF"/>
    <w:rsid w:val="00D85EF7"/>
    <w:rsid w:val="00D85FA2"/>
    <w:rsid w:val="00D8678A"/>
    <w:rsid w:val="00D8689F"/>
    <w:rsid w:val="00D87B09"/>
    <w:rsid w:val="00D87BC3"/>
    <w:rsid w:val="00D90268"/>
    <w:rsid w:val="00D90B67"/>
    <w:rsid w:val="00D90D7A"/>
    <w:rsid w:val="00D917AD"/>
    <w:rsid w:val="00D917DC"/>
    <w:rsid w:val="00D919FC"/>
    <w:rsid w:val="00D924F8"/>
    <w:rsid w:val="00D92959"/>
    <w:rsid w:val="00D92BA1"/>
    <w:rsid w:val="00D9304A"/>
    <w:rsid w:val="00D9396D"/>
    <w:rsid w:val="00D93C4D"/>
    <w:rsid w:val="00D93FF0"/>
    <w:rsid w:val="00D94ADB"/>
    <w:rsid w:val="00D950F8"/>
    <w:rsid w:val="00D95CD1"/>
    <w:rsid w:val="00D96071"/>
    <w:rsid w:val="00D96360"/>
    <w:rsid w:val="00D96A69"/>
    <w:rsid w:val="00D970B1"/>
    <w:rsid w:val="00D97302"/>
    <w:rsid w:val="00D97CC3"/>
    <w:rsid w:val="00D97E55"/>
    <w:rsid w:val="00DA03A4"/>
    <w:rsid w:val="00DA079A"/>
    <w:rsid w:val="00DA104D"/>
    <w:rsid w:val="00DA11F6"/>
    <w:rsid w:val="00DA1404"/>
    <w:rsid w:val="00DA17C5"/>
    <w:rsid w:val="00DA18DB"/>
    <w:rsid w:val="00DA2749"/>
    <w:rsid w:val="00DA28F0"/>
    <w:rsid w:val="00DA28F3"/>
    <w:rsid w:val="00DA29A1"/>
    <w:rsid w:val="00DA2CF6"/>
    <w:rsid w:val="00DA344A"/>
    <w:rsid w:val="00DA3688"/>
    <w:rsid w:val="00DA3985"/>
    <w:rsid w:val="00DA3FBD"/>
    <w:rsid w:val="00DA4AF0"/>
    <w:rsid w:val="00DA5337"/>
    <w:rsid w:val="00DA662A"/>
    <w:rsid w:val="00DA6814"/>
    <w:rsid w:val="00DB080F"/>
    <w:rsid w:val="00DB090B"/>
    <w:rsid w:val="00DB0A67"/>
    <w:rsid w:val="00DB0AFD"/>
    <w:rsid w:val="00DB0FE3"/>
    <w:rsid w:val="00DB1226"/>
    <w:rsid w:val="00DB13DF"/>
    <w:rsid w:val="00DB1B52"/>
    <w:rsid w:val="00DB1E84"/>
    <w:rsid w:val="00DB2035"/>
    <w:rsid w:val="00DB27EA"/>
    <w:rsid w:val="00DB2918"/>
    <w:rsid w:val="00DB2DFC"/>
    <w:rsid w:val="00DB31B8"/>
    <w:rsid w:val="00DB3268"/>
    <w:rsid w:val="00DB428A"/>
    <w:rsid w:val="00DB42DA"/>
    <w:rsid w:val="00DB44AE"/>
    <w:rsid w:val="00DB4B20"/>
    <w:rsid w:val="00DB4D3F"/>
    <w:rsid w:val="00DB5D77"/>
    <w:rsid w:val="00DB6D06"/>
    <w:rsid w:val="00DB6E7A"/>
    <w:rsid w:val="00DB6EBC"/>
    <w:rsid w:val="00DB7525"/>
    <w:rsid w:val="00DB76CA"/>
    <w:rsid w:val="00DB7925"/>
    <w:rsid w:val="00DB7944"/>
    <w:rsid w:val="00DB7DFD"/>
    <w:rsid w:val="00DB7E3E"/>
    <w:rsid w:val="00DC03E9"/>
    <w:rsid w:val="00DC05C9"/>
    <w:rsid w:val="00DC05EC"/>
    <w:rsid w:val="00DC0771"/>
    <w:rsid w:val="00DC091A"/>
    <w:rsid w:val="00DC0B8C"/>
    <w:rsid w:val="00DC0C58"/>
    <w:rsid w:val="00DC0CFE"/>
    <w:rsid w:val="00DC1373"/>
    <w:rsid w:val="00DC16D3"/>
    <w:rsid w:val="00DC1E37"/>
    <w:rsid w:val="00DC1E40"/>
    <w:rsid w:val="00DC1E85"/>
    <w:rsid w:val="00DC21B1"/>
    <w:rsid w:val="00DC22F7"/>
    <w:rsid w:val="00DC2935"/>
    <w:rsid w:val="00DC2AA5"/>
    <w:rsid w:val="00DC2B69"/>
    <w:rsid w:val="00DC397A"/>
    <w:rsid w:val="00DC3993"/>
    <w:rsid w:val="00DC3E3C"/>
    <w:rsid w:val="00DC3F21"/>
    <w:rsid w:val="00DC46D5"/>
    <w:rsid w:val="00DC48E9"/>
    <w:rsid w:val="00DC49F9"/>
    <w:rsid w:val="00DC4B88"/>
    <w:rsid w:val="00DC4C32"/>
    <w:rsid w:val="00DC5A89"/>
    <w:rsid w:val="00DC5BB3"/>
    <w:rsid w:val="00DC6F87"/>
    <w:rsid w:val="00DC7507"/>
    <w:rsid w:val="00DC75C6"/>
    <w:rsid w:val="00DC7B6F"/>
    <w:rsid w:val="00DC7EAB"/>
    <w:rsid w:val="00DD0391"/>
    <w:rsid w:val="00DD0505"/>
    <w:rsid w:val="00DD0866"/>
    <w:rsid w:val="00DD08B9"/>
    <w:rsid w:val="00DD0A2C"/>
    <w:rsid w:val="00DD118D"/>
    <w:rsid w:val="00DD1445"/>
    <w:rsid w:val="00DD1B71"/>
    <w:rsid w:val="00DD2192"/>
    <w:rsid w:val="00DD2C90"/>
    <w:rsid w:val="00DD2DB3"/>
    <w:rsid w:val="00DD3516"/>
    <w:rsid w:val="00DD3A00"/>
    <w:rsid w:val="00DD48FA"/>
    <w:rsid w:val="00DD4C87"/>
    <w:rsid w:val="00DD558E"/>
    <w:rsid w:val="00DD597D"/>
    <w:rsid w:val="00DD5EA5"/>
    <w:rsid w:val="00DD5ED4"/>
    <w:rsid w:val="00DD6196"/>
    <w:rsid w:val="00DD657F"/>
    <w:rsid w:val="00DD6BFE"/>
    <w:rsid w:val="00DD79C9"/>
    <w:rsid w:val="00DE0280"/>
    <w:rsid w:val="00DE05A7"/>
    <w:rsid w:val="00DE0B7D"/>
    <w:rsid w:val="00DE0BCA"/>
    <w:rsid w:val="00DE0D79"/>
    <w:rsid w:val="00DE17F2"/>
    <w:rsid w:val="00DE296A"/>
    <w:rsid w:val="00DE2D5E"/>
    <w:rsid w:val="00DE2DDE"/>
    <w:rsid w:val="00DE2FBE"/>
    <w:rsid w:val="00DE307E"/>
    <w:rsid w:val="00DE352B"/>
    <w:rsid w:val="00DE3CA5"/>
    <w:rsid w:val="00DE3ED2"/>
    <w:rsid w:val="00DE4593"/>
    <w:rsid w:val="00DE518D"/>
    <w:rsid w:val="00DE53EA"/>
    <w:rsid w:val="00DE57F6"/>
    <w:rsid w:val="00DE5985"/>
    <w:rsid w:val="00DE70F4"/>
    <w:rsid w:val="00DE7775"/>
    <w:rsid w:val="00DF0107"/>
    <w:rsid w:val="00DF015F"/>
    <w:rsid w:val="00DF05BA"/>
    <w:rsid w:val="00DF05DD"/>
    <w:rsid w:val="00DF060D"/>
    <w:rsid w:val="00DF0E1A"/>
    <w:rsid w:val="00DF0FEA"/>
    <w:rsid w:val="00DF12BC"/>
    <w:rsid w:val="00DF1547"/>
    <w:rsid w:val="00DF172E"/>
    <w:rsid w:val="00DF1B7D"/>
    <w:rsid w:val="00DF1E60"/>
    <w:rsid w:val="00DF1FF5"/>
    <w:rsid w:val="00DF23C5"/>
    <w:rsid w:val="00DF2600"/>
    <w:rsid w:val="00DF261B"/>
    <w:rsid w:val="00DF3310"/>
    <w:rsid w:val="00DF34D8"/>
    <w:rsid w:val="00DF403E"/>
    <w:rsid w:val="00DF4380"/>
    <w:rsid w:val="00DF46F8"/>
    <w:rsid w:val="00DF4766"/>
    <w:rsid w:val="00DF4D4A"/>
    <w:rsid w:val="00DF4D64"/>
    <w:rsid w:val="00DF5DCE"/>
    <w:rsid w:val="00DF5EA5"/>
    <w:rsid w:val="00DF62C3"/>
    <w:rsid w:val="00DF63F9"/>
    <w:rsid w:val="00DF64B5"/>
    <w:rsid w:val="00DF6C1F"/>
    <w:rsid w:val="00DF729E"/>
    <w:rsid w:val="00DF7D39"/>
    <w:rsid w:val="00E0041A"/>
    <w:rsid w:val="00E00506"/>
    <w:rsid w:val="00E00535"/>
    <w:rsid w:val="00E0065D"/>
    <w:rsid w:val="00E0080C"/>
    <w:rsid w:val="00E008C0"/>
    <w:rsid w:val="00E00BAF"/>
    <w:rsid w:val="00E00CD5"/>
    <w:rsid w:val="00E00CFE"/>
    <w:rsid w:val="00E00E4F"/>
    <w:rsid w:val="00E0126D"/>
    <w:rsid w:val="00E01292"/>
    <w:rsid w:val="00E0197C"/>
    <w:rsid w:val="00E02985"/>
    <w:rsid w:val="00E03199"/>
    <w:rsid w:val="00E0423E"/>
    <w:rsid w:val="00E04BDD"/>
    <w:rsid w:val="00E058B7"/>
    <w:rsid w:val="00E05A83"/>
    <w:rsid w:val="00E06C7E"/>
    <w:rsid w:val="00E0784A"/>
    <w:rsid w:val="00E07F87"/>
    <w:rsid w:val="00E104FE"/>
    <w:rsid w:val="00E10B0A"/>
    <w:rsid w:val="00E1182E"/>
    <w:rsid w:val="00E1226C"/>
    <w:rsid w:val="00E1245D"/>
    <w:rsid w:val="00E126A3"/>
    <w:rsid w:val="00E12BDA"/>
    <w:rsid w:val="00E12C73"/>
    <w:rsid w:val="00E12EA8"/>
    <w:rsid w:val="00E13243"/>
    <w:rsid w:val="00E13988"/>
    <w:rsid w:val="00E13BCE"/>
    <w:rsid w:val="00E14179"/>
    <w:rsid w:val="00E14217"/>
    <w:rsid w:val="00E14680"/>
    <w:rsid w:val="00E1475E"/>
    <w:rsid w:val="00E1488E"/>
    <w:rsid w:val="00E149BA"/>
    <w:rsid w:val="00E155F9"/>
    <w:rsid w:val="00E15A3D"/>
    <w:rsid w:val="00E15DAE"/>
    <w:rsid w:val="00E15F25"/>
    <w:rsid w:val="00E1664A"/>
    <w:rsid w:val="00E16668"/>
    <w:rsid w:val="00E16C45"/>
    <w:rsid w:val="00E16E78"/>
    <w:rsid w:val="00E17027"/>
    <w:rsid w:val="00E17187"/>
    <w:rsid w:val="00E1721D"/>
    <w:rsid w:val="00E17590"/>
    <w:rsid w:val="00E2085B"/>
    <w:rsid w:val="00E208ED"/>
    <w:rsid w:val="00E209B5"/>
    <w:rsid w:val="00E20A42"/>
    <w:rsid w:val="00E20C67"/>
    <w:rsid w:val="00E20F33"/>
    <w:rsid w:val="00E21168"/>
    <w:rsid w:val="00E21267"/>
    <w:rsid w:val="00E21A14"/>
    <w:rsid w:val="00E2238D"/>
    <w:rsid w:val="00E2250B"/>
    <w:rsid w:val="00E225B5"/>
    <w:rsid w:val="00E227C0"/>
    <w:rsid w:val="00E22A1C"/>
    <w:rsid w:val="00E22C7A"/>
    <w:rsid w:val="00E2359A"/>
    <w:rsid w:val="00E238D2"/>
    <w:rsid w:val="00E23AAF"/>
    <w:rsid w:val="00E23B49"/>
    <w:rsid w:val="00E23DC8"/>
    <w:rsid w:val="00E240DF"/>
    <w:rsid w:val="00E242A3"/>
    <w:rsid w:val="00E245FE"/>
    <w:rsid w:val="00E2460D"/>
    <w:rsid w:val="00E24800"/>
    <w:rsid w:val="00E24928"/>
    <w:rsid w:val="00E2500B"/>
    <w:rsid w:val="00E253BD"/>
    <w:rsid w:val="00E2614C"/>
    <w:rsid w:val="00E26445"/>
    <w:rsid w:val="00E26A45"/>
    <w:rsid w:val="00E27653"/>
    <w:rsid w:val="00E2766B"/>
    <w:rsid w:val="00E27921"/>
    <w:rsid w:val="00E27A5B"/>
    <w:rsid w:val="00E27CD8"/>
    <w:rsid w:val="00E3035E"/>
    <w:rsid w:val="00E307D7"/>
    <w:rsid w:val="00E30DAD"/>
    <w:rsid w:val="00E312AC"/>
    <w:rsid w:val="00E31D7C"/>
    <w:rsid w:val="00E322F9"/>
    <w:rsid w:val="00E324BA"/>
    <w:rsid w:val="00E32E0D"/>
    <w:rsid w:val="00E33450"/>
    <w:rsid w:val="00E33654"/>
    <w:rsid w:val="00E33E58"/>
    <w:rsid w:val="00E34BE4"/>
    <w:rsid w:val="00E34C7B"/>
    <w:rsid w:val="00E3515F"/>
    <w:rsid w:val="00E35E16"/>
    <w:rsid w:val="00E36100"/>
    <w:rsid w:val="00E3696C"/>
    <w:rsid w:val="00E374E5"/>
    <w:rsid w:val="00E40B61"/>
    <w:rsid w:val="00E40D9A"/>
    <w:rsid w:val="00E41573"/>
    <w:rsid w:val="00E4159A"/>
    <w:rsid w:val="00E41CF6"/>
    <w:rsid w:val="00E42159"/>
    <w:rsid w:val="00E42165"/>
    <w:rsid w:val="00E42DE5"/>
    <w:rsid w:val="00E433A7"/>
    <w:rsid w:val="00E43F20"/>
    <w:rsid w:val="00E4452F"/>
    <w:rsid w:val="00E45127"/>
    <w:rsid w:val="00E4528A"/>
    <w:rsid w:val="00E453C8"/>
    <w:rsid w:val="00E4584C"/>
    <w:rsid w:val="00E462D5"/>
    <w:rsid w:val="00E4697A"/>
    <w:rsid w:val="00E46CC9"/>
    <w:rsid w:val="00E474EE"/>
    <w:rsid w:val="00E47C2E"/>
    <w:rsid w:val="00E50A71"/>
    <w:rsid w:val="00E5137B"/>
    <w:rsid w:val="00E519BB"/>
    <w:rsid w:val="00E51D0B"/>
    <w:rsid w:val="00E51E28"/>
    <w:rsid w:val="00E520BF"/>
    <w:rsid w:val="00E52628"/>
    <w:rsid w:val="00E52CE0"/>
    <w:rsid w:val="00E52DAE"/>
    <w:rsid w:val="00E52E03"/>
    <w:rsid w:val="00E5331A"/>
    <w:rsid w:val="00E53689"/>
    <w:rsid w:val="00E5428C"/>
    <w:rsid w:val="00E54956"/>
    <w:rsid w:val="00E54A71"/>
    <w:rsid w:val="00E54C82"/>
    <w:rsid w:val="00E552C5"/>
    <w:rsid w:val="00E55424"/>
    <w:rsid w:val="00E55C96"/>
    <w:rsid w:val="00E55D40"/>
    <w:rsid w:val="00E55E6E"/>
    <w:rsid w:val="00E55E93"/>
    <w:rsid w:val="00E55F4E"/>
    <w:rsid w:val="00E56A0F"/>
    <w:rsid w:val="00E56D2D"/>
    <w:rsid w:val="00E57901"/>
    <w:rsid w:val="00E57CF5"/>
    <w:rsid w:val="00E61BA1"/>
    <w:rsid w:val="00E61D33"/>
    <w:rsid w:val="00E61D87"/>
    <w:rsid w:val="00E62166"/>
    <w:rsid w:val="00E623CF"/>
    <w:rsid w:val="00E62987"/>
    <w:rsid w:val="00E62A1B"/>
    <w:rsid w:val="00E62B6D"/>
    <w:rsid w:val="00E635DE"/>
    <w:rsid w:val="00E63DB1"/>
    <w:rsid w:val="00E64632"/>
    <w:rsid w:val="00E647F7"/>
    <w:rsid w:val="00E64923"/>
    <w:rsid w:val="00E65036"/>
    <w:rsid w:val="00E651AB"/>
    <w:rsid w:val="00E65383"/>
    <w:rsid w:val="00E6557F"/>
    <w:rsid w:val="00E659A3"/>
    <w:rsid w:val="00E65FB0"/>
    <w:rsid w:val="00E66EDA"/>
    <w:rsid w:val="00E67286"/>
    <w:rsid w:val="00E67575"/>
    <w:rsid w:val="00E679BF"/>
    <w:rsid w:val="00E67AA8"/>
    <w:rsid w:val="00E67AD6"/>
    <w:rsid w:val="00E67C84"/>
    <w:rsid w:val="00E7002E"/>
    <w:rsid w:val="00E703A6"/>
    <w:rsid w:val="00E70D84"/>
    <w:rsid w:val="00E723DD"/>
    <w:rsid w:val="00E727B5"/>
    <w:rsid w:val="00E72829"/>
    <w:rsid w:val="00E72C22"/>
    <w:rsid w:val="00E73156"/>
    <w:rsid w:val="00E74881"/>
    <w:rsid w:val="00E74CA1"/>
    <w:rsid w:val="00E75031"/>
    <w:rsid w:val="00E75278"/>
    <w:rsid w:val="00E756BF"/>
    <w:rsid w:val="00E757F3"/>
    <w:rsid w:val="00E75B22"/>
    <w:rsid w:val="00E75BD2"/>
    <w:rsid w:val="00E766C5"/>
    <w:rsid w:val="00E76823"/>
    <w:rsid w:val="00E76AC9"/>
    <w:rsid w:val="00E76DE6"/>
    <w:rsid w:val="00E770F4"/>
    <w:rsid w:val="00E77397"/>
    <w:rsid w:val="00E7746B"/>
    <w:rsid w:val="00E81058"/>
    <w:rsid w:val="00E8130B"/>
    <w:rsid w:val="00E81668"/>
    <w:rsid w:val="00E825A2"/>
    <w:rsid w:val="00E82AAF"/>
    <w:rsid w:val="00E843FF"/>
    <w:rsid w:val="00E8493D"/>
    <w:rsid w:val="00E84951"/>
    <w:rsid w:val="00E853A1"/>
    <w:rsid w:val="00E853E2"/>
    <w:rsid w:val="00E855EE"/>
    <w:rsid w:val="00E85769"/>
    <w:rsid w:val="00E8603A"/>
    <w:rsid w:val="00E86273"/>
    <w:rsid w:val="00E86547"/>
    <w:rsid w:val="00E868BE"/>
    <w:rsid w:val="00E86C6D"/>
    <w:rsid w:val="00E87527"/>
    <w:rsid w:val="00E87868"/>
    <w:rsid w:val="00E87BEA"/>
    <w:rsid w:val="00E87D5E"/>
    <w:rsid w:val="00E9037E"/>
    <w:rsid w:val="00E90892"/>
    <w:rsid w:val="00E91316"/>
    <w:rsid w:val="00E91564"/>
    <w:rsid w:val="00E91DE1"/>
    <w:rsid w:val="00E91EA9"/>
    <w:rsid w:val="00E9213D"/>
    <w:rsid w:val="00E92855"/>
    <w:rsid w:val="00E92BF2"/>
    <w:rsid w:val="00E92D08"/>
    <w:rsid w:val="00E92EAE"/>
    <w:rsid w:val="00E932E3"/>
    <w:rsid w:val="00E9398A"/>
    <w:rsid w:val="00E93E32"/>
    <w:rsid w:val="00E95357"/>
    <w:rsid w:val="00E95389"/>
    <w:rsid w:val="00E95456"/>
    <w:rsid w:val="00E95AC3"/>
    <w:rsid w:val="00E9666C"/>
    <w:rsid w:val="00E96706"/>
    <w:rsid w:val="00E96717"/>
    <w:rsid w:val="00E97286"/>
    <w:rsid w:val="00E977DC"/>
    <w:rsid w:val="00E97DE5"/>
    <w:rsid w:val="00EA0D0F"/>
    <w:rsid w:val="00EA0D86"/>
    <w:rsid w:val="00EA146F"/>
    <w:rsid w:val="00EA18F3"/>
    <w:rsid w:val="00EA1A72"/>
    <w:rsid w:val="00EA1CB2"/>
    <w:rsid w:val="00EA2316"/>
    <w:rsid w:val="00EA27E9"/>
    <w:rsid w:val="00EA3B21"/>
    <w:rsid w:val="00EA3C41"/>
    <w:rsid w:val="00EA4614"/>
    <w:rsid w:val="00EA4A9E"/>
    <w:rsid w:val="00EA4D0A"/>
    <w:rsid w:val="00EA4DDA"/>
    <w:rsid w:val="00EA4E62"/>
    <w:rsid w:val="00EA5AE9"/>
    <w:rsid w:val="00EA5BE0"/>
    <w:rsid w:val="00EA6358"/>
    <w:rsid w:val="00EA663F"/>
    <w:rsid w:val="00EA6B48"/>
    <w:rsid w:val="00EA74AD"/>
    <w:rsid w:val="00EA7589"/>
    <w:rsid w:val="00EA75B0"/>
    <w:rsid w:val="00EA7AE1"/>
    <w:rsid w:val="00EA7BE8"/>
    <w:rsid w:val="00EA7E5E"/>
    <w:rsid w:val="00EB00CF"/>
    <w:rsid w:val="00EB01F0"/>
    <w:rsid w:val="00EB153C"/>
    <w:rsid w:val="00EB196E"/>
    <w:rsid w:val="00EB22B5"/>
    <w:rsid w:val="00EB26DA"/>
    <w:rsid w:val="00EB27CA"/>
    <w:rsid w:val="00EB27DA"/>
    <w:rsid w:val="00EB2888"/>
    <w:rsid w:val="00EB2F33"/>
    <w:rsid w:val="00EB42EA"/>
    <w:rsid w:val="00EB48F0"/>
    <w:rsid w:val="00EB4EF0"/>
    <w:rsid w:val="00EB5486"/>
    <w:rsid w:val="00EB5844"/>
    <w:rsid w:val="00EB5852"/>
    <w:rsid w:val="00EB5881"/>
    <w:rsid w:val="00EB5905"/>
    <w:rsid w:val="00EB7460"/>
    <w:rsid w:val="00EB77D2"/>
    <w:rsid w:val="00EB789E"/>
    <w:rsid w:val="00EB7C64"/>
    <w:rsid w:val="00EC078C"/>
    <w:rsid w:val="00EC1772"/>
    <w:rsid w:val="00EC1C84"/>
    <w:rsid w:val="00EC1D8B"/>
    <w:rsid w:val="00EC24BD"/>
    <w:rsid w:val="00EC25DA"/>
    <w:rsid w:val="00EC260B"/>
    <w:rsid w:val="00EC28EC"/>
    <w:rsid w:val="00EC298F"/>
    <w:rsid w:val="00EC2F33"/>
    <w:rsid w:val="00EC34A4"/>
    <w:rsid w:val="00EC3720"/>
    <w:rsid w:val="00EC374F"/>
    <w:rsid w:val="00EC430D"/>
    <w:rsid w:val="00EC43AB"/>
    <w:rsid w:val="00EC4F41"/>
    <w:rsid w:val="00EC55D2"/>
    <w:rsid w:val="00EC5F16"/>
    <w:rsid w:val="00EC673B"/>
    <w:rsid w:val="00EC68AF"/>
    <w:rsid w:val="00EC6C27"/>
    <w:rsid w:val="00EC6FF0"/>
    <w:rsid w:val="00EC78DD"/>
    <w:rsid w:val="00EC7A42"/>
    <w:rsid w:val="00ED0453"/>
    <w:rsid w:val="00ED0646"/>
    <w:rsid w:val="00ED17B3"/>
    <w:rsid w:val="00ED18C3"/>
    <w:rsid w:val="00ED1D3F"/>
    <w:rsid w:val="00ED1DAF"/>
    <w:rsid w:val="00ED203B"/>
    <w:rsid w:val="00ED225C"/>
    <w:rsid w:val="00ED252B"/>
    <w:rsid w:val="00ED286C"/>
    <w:rsid w:val="00ED2E2C"/>
    <w:rsid w:val="00ED3134"/>
    <w:rsid w:val="00ED33B7"/>
    <w:rsid w:val="00ED34B0"/>
    <w:rsid w:val="00ED4032"/>
    <w:rsid w:val="00ED4A3B"/>
    <w:rsid w:val="00ED4DE4"/>
    <w:rsid w:val="00ED50B2"/>
    <w:rsid w:val="00ED56BF"/>
    <w:rsid w:val="00ED56FD"/>
    <w:rsid w:val="00ED5920"/>
    <w:rsid w:val="00ED634B"/>
    <w:rsid w:val="00ED658E"/>
    <w:rsid w:val="00ED6DA6"/>
    <w:rsid w:val="00ED7592"/>
    <w:rsid w:val="00EE0569"/>
    <w:rsid w:val="00EE09A7"/>
    <w:rsid w:val="00EE1077"/>
    <w:rsid w:val="00EE145D"/>
    <w:rsid w:val="00EE21D6"/>
    <w:rsid w:val="00EE274C"/>
    <w:rsid w:val="00EE2E99"/>
    <w:rsid w:val="00EE36FD"/>
    <w:rsid w:val="00EE3DC1"/>
    <w:rsid w:val="00EE3EE7"/>
    <w:rsid w:val="00EE46D2"/>
    <w:rsid w:val="00EE4D75"/>
    <w:rsid w:val="00EE4E6E"/>
    <w:rsid w:val="00EE50A8"/>
    <w:rsid w:val="00EE52B4"/>
    <w:rsid w:val="00EE54EF"/>
    <w:rsid w:val="00EE5AB7"/>
    <w:rsid w:val="00EE5C23"/>
    <w:rsid w:val="00EE5FC4"/>
    <w:rsid w:val="00EE66B0"/>
    <w:rsid w:val="00EE6890"/>
    <w:rsid w:val="00EE6BC2"/>
    <w:rsid w:val="00EE6FDB"/>
    <w:rsid w:val="00EE76B1"/>
    <w:rsid w:val="00EE7FD4"/>
    <w:rsid w:val="00EF0137"/>
    <w:rsid w:val="00EF0959"/>
    <w:rsid w:val="00EF0A3E"/>
    <w:rsid w:val="00EF16CF"/>
    <w:rsid w:val="00EF2FE2"/>
    <w:rsid w:val="00EF303E"/>
    <w:rsid w:val="00EF3547"/>
    <w:rsid w:val="00EF3991"/>
    <w:rsid w:val="00EF3CC5"/>
    <w:rsid w:val="00EF3D47"/>
    <w:rsid w:val="00EF4000"/>
    <w:rsid w:val="00EF4231"/>
    <w:rsid w:val="00EF5D7E"/>
    <w:rsid w:val="00EF5F1C"/>
    <w:rsid w:val="00EF5F8E"/>
    <w:rsid w:val="00EF6369"/>
    <w:rsid w:val="00EF681A"/>
    <w:rsid w:val="00EF6DD9"/>
    <w:rsid w:val="00EF7200"/>
    <w:rsid w:val="00F003B8"/>
    <w:rsid w:val="00F005E0"/>
    <w:rsid w:val="00F01258"/>
    <w:rsid w:val="00F01406"/>
    <w:rsid w:val="00F01E4D"/>
    <w:rsid w:val="00F02235"/>
    <w:rsid w:val="00F02F09"/>
    <w:rsid w:val="00F02F57"/>
    <w:rsid w:val="00F030AC"/>
    <w:rsid w:val="00F0342F"/>
    <w:rsid w:val="00F03A94"/>
    <w:rsid w:val="00F04066"/>
    <w:rsid w:val="00F04BEB"/>
    <w:rsid w:val="00F05515"/>
    <w:rsid w:val="00F05804"/>
    <w:rsid w:val="00F05BDB"/>
    <w:rsid w:val="00F05C2D"/>
    <w:rsid w:val="00F05EF4"/>
    <w:rsid w:val="00F0607F"/>
    <w:rsid w:val="00F065EA"/>
    <w:rsid w:val="00F06B08"/>
    <w:rsid w:val="00F06C27"/>
    <w:rsid w:val="00F06CA0"/>
    <w:rsid w:val="00F079B2"/>
    <w:rsid w:val="00F10124"/>
    <w:rsid w:val="00F1056E"/>
    <w:rsid w:val="00F105F8"/>
    <w:rsid w:val="00F107E5"/>
    <w:rsid w:val="00F10B77"/>
    <w:rsid w:val="00F10B93"/>
    <w:rsid w:val="00F10D27"/>
    <w:rsid w:val="00F11634"/>
    <w:rsid w:val="00F11812"/>
    <w:rsid w:val="00F11D08"/>
    <w:rsid w:val="00F11E1A"/>
    <w:rsid w:val="00F121BD"/>
    <w:rsid w:val="00F121F4"/>
    <w:rsid w:val="00F123F1"/>
    <w:rsid w:val="00F126DA"/>
    <w:rsid w:val="00F1270A"/>
    <w:rsid w:val="00F128C3"/>
    <w:rsid w:val="00F1369D"/>
    <w:rsid w:val="00F13E10"/>
    <w:rsid w:val="00F14573"/>
    <w:rsid w:val="00F14F3B"/>
    <w:rsid w:val="00F15D21"/>
    <w:rsid w:val="00F15EE9"/>
    <w:rsid w:val="00F16009"/>
    <w:rsid w:val="00F163E8"/>
    <w:rsid w:val="00F1709C"/>
    <w:rsid w:val="00F171C3"/>
    <w:rsid w:val="00F17239"/>
    <w:rsid w:val="00F17A77"/>
    <w:rsid w:val="00F17B8A"/>
    <w:rsid w:val="00F17EC9"/>
    <w:rsid w:val="00F17F70"/>
    <w:rsid w:val="00F201D7"/>
    <w:rsid w:val="00F20731"/>
    <w:rsid w:val="00F208B4"/>
    <w:rsid w:val="00F20A94"/>
    <w:rsid w:val="00F210AD"/>
    <w:rsid w:val="00F21431"/>
    <w:rsid w:val="00F2159C"/>
    <w:rsid w:val="00F21BEA"/>
    <w:rsid w:val="00F21BF2"/>
    <w:rsid w:val="00F21D35"/>
    <w:rsid w:val="00F22406"/>
    <w:rsid w:val="00F22841"/>
    <w:rsid w:val="00F2290E"/>
    <w:rsid w:val="00F22B28"/>
    <w:rsid w:val="00F22B3A"/>
    <w:rsid w:val="00F22C56"/>
    <w:rsid w:val="00F2339A"/>
    <w:rsid w:val="00F233F0"/>
    <w:rsid w:val="00F23E3D"/>
    <w:rsid w:val="00F24EA2"/>
    <w:rsid w:val="00F2529B"/>
    <w:rsid w:val="00F2540F"/>
    <w:rsid w:val="00F2561B"/>
    <w:rsid w:val="00F256D2"/>
    <w:rsid w:val="00F25BAD"/>
    <w:rsid w:val="00F25E5A"/>
    <w:rsid w:val="00F2607D"/>
    <w:rsid w:val="00F261C3"/>
    <w:rsid w:val="00F268C5"/>
    <w:rsid w:val="00F26BFB"/>
    <w:rsid w:val="00F26CED"/>
    <w:rsid w:val="00F2746D"/>
    <w:rsid w:val="00F27D61"/>
    <w:rsid w:val="00F316A7"/>
    <w:rsid w:val="00F316D5"/>
    <w:rsid w:val="00F31A66"/>
    <w:rsid w:val="00F31D66"/>
    <w:rsid w:val="00F31FB4"/>
    <w:rsid w:val="00F3246F"/>
    <w:rsid w:val="00F32933"/>
    <w:rsid w:val="00F32C67"/>
    <w:rsid w:val="00F3369E"/>
    <w:rsid w:val="00F336C3"/>
    <w:rsid w:val="00F33C80"/>
    <w:rsid w:val="00F341C6"/>
    <w:rsid w:val="00F342E2"/>
    <w:rsid w:val="00F34324"/>
    <w:rsid w:val="00F34771"/>
    <w:rsid w:val="00F34C12"/>
    <w:rsid w:val="00F34E51"/>
    <w:rsid w:val="00F34FDA"/>
    <w:rsid w:val="00F3537F"/>
    <w:rsid w:val="00F36039"/>
    <w:rsid w:val="00F363D8"/>
    <w:rsid w:val="00F3650E"/>
    <w:rsid w:val="00F366A3"/>
    <w:rsid w:val="00F377B0"/>
    <w:rsid w:val="00F37A06"/>
    <w:rsid w:val="00F37D33"/>
    <w:rsid w:val="00F37E6D"/>
    <w:rsid w:val="00F4053E"/>
    <w:rsid w:val="00F407A3"/>
    <w:rsid w:val="00F40B5C"/>
    <w:rsid w:val="00F40CE0"/>
    <w:rsid w:val="00F4131C"/>
    <w:rsid w:val="00F41421"/>
    <w:rsid w:val="00F41470"/>
    <w:rsid w:val="00F41673"/>
    <w:rsid w:val="00F41DB7"/>
    <w:rsid w:val="00F41DD3"/>
    <w:rsid w:val="00F4223E"/>
    <w:rsid w:val="00F42BB2"/>
    <w:rsid w:val="00F42E3E"/>
    <w:rsid w:val="00F42EC5"/>
    <w:rsid w:val="00F430C7"/>
    <w:rsid w:val="00F4321F"/>
    <w:rsid w:val="00F435ED"/>
    <w:rsid w:val="00F43A8E"/>
    <w:rsid w:val="00F43C89"/>
    <w:rsid w:val="00F43F2C"/>
    <w:rsid w:val="00F44184"/>
    <w:rsid w:val="00F449BA"/>
    <w:rsid w:val="00F449F9"/>
    <w:rsid w:val="00F44FC7"/>
    <w:rsid w:val="00F45053"/>
    <w:rsid w:val="00F454EB"/>
    <w:rsid w:val="00F4593D"/>
    <w:rsid w:val="00F46571"/>
    <w:rsid w:val="00F46CF7"/>
    <w:rsid w:val="00F4775D"/>
    <w:rsid w:val="00F47883"/>
    <w:rsid w:val="00F47FA8"/>
    <w:rsid w:val="00F501C5"/>
    <w:rsid w:val="00F50BB8"/>
    <w:rsid w:val="00F50C73"/>
    <w:rsid w:val="00F5142C"/>
    <w:rsid w:val="00F515D7"/>
    <w:rsid w:val="00F519DD"/>
    <w:rsid w:val="00F51B23"/>
    <w:rsid w:val="00F52EC5"/>
    <w:rsid w:val="00F52F3A"/>
    <w:rsid w:val="00F531B2"/>
    <w:rsid w:val="00F53331"/>
    <w:rsid w:val="00F53863"/>
    <w:rsid w:val="00F541C2"/>
    <w:rsid w:val="00F542D5"/>
    <w:rsid w:val="00F54DF8"/>
    <w:rsid w:val="00F54EA1"/>
    <w:rsid w:val="00F551F2"/>
    <w:rsid w:val="00F555EB"/>
    <w:rsid w:val="00F558B2"/>
    <w:rsid w:val="00F55D03"/>
    <w:rsid w:val="00F55F42"/>
    <w:rsid w:val="00F56275"/>
    <w:rsid w:val="00F56B87"/>
    <w:rsid w:val="00F56E32"/>
    <w:rsid w:val="00F56E6E"/>
    <w:rsid w:val="00F5786C"/>
    <w:rsid w:val="00F6013B"/>
    <w:rsid w:val="00F60503"/>
    <w:rsid w:val="00F6067E"/>
    <w:rsid w:val="00F606DE"/>
    <w:rsid w:val="00F60BD6"/>
    <w:rsid w:val="00F60D95"/>
    <w:rsid w:val="00F60FF5"/>
    <w:rsid w:val="00F6206D"/>
    <w:rsid w:val="00F626BD"/>
    <w:rsid w:val="00F62876"/>
    <w:rsid w:val="00F62CC8"/>
    <w:rsid w:val="00F632C2"/>
    <w:rsid w:val="00F63AA4"/>
    <w:rsid w:val="00F63AEC"/>
    <w:rsid w:val="00F63CA3"/>
    <w:rsid w:val="00F64080"/>
    <w:rsid w:val="00F641C0"/>
    <w:rsid w:val="00F64204"/>
    <w:rsid w:val="00F6426A"/>
    <w:rsid w:val="00F642BD"/>
    <w:rsid w:val="00F64D42"/>
    <w:rsid w:val="00F656CF"/>
    <w:rsid w:val="00F65A1A"/>
    <w:rsid w:val="00F65CE7"/>
    <w:rsid w:val="00F66547"/>
    <w:rsid w:val="00F6678E"/>
    <w:rsid w:val="00F66936"/>
    <w:rsid w:val="00F66ABE"/>
    <w:rsid w:val="00F66B8E"/>
    <w:rsid w:val="00F66D1F"/>
    <w:rsid w:val="00F67F4D"/>
    <w:rsid w:val="00F70395"/>
    <w:rsid w:val="00F703F0"/>
    <w:rsid w:val="00F70555"/>
    <w:rsid w:val="00F70603"/>
    <w:rsid w:val="00F709E9"/>
    <w:rsid w:val="00F70F2D"/>
    <w:rsid w:val="00F71359"/>
    <w:rsid w:val="00F71426"/>
    <w:rsid w:val="00F71897"/>
    <w:rsid w:val="00F71CB9"/>
    <w:rsid w:val="00F72004"/>
    <w:rsid w:val="00F723CB"/>
    <w:rsid w:val="00F7283A"/>
    <w:rsid w:val="00F728DB"/>
    <w:rsid w:val="00F72B72"/>
    <w:rsid w:val="00F73FE7"/>
    <w:rsid w:val="00F740B9"/>
    <w:rsid w:val="00F743E6"/>
    <w:rsid w:val="00F74F2C"/>
    <w:rsid w:val="00F74FAF"/>
    <w:rsid w:val="00F7529E"/>
    <w:rsid w:val="00F755C8"/>
    <w:rsid w:val="00F75AC7"/>
    <w:rsid w:val="00F75D5D"/>
    <w:rsid w:val="00F7622F"/>
    <w:rsid w:val="00F76D5F"/>
    <w:rsid w:val="00F770D7"/>
    <w:rsid w:val="00F771DC"/>
    <w:rsid w:val="00F77ABD"/>
    <w:rsid w:val="00F77C00"/>
    <w:rsid w:val="00F80776"/>
    <w:rsid w:val="00F80834"/>
    <w:rsid w:val="00F80C38"/>
    <w:rsid w:val="00F80FD6"/>
    <w:rsid w:val="00F81E3B"/>
    <w:rsid w:val="00F81E90"/>
    <w:rsid w:val="00F8273E"/>
    <w:rsid w:val="00F827D6"/>
    <w:rsid w:val="00F82960"/>
    <w:rsid w:val="00F82AE6"/>
    <w:rsid w:val="00F82EA6"/>
    <w:rsid w:val="00F82FD7"/>
    <w:rsid w:val="00F83AB9"/>
    <w:rsid w:val="00F83B84"/>
    <w:rsid w:val="00F83BF3"/>
    <w:rsid w:val="00F8405E"/>
    <w:rsid w:val="00F84911"/>
    <w:rsid w:val="00F849E1"/>
    <w:rsid w:val="00F850F5"/>
    <w:rsid w:val="00F854DB"/>
    <w:rsid w:val="00F8689F"/>
    <w:rsid w:val="00F869D6"/>
    <w:rsid w:val="00F872CE"/>
    <w:rsid w:val="00F8748D"/>
    <w:rsid w:val="00F874C3"/>
    <w:rsid w:val="00F87851"/>
    <w:rsid w:val="00F87C9A"/>
    <w:rsid w:val="00F9078E"/>
    <w:rsid w:val="00F91306"/>
    <w:rsid w:val="00F9176E"/>
    <w:rsid w:val="00F9187A"/>
    <w:rsid w:val="00F925C3"/>
    <w:rsid w:val="00F926DB"/>
    <w:rsid w:val="00F92A3A"/>
    <w:rsid w:val="00F930FA"/>
    <w:rsid w:val="00F93347"/>
    <w:rsid w:val="00F93686"/>
    <w:rsid w:val="00F93C54"/>
    <w:rsid w:val="00F9443A"/>
    <w:rsid w:val="00F94D11"/>
    <w:rsid w:val="00F95852"/>
    <w:rsid w:val="00F9591E"/>
    <w:rsid w:val="00F96027"/>
    <w:rsid w:val="00F960F0"/>
    <w:rsid w:val="00F962C4"/>
    <w:rsid w:val="00F965FA"/>
    <w:rsid w:val="00F96A37"/>
    <w:rsid w:val="00F971C5"/>
    <w:rsid w:val="00F9744C"/>
    <w:rsid w:val="00F97794"/>
    <w:rsid w:val="00F978AE"/>
    <w:rsid w:val="00FA0FC3"/>
    <w:rsid w:val="00FA11B8"/>
    <w:rsid w:val="00FA1378"/>
    <w:rsid w:val="00FA17F7"/>
    <w:rsid w:val="00FA1881"/>
    <w:rsid w:val="00FA1B80"/>
    <w:rsid w:val="00FA25D7"/>
    <w:rsid w:val="00FA2A2A"/>
    <w:rsid w:val="00FA2BB3"/>
    <w:rsid w:val="00FA321F"/>
    <w:rsid w:val="00FA34CE"/>
    <w:rsid w:val="00FA3531"/>
    <w:rsid w:val="00FA3DDC"/>
    <w:rsid w:val="00FA4787"/>
    <w:rsid w:val="00FA4D59"/>
    <w:rsid w:val="00FA4EF9"/>
    <w:rsid w:val="00FA58EF"/>
    <w:rsid w:val="00FA647E"/>
    <w:rsid w:val="00FA6FD8"/>
    <w:rsid w:val="00FA7123"/>
    <w:rsid w:val="00FA7142"/>
    <w:rsid w:val="00FA7350"/>
    <w:rsid w:val="00FA7513"/>
    <w:rsid w:val="00FA798B"/>
    <w:rsid w:val="00FA7A99"/>
    <w:rsid w:val="00FB0208"/>
    <w:rsid w:val="00FB0746"/>
    <w:rsid w:val="00FB09E5"/>
    <w:rsid w:val="00FB0E24"/>
    <w:rsid w:val="00FB10AE"/>
    <w:rsid w:val="00FB190D"/>
    <w:rsid w:val="00FB1EEA"/>
    <w:rsid w:val="00FB1FFE"/>
    <w:rsid w:val="00FB4788"/>
    <w:rsid w:val="00FB539E"/>
    <w:rsid w:val="00FB5E1E"/>
    <w:rsid w:val="00FB5FC3"/>
    <w:rsid w:val="00FB605E"/>
    <w:rsid w:val="00FB644A"/>
    <w:rsid w:val="00FB6E29"/>
    <w:rsid w:val="00FB7BBE"/>
    <w:rsid w:val="00FC0DE5"/>
    <w:rsid w:val="00FC0E61"/>
    <w:rsid w:val="00FC1139"/>
    <w:rsid w:val="00FC18A2"/>
    <w:rsid w:val="00FC26A7"/>
    <w:rsid w:val="00FC282F"/>
    <w:rsid w:val="00FC2EEC"/>
    <w:rsid w:val="00FC31EA"/>
    <w:rsid w:val="00FC3207"/>
    <w:rsid w:val="00FC33CB"/>
    <w:rsid w:val="00FC387C"/>
    <w:rsid w:val="00FC40A7"/>
    <w:rsid w:val="00FC4620"/>
    <w:rsid w:val="00FC46B8"/>
    <w:rsid w:val="00FC497D"/>
    <w:rsid w:val="00FC6155"/>
    <w:rsid w:val="00FC6946"/>
    <w:rsid w:val="00FC6FF9"/>
    <w:rsid w:val="00FC7ADE"/>
    <w:rsid w:val="00FC7B69"/>
    <w:rsid w:val="00FD009A"/>
    <w:rsid w:val="00FD08F3"/>
    <w:rsid w:val="00FD1046"/>
    <w:rsid w:val="00FD14C8"/>
    <w:rsid w:val="00FD1C86"/>
    <w:rsid w:val="00FD2931"/>
    <w:rsid w:val="00FD2D7F"/>
    <w:rsid w:val="00FD2EB0"/>
    <w:rsid w:val="00FD2FFD"/>
    <w:rsid w:val="00FD32A7"/>
    <w:rsid w:val="00FD3787"/>
    <w:rsid w:val="00FD3AAC"/>
    <w:rsid w:val="00FD3CF6"/>
    <w:rsid w:val="00FD3F72"/>
    <w:rsid w:val="00FD4C41"/>
    <w:rsid w:val="00FD4E4B"/>
    <w:rsid w:val="00FD5274"/>
    <w:rsid w:val="00FD5CF6"/>
    <w:rsid w:val="00FD63F5"/>
    <w:rsid w:val="00FD680A"/>
    <w:rsid w:val="00FD6850"/>
    <w:rsid w:val="00FD68E4"/>
    <w:rsid w:val="00FD6C7D"/>
    <w:rsid w:val="00FD6D22"/>
    <w:rsid w:val="00FD73C3"/>
    <w:rsid w:val="00FD78BC"/>
    <w:rsid w:val="00FD7C77"/>
    <w:rsid w:val="00FD7FF8"/>
    <w:rsid w:val="00FE03F0"/>
    <w:rsid w:val="00FE08CF"/>
    <w:rsid w:val="00FE09C9"/>
    <w:rsid w:val="00FE09CC"/>
    <w:rsid w:val="00FE0EC0"/>
    <w:rsid w:val="00FE0EC7"/>
    <w:rsid w:val="00FE1098"/>
    <w:rsid w:val="00FE124E"/>
    <w:rsid w:val="00FE15C4"/>
    <w:rsid w:val="00FE1841"/>
    <w:rsid w:val="00FE1B4A"/>
    <w:rsid w:val="00FE202A"/>
    <w:rsid w:val="00FE220A"/>
    <w:rsid w:val="00FE254D"/>
    <w:rsid w:val="00FE2603"/>
    <w:rsid w:val="00FE289D"/>
    <w:rsid w:val="00FE2A6C"/>
    <w:rsid w:val="00FE2C54"/>
    <w:rsid w:val="00FE2E03"/>
    <w:rsid w:val="00FE341E"/>
    <w:rsid w:val="00FE343A"/>
    <w:rsid w:val="00FE36F3"/>
    <w:rsid w:val="00FE3979"/>
    <w:rsid w:val="00FE3B49"/>
    <w:rsid w:val="00FE3EF6"/>
    <w:rsid w:val="00FE4985"/>
    <w:rsid w:val="00FE54DF"/>
    <w:rsid w:val="00FE56D2"/>
    <w:rsid w:val="00FE5930"/>
    <w:rsid w:val="00FE59D6"/>
    <w:rsid w:val="00FE5A5C"/>
    <w:rsid w:val="00FE5CAA"/>
    <w:rsid w:val="00FE6208"/>
    <w:rsid w:val="00FE6564"/>
    <w:rsid w:val="00FE665D"/>
    <w:rsid w:val="00FE6796"/>
    <w:rsid w:val="00FE67A0"/>
    <w:rsid w:val="00FE6917"/>
    <w:rsid w:val="00FE6E01"/>
    <w:rsid w:val="00FE76A9"/>
    <w:rsid w:val="00FE7EA1"/>
    <w:rsid w:val="00FF00D0"/>
    <w:rsid w:val="00FF0647"/>
    <w:rsid w:val="00FF0818"/>
    <w:rsid w:val="00FF120E"/>
    <w:rsid w:val="00FF1985"/>
    <w:rsid w:val="00FF1E3C"/>
    <w:rsid w:val="00FF1E57"/>
    <w:rsid w:val="00FF26F2"/>
    <w:rsid w:val="00FF28AB"/>
    <w:rsid w:val="00FF3560"/>
    <w:rsid w:val="00FF35DE"/>
    <w:rsid w:val="00FF3656"/>
    <w:rsid w:val="00FF380F"/>
    <w:rsid w:val="00FF3997"/>
    <w:rsid w:val="00FF3BD0"/>
    <w:rsid w:val="00FF401D"/>
    <w:rsid w:val="00FF422F"/>
    <w:rsid w:val="00FF4299"/>
    <w:rsid w:val="00FF4731"/>
    <w:rsid w:val="00FF47AE"/>
    <w:rsid w:val="00FF47BD"/>
    <w:rsid w:val="00FF48AE"/>
    <w:rsid w:val="00FF504A"/>
    <w:rsid w:val="00FF5887"/>
    <w:rsid w:val="00FF5C61"/>
    <w:rsid w:val="00FF5F23"/>
    <w:rsid w:val="00FF69F3"/>
    <w:rsid w:val="00FF6FED"/>
    <w:rsid w:val="00FF725C"/>
    <w:rsid w:val="00FF78C7"/>
    <w:rsid w:val="01EF7E5B"/>
    <w:rsid w:val="03836A76"/>
    <w:rsid w:val="03E5503B"/>
    <w:rsid w:val="04530152"/>
    <w:rsid w:val="04C21ADB"/>
    <w:rsid w:val="04C64E6C"/>
    <w:rsid w:val="05673FB0"/>
    <w:rsid w:val="05B32CAC"/>
    <w:rsid w:val="065149C8"/>
    <w:rsid w:val="06A00C29"/>
    <w:rsid w:val="07EB004D"/>
    <w:rsid w:val="07F15D66"/>
    <w:rsid w:val="080B3940"/>
    <w:rsid w:val="08A0596A"/>
    <w:rsid w:val="091343F8"/>
    <w:rsid w:val="09524F20"/>
    <w:rsid w:val="09D56A0B"/>
    <w:rsid w:val="0A124C7E"/>
    <w:rsid w:val="0A481841"/>
    <w:rsid w:val="0AB5575C"/>
    <w:rsid w:val="0D2F65F0"/>
    <w:rsid w:val="0DE11565"/>
    <w:rsid w:val="0E1053AA"/>
    <w:rsid w:val="0E5B79F5"/>
    <w:rsid w:val="0ED61D65"/>
    <w:rsid w:val="0FCB3337"/>
    <w:rsid w:val="100625C1"/>
    <w:rsid w:val="10596B94"/>
    <w:rsid w:val="12FC3A4C"/>
    <w:rsid w:val="146B3146"/>
    <w:rsid w:val="15485429"/>
    <w:rsid w:val="157559C0"/>
    <w:rsid w:val="16431CA0"/>
    <w:rsid w:val="168D57EA"/>
    <w:rsid w:val="170D06D9"/>
    <w:rsid w:val="17A94CF0"/>
    <w:rsid w:val="17CE6C61"/>
    <w:rsid w:val="185A5E49"/>
    <w:rsid w:val="1A402B73"/>
    <w:rsid w:val="1AA17A0E"/>
    <w:rsid w:val="1B216501"/>
    <w:rsid w:val="1FD21C02"/>
    <w:rsid w:val="200D61A6"/>
    <w:rsid w:val="20270A5D"/>
    <w:rsid w:val="20866C1D"/>
    <w:rsid w:val="215D768B"/>
    <w:rsid w:val="22B42350"/>
    <w:rsid w:val="22CF182C"/>
    <w:rsid w:val="23455668"/>
    <w:rsid w:val="259A75DB"/>
    <w:rsid w:val="25DB7D8E"/>
    <w:rsid w:val="26261C88"/>
    <w:rsid w:val="278B3B41"/>
    <w:rsid w:val="28DB5424"/>
    <w:rsid w:val="291E2DCE"/>
    <w:rsid w:val="2A2B3C3C"/>
    <w:rsid w:val="2AAD309E"/>
    <w:rsid w:val="2B4A1AA4"/>
    <w:rsid w:val="2B9D0EA1"/>
    <w:rsid w:val="2C68699F"/>
    <w:rsid w:val="2D71156A"/>
    <w:rsid w:val="2E747D02"/>
    <w:rsid w:val="2FE5CC92"/>
    <w:rsid w:val="304A3666"/>
    <w:rsid w:val="31A22E1D"/>
    <w:rsid w:val="35853DF1"/>
    <w:rsid w:val="36015093"/>
    <w:rsid w:val="37CFF9D5"/>
    <w:rsid w:val="3930052B"/>
    <w:rsid w:val="3A5C5F37"/>
    <w:rsid w:val="3AD408C0"/>
    <w:rsid w:val="3AD61732"/>
    <w:rsid w:val="3C430575"/>
    <w:rsid w:val="3E7201E0"/>
    <w:rsid w:val="3EE73CCD"/>
    <w:rsid w:val="3F231E0B"/>
    <w:rsid w:val="41571BA5"/>
    <w:rsid w:val="41F320F5"/>
    <w:rsid w:val="429F5DD9"/>
    <w:rsid w:val="43F25240"/>
    <w:rsid w:val="44E16B7D"/>
    <w:rsid w:val="451C24BD"/>
    <w:rsid w:val="45C60107"/>
    <w:rsid w:val="46180E7B"/>
    <w:rsid w:val="46C1226B"/>
    <w:rsid w:val="4754072D"/>
    <w:rsid w:val="4794337F"/>
    <w:rsid w:val="483671E0"/>
    <w:rsid w:val="48CD0AFD"/>
    <w:rsid w:val="4952614A"/>
    <w:rsid w:val="49AF4875"/>
    <w:rsid w:val="49DC0B1F"/>
    <w:rsid w:val="4A0E022B"/>
    <w:rsid w:val="4A191B5A"/>
    <w:rsid w:val="4ACB3A3E"/>
    <w:rsid w:val="4B000758"/>
    <w:rsid w:val="4B547EB0"/>
    <w:rsid w:val="4BB142F8"/>
    <w:rsid w:val="4C4A4A77"/>
    <w:rsid w:val="4CED7E15"/>
    <w:rsid w:val="4D4828C8"/>
    <w:rsid w:val="4DF16E8B"/>
    <w:rsid w:val="4E7E543D"/>
    <w:rsid w:val="4F1206B8"/>
    <w:rsid w:val="4F487023"/>
    <w:rsid w:val="4F8E7901"/>
    <w:rsid w:val="4FAC3EB4"/>
    <w:rsid w:val="4FB968DC"/>
    <w:rsid w:val="50F934A0"/>
    <w:rsid w:val="51020500"/>
    <w:rsid w:val="51B676E4"/>
    <w:rsid w:val="51BD2161"/>
    <w:rsid w:val="53D63625"/>
    <w:rsid w:val="54037E10"/>
    <w:rsid w:val="57E22AD0"/>
    <w:rsid w:val="58710FFB"/>
    <w:rsid w:val="58FF1DA3"/>
    <w:rsid w:val="592866D1"/>
    <w:rsid w:val="59673878"/>
    <w:rsid w:val="59EFEB49"/>
    <w:rsid w:val="5ACE248D"/>
    <w:rsid w:val="5CC57930"/>
    <w:rsid w:val="5D635F29"/>
    <w:rsid w:val="5EE65064"/>
    <w:rsid w:val="5F81B350"/>
    <w:rsid w:val="60124F5B"/>
    <w:rsid w:val="60672F97"/>
    <w:rsid w:val="60911000"/>
    <w:rsid w:val="60B22133"/>
    <w:rsid w:val="61057BA5"/>
    <w:rsid w:val="612748F5"/>
    <w:rsid w:val="61DF740A"/>
    <w:rsid w:val="6318012F"/>
    <w:rsid w:val="63A076B9"/>
    <w:rsid w:val="63D40B20"/>
    <w:rsid w:val="63D95F56"/>
    <w:rsid w:val="64A4688C"/>
    <w:rsid w:val="651C6CF0"/>
    <w:rsid w:val="651D7774"/>
    <w:rsid w:val="652E35A5"/>
    <w:rsid w:val="653A2DA4"/>
    <w:rsid w:val="65792A57"/>
    <w:rsid w:val="6598365F"/>
    <w:rsid w:val="65B55861"/>
    <w:rsid w:val="673A73C6"/>
    <w:rsid w:val="674D79C1"/>
    <w:rsid w:val="684D7A85"/>
    <w:rsid w:val="69E40947"/>
    <w:rsid w:val="6A18009C"/>
    <w:rsid w:val="6AB9362D"/>
    <w:rsid w:val="6BBC0C42"/>
    <w:rsid w:val="6CAB77C8"/>
    <w:rsid w:val="6D3135B1"/>
    <w:rsid w:val="6DBFD56B"/>
    <w:rsid w:val="6E152CDA"/>
    <w:rsid w:val="6E2C680B"/>
    <w:rsid w:val="6FDD1AB0"/>
    <w:rsid w:val="709F25F4"/>
    <w:rsid w:val="711D7F31"/>
    <w:rsid w:val="732637EC"/>
    <w:rsid w:val="732C1199"/>
    <w:rsid w:val="733A6046"/>
    <w:rsid w:val="74016996"/>
    <w:rsid w:val="74A878F0"/>
    <w:rsid w:val="75C80BC8"/>
    <w:rsid w:val="769822ED"/>
    <w:rsid w:val="76A544D3"/>
    <w:rsid w:val="76E23F0B"/>
    <w:rsid w:val="76EF2560"/>
    <w:rsid w:val="776E579F"/>
    <w:rsid w:val="794024EA"/>
    <w:rsid w:val="7AC13CF3"/>
    <w:rsid w:val="7CA47626"/>
    <w:rsid w:val="7CB00DFF"/>
    <w:rsid w:val="7D5E6EF6"/>
    <w:rsid w:val="7D782BB5"/>
    <w:rsid w:val="7D7FDE2E"/>
    <w:rsid w:val="7F5C05D3"/>
    <w:rsid w:val="7FE21E49"/>
    <w:rsid w:val="8EFDCF70"/>
    <w:rsid w:val="AFE7C22A"/>
    <w:rsid w:val="DB3D3EE6"/>
    <w:rsid w:val="EEFF4F81"/>
    <w:rsid w:val="EFF79DCE"/>
    <w:rsid w:val="F71D793F"/>
    <w:rsid w:val="F9A46200"/>
    <w:rsid w:val="FCF7FE27"/>
    <w:rsid w:val="FE9FB1FD"/>
    <w:rsid w:val="FF9DD1EF"/>
    <w:rsid w:val="FFFB308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0"/>
    <w:pPr>
      <w:keepNext/>
      <w:keepLines/>
      <w:spacing w:before="20" w:after="20" w:line="360" w:lineRule="auto"/>
      <w:jc w:val="center"/>
      <w:outlineLvl w:val="0"/>
    </w:pPr>
    <w:rPr>
      <w:b/>
      <w:bCs/>
      <w:color w:val="000000" w:themeColor="text1"/>
      <w:kern w:val="44"/>
      <w:sz w:val="24"/>
      <w:szCs w:val="44"/>
      <w14:textFill>
        <w14:solidFill>
          <w14:schemeClr w14:val="tx1"/>
        </w14:solidFill>
      </w14:textFill>
    </w:rPr>
  </w:style>
  <w:style w:type="paragraph" w:styleId="5">
    <w:name w:val="heading 2"/>
    <w:basedOn w:val="1"/>
    <w:next w:val="1"/>
    <w:link w:val="61"/>
    <w:qFormat/>
    <w:uiPriority w:val="9"/>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2"/>
    <w:qFormat/>
    <w:uiPriority w:val="9"/>
    <w:pPr>
      <w:keepNext/>
      <w:keepLines/>
      <w:tabs>
        <w:tab w:val="left" w:pos="1740"/>
      </w:tabs>
      <w:spacing w:before="260" w:line="413" w:lineRule="auto"/>
      <w:ind w:left="1740"/>
      <w:outlineLvl w:val="2"/>
    </w:pPr>
    <w:rPr>
      <w:b/>
      <w:bCs/>
      <w:kern w:val="0"/>
      <w:sz w:val="32"/>
      <w:szCs w:val="32"/>
    </w:rPr>
  </w:style>
  <w:style w:type="paragraph" w:styleId="7">
    <w:name w:val="heading 4"/>
    <w:basedOn w:val="1"/>
    <w:next w:val="1"/>
    <w:link w:val="63"/>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64"/>
    <w:qFormat/>
    <w:uiPriority w:val="0"/>
    <w:pPr>
      <w:keepNext/>
      <w:keepLines/>
      <w:tabs>
        <w:tab w:val="left" w:pos="2580"/>
      </w:tabs>
      <w:spacing w:before="280" w:line="372" w:lineRule="auto"/>
      <w:outlineLvl w:val="4"/>
    </w:pPr>
    <w:rPr>
      <w:b/>
      <w:bCs/>
      <w:kern w:val="0"/>
      <w:sz w:val="28"/>
      <w:szCs w:val="28"/>
    </w:rPr>
  </w:style>
  <w:style w:type="paragraph" w:styleId="9">
    <w:name w:val="heading 6"/>
    <w:basedOn w:val="1"/>
    <w:next w:val="1"/>
    <w:link w:val="65"/>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10">
    <w:name w:val="heading 7"/>
    <w:basedOn w:val="1"/>
    <w:next w:val="11"/>
    <w:link w:val="66"/>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2">
    <w:name w:val="heading 8"/>
    <w:basedOn w:val="1"/>
    <w:next w:val="1"/>
    <w:link w:val="67"/>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3">
    <w:name w:val="heading 9"/>
    <w:basedOn w:val="1"/>
    <w:next w:val="1"/>
    <w:link w:val="68"/>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rPr>
      <w:rFonts w:hint="eastAsia"/>
    </w:rPr>
  </w:style>
  <w:style w:type="paragraph" w:styleId="3">
    <w:name w:val="Body Text"/>
    <w:basedOn w:val="1"/>
    <w:link w:val="98"/>
    <w:qFormat/>
    <w:uiPriority w:val="0"/>
    <w:pPr>
      <w:spacing w:after="120"/>
    </w:pPr>
    <w:rPr>
      <w:rFonts w:ascii="Calibri" w:hAnsi="Calibri"/>
      <w:kern w:val="0"/>
      <w:sz w:val="28"/>
    </w:rPr>
  </w:style>
  <w:style w:type="paragraph" w:customStyle="1" w:styleId="11">
    <w:name w:val="文档正文"/>
    <w:basedOn w:val="1"/>
    <w:qFormat/>
    <w:uiPriority w:val="0"/>
    <w:pPr>
      <w:adjustRightInd w:val="0"/>
      <w:spacing w:before="60" w:line="360" w:lineRule="atLeast"/>
      <w:ind w:firstLine="482"/>
      <w:textAlignment w:val="baseline"/>
    </w:pPr>
    <w:rPr>
      <w:sz w:val="24"/>
    </w:rPr>
  </w:style>
  <w:style w:type="paragraph" w:styleId="14">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5">
    <w:name w:val="Normal Indent"/>
    <w:basedOn w:val="1"/>
    <w:link w:val="103"/>
    <w:qFormat/>
    <w:uiPriority w:val="0"/>
    <w:pPr>
      <w:ind w:firstLine="420"/>
    </w:pPr>
    <w:rPr>
      <w:rFonts w:ascii="Calibri" w:hAnsi="Calibri"/>
      <w:szCs w:val="22"/>
    </w:rPr>
  </w:style>
  <w:style w:type="paragraph" w:styleId="16">
    <w:name w:val="caption"/>
    <w:basedOn w:val="1"/>
    <w:next w:val="1"/>
    <w:link w:val="407"/>
    <w:qFormat/>
    <w:uiPriority w:val="35"/>
    <w:pPr>
      <w:spacing w:before="152" w:after="160"/>
    </w:pPr>
    <w:rPr>
      <w:rFonts w:ascii="Arial" w:hAnsi="Arial" w:eastAsia="黑体" w:cs="Arial"/>
      <w:sz w:val="20"/>
      <w:szCs w:val="20"/>
    </w:rPr>
  </w:style>
  <w:style w:type="paragraph" w:styleId="17">
    <w:name w:val="Document Map"/>
    <w:basedOn w:val="1"/>
    <w:link w:val="156"/>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8">
    <w:name w:val="annotation text"/>
    <w:basedOn w:val="1"/>
    <w:link w:val="123"/>
    <w:qFormat/>
    <w:uiPriority w:val="0"/>
    <w:pPr>
      <w:spacing w:afterLines="100" w:line="360" w:lineRule="auto"/>
      <w:ind w:firstLine="200" w:firstLineChars="200"/>
      <w:jc w:val="left"/>
    </w:pPr>
    <w:rPr>
      <w:rFonts w:ascii="Calibri" w:hAnsi="Calibri"/>
      <w:kern w:val="0"/>
      <w:sz w:val="24"/>
    </w:rPr>
  </w:style>
  <w:style w:type="paragraph" w:styleId="19">
    <w:name w:val="Body Text 3"/>
    <w:basedOn w:val="1"/>
    <w:link w:val="153"/>
    <w:qFormat/>
    <w:uiPriority w:val="0"/>
    <w:pPr>
      <w:snapToGrid w:val="0"/>
      <w:spacing w:before="50" w:after="50"/>
    </w:pPr>
    <w:rPr>
      <w:rFonts w:ascii="Calibri" w:hAnsi="宋体" w:eastAsia="仿宋_GB2312"/>
      <w:b/>
      <w:bCs/>
      <w:kern w:val="0"/>
      <w:sz w:val="24"/>
      <w:szCs w:val="20"/>
    </w:rPr>
  </w:style>
  <w:style w:type="paragraph" w:styleId="20">
    <w:name w:val="Body Text Indent"/>
    <w:basedOn w:val="1"/>
    <w:next w:val="1"/>
    <w:link w:val="74"/>
    <w:unhideWhenUsed/>
    <w:qFormat/>
    <w:uiPriority w:val="0"/>
    <w:pPr>
      <w:spacing w:after="120"/>
      <w:ind w:left="420" w:leftChars="200"/>
    </w:pPr>
    <w:rPr>
      <w:kern w:val="0"/>
      <w:sz w:val="20"/>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toc 3"/>
    <w:basedOn w:val="1"/>
    <w:next w:val="1"/>
    <w:qFormat/>
    <w:uiPriority w:val="39"/>
    <w:pPr>
      <w:spacing w:line="360" w:lineRule="auto"/>
      <w:ind w:left="480" w:firstLine="200" w:firstLineChars="200"/>
      <w:jc w:val="left"/>
    </w:pPr>
    <w:rPr>
      <w:i/>
      <w:iCs/>
      <w:sz w:val="20"/>
      <w:szCs w:val="20"/>
    </w:rPr>
  </w:style>
  <w:style w:type="paragraph" w:styleId="24">
    <w:name w:val="Plain Text"/>
    <w:basedOn w:val="1"/>
    <w:link w:val="150"/>
    <w:qFormat/>
    <w:uiPriority w:val="0"/>
    <w:pPr>
      <w:spacing w:beforeLines="50" w:afterLines="50" w:line="400" w:lineRule="exact"/>
    </w:pPr>
    <w:rPr>
      <w:rFonts w:ascii="宋体" w:hAnsi="Courier New"/>
      <w:kern w:val="0"/>
      <w:sz w:val="24"/>
    </w:rPr>
  </w:style>
  <w:style w:type="paragraph" w:styleId="25">
    <w:name w:val="Date"/>
    <w:basedOn w:val="1"/>
    <w:next w:val="1"/>
    <w:link w:val="134"/>
    <w:qFormat/>
    <w:uiPriority w:val="0"/>
    <w:pPr>
      <w:ind w:left="2500" w:leftChars="2500"/>
    </w:pPr>
    <w:rPr>
      <w:rFonts w:ascii="Calibri" w:hAnsi="Calibri" w:eastAsia="楷体_GB2312"/>
      <w:kern w:val="0"/>
      <w:sz w:val="32"/>
      <w:szCs w:val="20"/>
    </w:rPr>
  </w:style>
  <w:style w:type="paragraph" w:styleId="26">
    <w:name w:val="Body Text Indent 2"/>
    <w:basedOn w:val="1"/>
    <w:link w:val="128"/>
    <w:qFormat/>
    <w:uiPriority w:val="0"/>
    <w:pPr>
      <w:snapToGrid w:val="0"/>
      <w:ind w:firstLine="542" w:firstLineChars="225"/>
    </w:pPr>
    <w:rPr>
      <w:rFonts w:ascii="仿宋_GB2312" w:hAnsi="宋体"/>
      <w:b/>
      <w:bCs/>
      <w:color w:val="000000"/>
      <w:kern w:val="0"/>
      <w:sz w:val="24"/>
    </w:rPr>
  </w:style>
  <w:style w:type="paragraph" w:styleId="27">
    <w:name w:val="Balloon Text"/>
    <w:basedOn w:val="1"/>
    <w:link w:val="71"/>
    <w:unhideWhenUsed/>
    <w:qFormat/>
    <w:uiPriority w:val="0"/>
    <w:rPr>
      <w:rFonts w:ascii="Calibri" w:hAnsi="Calibri"/>
      <w:kern w:val="0"/>
      <w:sz w:val="16"/>
      <w:szCs w:val="16"/>
    </w:rPr>
  </w:style>
  <w:style w:type="paragraph" w:styleId="28">
    <w:name w:val="footer"/>
    <w:basedOn w:val="1"/>
    <w:link w:val="60"/>
    <w:unhideWhenUsed/>
    <w:qFormat/>
    <w:uiPriority w:val="0"/>
    <w:pPr>
      <w:tabs>
        <w:tab w:val="center" w:pos="4153"/>
        <w:tab w:val="right" w:pos="8306"/>
      </w:tabs>
      <w:snapToGrid w:val="0"/>
      <w:jc w:val="left"/>
    </w:pPr>
    <w:rPr>
      <w:rFonts w:ascii="Calibri" w:hAnsi="Calibri"/>
      <w:kern w:val="0"/>
      <w:sz w:val="18"/>
      <w:szCs w:val="18"/>
    </w:rPr>
  </w:style>
  <w:style w:type="paragraph" w:styleId="29">
    <w:name w:val="header"/>
    <w:basedOn w:val="1"/>
    <w:link w:val="59"/>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qFormat/>
    <w:uiPriority w:val="39"/>
  </w:style>
  <w:style w:type="paragraph" w:styleId="31">
    <w:name w:val="Subtitle"/>
    <w:basedOn w:val="1"/>
    <w:next w:val="1"/>
    <w:link w:val="115"/>
    <w:qFormat/>
    <w:uiPriority w:val="11"/>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200" w:hanging="200" w:hangingChars="200"/>
    </w:pPr>
    <w:rPr>
      <w:sz w:val="28"/>
    </w:rPr>
  </w:style>
  <w:style w:type="paragraph" w:styleId="33">
    <w:name w:val="footnote text"/>
    <w:basedOn w:val="1"/>
    <w:link w:val="81"/>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4">
    <w:name w:val="toc 6"/>
    <w:basedOn w:val="1"/>
    <w:next w:val="1"/>
    <w:qFormat/>
    <w:uiPriority w:val="39"/>
    <w:pPr>
      <w:widowControl/>
      <w:ind w:left="1000"/>
      <w:jc w:val="left"/>
    </w:pPr>
    <w:rPr>
      <w:kern w:val="0"/>
      <w:sz w:val="18"/>
      <w:szCs w:val="20"/>
    </w:rPr>
  </w:style>
  <w:style w:type="paragraph" w:styleId="35">
    <w:name w:val="Body Text Indent 3"/>
    <w:basedOn w:val="1"/>
    <w:link w:val="125"/>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unhideWhenUsed/>
    <w:qFormat/>
    <w:uiPriority w:val="39"/>
    <w:pPr>
      <w:ind w:left="420" w:leftChars="200"/>
    </w:pPr>
  </w:style>
  <w:style w:type="paragraph" w:styleId="37">
    <w:name w:val="Body Text 2"/>
    <w:basedOn w:val="1"/>
    <w:link w:val="130"/>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138"/>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166"/>
    <w:qFormat/>
    <w:uiPriority w:val="0"/>
    <w:pPr>
      <w:widowControl/>
      <w:spacing w:before="100" w:beforeAutospacing="1" w:after="100" w:afterAutospacing="1"/>
      <w:jc w:val="left"/>
    </w:pPr>
    <w:rPr>
      <w:rFonts w:ascii="Calibri" w:hAnsi="Calibri"/>
      <w:kern w:val="0"/>
      <w:sz w:val="24"/>
    </w:rPr>
  </w:style>
  <w:style w:type="paragraph" w:styleId="40">
    <w:name w:val="index 1"/>
    <w:basedOn w:val="1"/>
    <w:next w:val="1"/>
    <w:qFormat/>
    <w:uiPriority w:val="0"/>
    <w:pPr>
      <w:jc w:val="center"/>
    </w:pPr>
    <w:rPr>
      <w:rFonts w:ascii="Arial" w:hAnsi="Arial" w:eastAsia="Arial" w:cs="Arial"/>
      <w:b/>
      <w:bCs/>
      <w:sz w:val="28"/>
      <w:szCs w:val="20"/>
    </w:rPr>
  </w:style>
  <w:style w:type="paragraph" w:styleId="41">
    <w:name w:val="Title"/>
    <w:basedOn w:val="1"/>
    <w:link w:val="374"/>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8"/>
    <w:next w:val="18"/>
    <w:link w:val="161"/>
    <w:qFormat/>
    <w:uiPriority w:val="0"/>
    <w:rPr>
      <w:b/>
      <w:bCs/>
    </w:rPr>
  </w:style>
  <w:style w:type="paragraph" w:styleId="43">
    <w:name w:val="Body Text First Indent"/>
    <w:basedOn w:val="3"/>
    <w:next w:val="34"/>
    <w:link w:val="97"/>
    <w:unhideWhenUsed/>
    <w:qFormat/>
    <w:uiPriority w:val="0"/>
    <w:pPr>
      <w:ind w:firstLine="420" w:firstLineChars="100"/>
    </w:pPr>
  </w:style>
  <w:style w:type="paragraph" w:styleId="44">
    <w:name w:val="Body Text First Indent 2"/>
    <w:basedOn w:val="20"/>
    <w:next w:val="1"/>
    <w:link w:val="73"/>
    <w:semiHidden/>
    <w:qFormat/>
    <w:uiPriority w:val="0"/>
    <w:pPr>
      <w:spacing w:line="360" w:lineRule="auto"/>
      <w:ind w:firstLine="420" w:firstLineChars="200"/>
    </w:pPr>
    <w:rPr>
      <w:rFonts w:ascii="宋体" w:hAnsi="Courier New"/>
      <w:spacing w:val="-4"/>
      <w:sz w:val="24"/>
    </w:rPr>
  </w:style>
  <w:style w:type="table" w:styleId="46">
    <w:name w:val="Table Grid"/>
    <w:basedOn w:val="45"/>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22"/>
    <w:rPr>
      <w:b/>
      <w:bCs/>
    </w:rPr>
  </w:style>
  <w:style w:type="character" w:styleId="49">
    <w:name w:val="page number"/>
    <w:basedOn w:val="47"/>
    <w:qFormat/>
    <w:uiPriority w:val="0"/>
  </w:style>
  <w:style w:type="character" w:styleId="50">
    <w:name w:val="FollowedHyperlink"/>
    <w:unhideWhenUsed/>
    <w:qFormat/>
    <w:uiPriority w:val="99"/>
    <w:rPr>
      <w:color w:val="800080"/>
      <w:u w:val="single"/>
    </w:rPr>
  </w:style>
  <w:style w:type="character" w:styleId="51">
    <w:name w:val="Emphasis"/>
    <w:qFormat/>
    <w:uiPriority w:val="20"/>
    <w:rPr>
      <w:i/>
    </w:rPr>
  </w:style>
  <w:style w:type="character" w:styleId="52">
    <w:name w:val="Hyperlink"/>
    <w:qFormat/>
    <w:uiPriority w:val="99"/>
    <w:rPr>
      <w:color w:val="0000FF"/>
      <w:u w:val="single"/>
    </w:rPr>
  </w:style>
  <w:style w:type="character" w:styleId="53">
    <w:name w:val="annotation reference"/>
    <w:qFormat/>
    <w:uiPriority w:val="0"/>
    <w:rPr>
      <w:sz w:val="21"/>
      <w:szCs w:val="21"/>
    </w:rPr>
  </w:style>
  <w:style w:type="character" w:customStyle="1" w:styleId="54">
    <w:name w:val="标题 1 字符"/>
    <w:link w:val="4"/>
    <w:qFormat/>
    <w:uiPriority w:val="0"/>
    <w:rPr>
      <w:rFonts w:ascii="Times New Roman" w:hAnsi="Times New Roman"/>
      <w:b/>
      <w:bCs/>
      <w:color w:val="000000" w:themeColor="text1"/>
      <w:kern w:val="44"/>
      <w:sz w:val="24"/>
      <w:szCs w:val="44"/>
      <w14:textFill>
        <w14:solidFill>
          <w14:schemeClr w14:val="tx1"/>
        </w14:solidFill>
      </w14:textFill>
    </w:rPr>
  </w:style>
  <w:style w:type="paragraph" w:customStyle="1" w:styleId="55">
    <w:name w:val="BodyText1I2"/>
    <w:basedOn w:val="56"/>
    <w:next w:val="1"/>
    <w:qFormat/>
    <w:uiPriority w:val="0"/>
    <w:pPr>
      <w:spacing w:line="200" w:lineRule="exact"/>
      <w:ind w:firstLine="420"/>
      <w:jc w:val="both"/>
      <w:textAlignment w:val="baseline"/>
    </w:pPr>
    <w:rPr>
      <w:rFonts w:ascii="Calibri" w:hAnsi="Calibri" w:eastAsia="宋体"/>
      <w:spacing w:val="-4"/>
      <w:kern w:val="0"/>
      <w:sz w:val="18"/>
      <w:szCs w:val="20"/>
      <w:lang w:val="en-US" w:eastAsia="zh-CN" w:bidi="ar-SA"/>
    </w:rPr>
  </w:style>
  <w:style w:type="paragraph" w:customStyle="1" w:styleId="56">
    <w:name w:val="BodyTextIndent"/>
    <w:basedOn w:val="1"/>
    <w:next w:val="1"/>
    <w:qFormat/>
    <w:uiPriority w:val="0"/>
    <w:pPr>
      <w:spacing w:line="200" w:lineRule="exact"/>
      <w:ind w:firstLine="301"/>
      <w:jc w:val="both"/>
      <w:textAlignment w:val="baseline"/>
    </w:pPr>
    <w:rPr>
      <w:rFonts w:ascii="宋体" w:hAnsi="Courier New"/>
      <w:spacing w:val="-4"/>
      <w:kern w:val="0"/>
      <w:sz w:val="18"/>
      <w:szCs w:val="20"/>
      <w:lang w:val="en-US" w:eastAsia="zh-CN" w:bidi="ar-SA"/>
    </w:rPr>
  </w:style>
  <w:style w:type="paragraph" w:customStyle="1" w:styleId="57">
    <w:name w:val="Body Text First Indent 21"/>
    <w:basedOn w:val="58"/>
    <w:qFormat/>
    <w:uiPriority w:val="0"/>
    <w:pPr>
      <w:ind w:firstLine="420"/>
    </w:pPr>
  </w:style>
  <w:style w:type="paragraph" w:customStyle="1" w:styleId="58">
    <w:name w:val="Body Text Indent1"/>
    <w:basedOn w:val="1"/>
    <w:qFormat/>
    <w:uiPriority w:val="0"/>
    <w:pPr>
      <w:spacing w:after="120"/>
      <w:ind w:left="420" w:leftChars="200"/>
    </w:pPr>
    <w:rPr>
      <w:rFonts w:asciiTheme="minorHAnsi" w:hAnsiTheme="minorHAnsi" w:eastAsiaTheme="minorEastAsia" w:cstheme="minorBidi"/>
      <w:color w:val="000000"/>
      <w:szCs w:val="21"/>
    </w:rPr>
  </w:style>
  <w:style w:type="character" w:customStyle="1" w:styleId="59">
    <w:name w:val="页眉 字符"/>
    <w:link w:val="29"/>
    <w:qFormat/>
    <w:uiPriority w:val="0"/>
    <w:rPr>
      <w:sz w:val="18"/>
      <w:szCs w:val="18"/>
    </w:rPr>
  </w:style>
  <w:style w:type="character" w:customStyle="1" w:styleId="60">
    <w:name w:val="页脚 字符1"/>
    <w:link w:val="28"/>
    <w:qFormat/>
    <w:uiPriority w:val="0"/>
    <w:rPr>
      <w:sz w:val="18"/>
      <w:szCs w:val="18"/>
    </w:rPr>
  </w:style>
  <w:style w:type="character" w:customStyle="1" w:styleId="61">
    <w:name w:val="标题 2 字符"/>
    <w:link w:val="5"/>
    <w:qFormat/>
    <w:uiPriority w:val="9"/>
    <w:rPr>
      <w:rFonts w:ascii="Arial" w:hAnsi="Arial" w:eastAsia="黑体" w:cs="Times New Roman"/>
      <w:b/>
      <w:bCs/>
      <w:sz w:val="32"/>
      <w:szCs w:val="32"/>
    </w:rPr>
  </w:style>
  <w:style w:type="character" w:customStyle="1" w:styleId="62">
    <w:name w:val="标题 3 字符"/>
    <w:link w:val="6"/>
    <w:qFormat/>
    <w:uiPriority w:val="9"/>
    <w:rPr>
      <w:rFonts w:ascii="Times New Roman" w:hAnsi="Times New Roman" w:eastAsia="宋体" w:cs="Times New Roman"/>
      <w:b/>
      <w:bCs/>
      <w:sz w:val="32"/>
      <w:szCs w:val="32"/>
    </w:rPr>
  </w:style>
  <w:style w:type="character" w:customStyle="1" w:styleId="63">
    <w:name w:val="标题 4 字符"/>
    <w:link w:val="7"/>
    <w:qFormat/>
    <w:uiPriority w:val="0"/>
    <w:rPr>
      <w:rFonts w:ascii="Cambria" w:hAnsi="Cambria" w:eastAsia="宋体" w:cs="Times New Roman"/>
      <w:b/>
      <w:bCs/>
      <w:sz w:val="28"/>
      <w:szCs w:val="28"/>
    </w:rPr>
  </w:style>
  <w:style w:type="character" w:customStyle="1" w:styleId="64">
    <w:name w:val="标题 5 字符"/>
    <w:link w:val="8"/>
    <w:qFormat/>
    <w:uiPriority w:val="0"/>
    <w:rPr>
      <w:rFonts w:ascii="Times New Roman" w:hAnsi="Times New Roman" w:eastAsia="宋体" w:cs="Times New Roman"/>
      <w:b/>
      <w:bCs/>
      <w:sz w:val="28"/>
      <w:szCs w:val="28"/>
    </w:rPr>
  </w:style>
  <w:style w:type="character" w:customStyle="1" w:styleId="65">
    <w:name w:val="标题 6 字符"/>
    <w:link w:val="9"/>
    <w:qFormat/>
    <w:uiPriority w:val="0"/>
    <w:rPr>
      <w:rFonts w:ascii="Arial" w:hAnsi="Arial" w:eastAsia="黑体" w:cs="Times New Roman"/>
      <w:b/>
      <w:bCs/>
      <w:sz w:val="24"/>
      <w:szCs w:val="24"/>
    </w:rPr>
  </w:style>
  <w:style w:type="character" w:customStyle="1" w:styleId="66">
    <w:name w:val="标题 7 字符"/>
    <w:link w:val="10"/>
    <w:qFormat/>
    <w:uiPriority w:val="0"/>
    <w:rPr>
      <w:rFonts w:ascii="Times New Roman" w:hAnsi="Times New Roman" w:eastAsia="宋体" w:cs="Times New Roman"/>
      <w:b/>
      <w:bCs/>
      <w:sz w:val="24"/>
      <w:szCs w:val="24"/>
    </w:rPr>
  </w:style>
  <w:style w:type="character" w:customStyle="1" w:styleId="67">
    <w:name w:val="标题 8 字符"/>
    <w:link w:val="12"/>
    <w:qFormat/>
    <w:uiPriority w:val="0"/>
    <w:rPr>
      <w:rFonts w:ascii="Arial" w:hAnsi="Arial" w:eastAsia="黑体" w:cs="Times New Roman"/>
      <w:sz w:val="24"/>
      <w:szCs w:val="24"/>
    </w:rPr>
  </w:style>
  <w:style w:type="character" w:customStyle="1" w:styleId="68">
    <w:name w:val="标题 9 字符"/>
    <w:link w:val="13"/>
    <w:qFormat/>
    <w:uiPriority w:val="0"/>
    <w:rPr>
      <w:rFonts w:ascii="Arial" w:hAnsi="Arial" w:eastAsia="黑体" w:cs="Times New Roman"/>
      <w:szCs w:val="21"/>
    </w:rPr>
  </w:style>
  <w:style w:type="paragraph" w:customStyle="1" w:styleId="69">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Char Char4"/>
    <w:qFormat/>
    <w:uiPriority w:val="0"/>
    <w:rPr>
      <w:rFonts w:eastAsia="宋体"/>
      <w:kern w:val="2"/>
      <w:sz w:val="24"/>
      <w:lang w:val="en-US" w:eastAsia="zh-CN" w:bidi="ar-SA"/>
    </w:rPr>
  </w:style>
  <w:style w:type="character" w:customStyle="1" w:styleId="71">
    <w:name w:val="批注框文本 字符"/>
    <w:link w:val="27"/>
    <w:qFormat/>
    <w:uiPriority w:val="0"/>
    <w:rPr>
      <w:sz w:val="16"/>
      <w:szCs w:val="16"/>
    </w:rPr>
  </w:style>
  <w:style w:type="character" w:customStyle="1" w:styleId="72">
    <w:name w:val="批注框文本 Char1"/>
    <w:semiHidden/>
    <w:qFormat/>
    <w:uiPriority w:val="99"/>
    <w:rPr>
      <w:rFonts w:ascii="Times New Roman" w:hAnsi="Times New Roman" w:eastAsia="宋体" w:cs="Times New Roman"/>
      <w:sz w:val="18"/>
      <w:szCs w:val="18"/>
    </w:rPr>
  </w:style>
  <w:style w:type="character" w:customStyle="1" w:styleId="73">
    <w:name w:val="正文首行缩进 2 字符"/>
    <w:link w:val="44"/>
    <w:semiHidden/>
    <w:qFormat/>
    <w:uiPriority w:val="0"/>
    <w:rPr>
      <w:rFonts w:ascii="宋体" w:hAnsi="Courier New"/>
      <w:spacing w:val="-4"/>
      <w:sz w:val="24"/>
      <w:szCs w:val="24"/>
    </w:rPr>
  </w:style>
  <w:style w:type="character" w:customStyle="1" w:styleId="74">
    <w:name w:val="正文文本缩进 字符"/>
    <w:link w:val="20"/>
    <w:qFormat/>
    <w:uiPriority w:val="0"/>
    <w:rPr>
      <w:rFonts w:ascii="Times New Roman" w:hAnsi="Times New Roman" w:eastAsia="宋体" w:cs="Times New Roman"/>
      <w:szCs w:val="24"/>
    </w:rPr>
  </w:style>
  <w:style w:type="character" w:customStyle="1" w:styleId="75">
    <w:name w:val="正文首行缩进 2 Char1"/>
    <w:semiHidden/>
    <w:qFormat/>
    <w:uiPriority w:val="99"/>
    <w:rPr>
      <w:rFonts w:ascii="Times New Roman" w:hAnsi="Times New Roman" w:eastAsia="宋体" w:cs="Times New Roman"/>
      <w:szCs w:val="24"/>
    </w:rPr>
  </w:style>
  <w:style w:type="character" w:customStyle="1" w:styleId="76">
    <w:name w:val="投标文件 正文首行缩进 Char"/>
    <w:qFormat/>
    <w:uiPriority w:val="0"/>
    <w:rPr>
      <w:rFonts w:ascii="Arial" w:hAnsi="Arial" w:eastAsia="宋体"/>
      <w:kern w:val="2"/>
      <w:sz w:val="21"/>
      <w:szCs w:val="24"/>
      <w:lang w:val="en-US" w:eastAsia="zh-CN" w:bidi="ar-SA"/>
    </w:rPr>
  </w:style>
  <w:style w:type="character" w:customStyle="1" w:styleId="77">
    <w:name w:val="_正文段落 Char"/>
    <w:qFormat/>
    <w:uiPriority w:val="0"/>
    <w:rPr>
      <w:rFonts w:eastAsia="宋体"/>
      <w:kern w:val="2"/>
      <w:sz w:val="21"/>
      <w:szCs w:val="24"/>
      <w:lang w:val="en-US" w:eastAsia="zh-CN" w:bidi="ar-SA"/>
    </w:rPr>
  </w:style>
  <w:style w:type="character" w:customStyle="1" w:styleId="78">
    <w:name w:val="Char Char17"/>
    <w:qFormat/>
    <w:uiPriority w:val="0"/>
    <w:rPr>
      <w:rFonts w:ascii="Arial" w:hAnsi="Arial" w:eastAsia="黑体"/>
      <w:b/>
      <w:bCs/>
      <w:kern w:val="2"/>
      <w:sz w:val="32"/>
      <w:szCs w:val="32"/>
      <w:lang w:val="en-US" w:eastAsia="zh-CN" w:bidi="ar-SA"/>
    </w:rPr>
  </w:style>
  <w:style w:type="character" w:customStyle="1" w:styleId="79">
    <w:name w:val="Char Char14"/>
    <w:qFormat/>
    <w:uiPriority w:val="0"/>
    <w:rPr>
      <w:rFonts w:eastAsia="宋体"/>
      <w:b/>
      <w:bCs/>
      <w:kern w:val="2"/>
      <w:sz w:val="28"/>
      <w:szCs w:val="28"/>
      <w:lang w:val="en-US" w:eastAsia="zh-CN" w:bidi="ar-SA"/>
    </w:rPr>
  </w:style>
  <w:style w:type="character" w:customStyle="1" w:styleId="80">
    <w:name w:val="ptt1"/>
    <w:qFormat/>
    <w:uiPriority w:val="0"/>
    <w:rPr>
      <w:rFonts w:hint="eastAsia" w:ascii="宋体" w:hAnsi="宋体" w:eastAsia="宋体"/>
      <w:sz w:val="18"/>
      <w:szCs w:val="18"/>
    </w:rPr>
  </w:style>
  <w:style w:type="character" w:customStyle="1" w:styleId="81">
    <w:name w:val="脚注文本 字符"/>
    <w:link w:val="33"/>
    <w:semiHidden/>
    <w:qFormat/>
    <w:uiPriority w:val="0"/>
    <w:rPr>
      <w:sz w:val="18"/>
      <w:szCs w:val="24"/>
    </w:rPr>
  </w:style>
  <w:style w:type="character" w:customStyle="1" w:styleId="82">
    <w:name w:val="脚注文本 Char1"/>
    <w:semiHidden/>
    <w:qFormat/>
    <w:uiPriority w:val="99"/>
    <w:rPr>
      <w:rFonts w:ascii="Times New Roman" w:hAnsi="Times New Roman" w:eastAsia="宋体" w:cs="Times New Roman"/>
      <w:sz w:val="18"/>
      <w:szCs w:val="18"/>
    </w:rPr>
  </w:style>
  <w:style w:type="character" w:customStyle="1" w:styleId="83">
    <w:name w:val="Char Char18"/>
    <w:qFormat/>
    <w:uiPriority w:val="0"/>
    <w:rPr>
      <w:rFonts w:eastAsia="宋体"/>
      <w:b/>
      <w:bCs/>
      <w:kern w:val="44"/>
      <w:sz w:val="44"/>
      <w:szCs w:val="44"/>
      <w:lang w:val="en-US" w:eastAsia="zh-CN" w:bidi="ar-SA"/>
    </w:rPr>
  </w:style>
  <w:style w:type="character" w:customStyle="1" w:styleId="84">
    <w:name w:val="font2"/>
    <w:qFormat/>
    <w:uiPriority w:val="0"/>
  </w:style>
  <w:style w:type="character" w:customStyle="1" w:styleId="85">
    <w:name w:val="缺省文本 Char"/>
    <w:qFormat/>
    <w:uiPriority w:val="0"/>
    <w:rPr>
      <w:rFonts w:eastAsia="宋体"/>
      <w:sz w:val="24"/>
      <w:lang w:val="en-US" w:eastAsia="zh-CN" w:bidi="ar-SA"/>
    </w:rPr>
  </w:style>
  <w:style w:type="character" w:customStyle="1" w:styleId="86">
    <w:name w:val="HTML 预设格式 Char1"/>
    <w:semiHidden/>
    <w:qFormat/>
    <w:uiPriority w:val="99"/>
    <w:rPr>
      <w:rFonts w:ascii="Courier New" w:hAnsi="Courier New"/>
      <w:kern w:val="2"/>
    </w:rPr>
  </w:style>
  <w:style w:type="character" w:customStyle="1" w:styleId="87">
    <w:name w:val="Char Char8"/>
    <w:qFormat/>
    <w:uiPriority w:val="0"/>
    <w:rPr>
      <w:sz w:val="24"/>
    </w:rPr>
  </w:style>
  <w:style w:type="character" w:customStyle="1" w:styleId="88">
    <w:name w:val="Char Char9"/>
    <w:qFormat/>
    <w:uiPriority w:val="0"/>
    <w:rPr>
      <w:rFonts w:ascii="Arial" w:hAnsi="Arial" w:cs="Arial"/>
      <w:vanish/>
      <w:sz w:val="16"/>
      <w:szCs w:val="16"/>
    </w:rPr>
  </w:style>
  <w:style w:type="character" w:customStyle="1" w:styleId="89">
    <w:name w:val="font31"/>
    <w:basedOn w:val="47"/>
    <w:qFormat/>
    <w:uiPriority w:val="0"/>
    <w:rPr>
      <w:rFonts w:hint="default" w:ascii="Times New Roman" w:hAnsi="Times New Roman" w:cs="Times New Roman"/>
      <w:color w:val="FF0000"/>
      <w:sz w:val="24"/>
      <w:szCs w:val="24"/>
      <w:u w:val="none"/>
    </w:rPr>
  </w:style>
  <w:style w:type="character" w:customStyle="1" w:styleId="90">
    <w:name w:val="列出段落 字符1"/>
    <w:link w:val="91"/>
    <w:qFormat/>
    <w:uiPriority w:val="34"/>
    <w:rPr>
      <w:rFonts w:ascii="Calibri" w:hAnsi="Calibri"/>
    </w:rPr>
  </w:style>
  <w:style w:type="paragraph" w:styleId="91">
    <w:name w:val="List Paragraph"/>
    <w:basedOn w:val="1"/>
    <w:link w:val="90"/>
    <w:qFormat/>
    <w:uiPriority w:val="34"/>
    <w:pPr>
      <w:ind w:left="420" w:firstLine="420" w:firstLineChars="200"/>
    </w:pPr>
    <w:rPr>
      <w:rFonts w:ascii="Calibri" w:hAnsi="Calibri"/>
      <w:kern w:val="0"/>
      <w:sz w:val="20"/>
      <w:szCs w:val="20"/>
    </w:rPr>
  </w:style>
  <w:style w:type="character" w:customStyle="1" w:styleId="92">
    <w:name w:val="_标题3 Char"/>
    <w:qFormat/>
    <w:uiPriority w:val="0"/>
    <w:rPr>
      <w:rFonts w:ascii="Arial" w:hAnsi="Arial" w:eastAsia="黑体"/>
      <w:bCs/>
      <w:kern w:val="2"/>
      <w:sz w:val="30"/>
      <w:szCs w:val="32"/>
      <w:lang w:val="en-US" w:eastAsia="zh-CN" w:bidi="ar-SA"/>
    </w:rPr>
  </w:style>
  <w:style w:type="character" w:customStyle="1" w:styleId="93">
    <w:name w:val="_正文段落加粗 Char"/>
    <w:qFormat/>
    <w:uiPriority w:val="0"/>
    <w:rPr>
      <w:rFonts w:eastAsia="宋体"/>
      <w:b/>
      <w:kern w:val="2"/>
      <w:sz w:val="21"/>
      <w:szCs w:val="24"/>
      <w:lang w:val="en-US" w:eastAsia="zh-CN" w:bidi="ar-SA"/>
    </w:rPr>
  </w:style>
  <w:style w:type="character" w:customStyle="1" w:styleId="94">
    <w:name w:val="Char Char"/>
    <w:qFormat/>
    <w:uiPriority w:val="0"/>
    <w:rPr>
      <w:rFonts w:ascii="宋体" w:hAnsi="Courier New"/>
      <w:kern w:val="2"/>
      <w:sz w:val="21"/>
    </w:rPr>
  </w:style>
  <w:style w:type="character" w:customStyle="1" w:styleId="95">
    <w:name w:val="p2"/>
    <w:qFormat/>
    <w:uiPriority w:val="0"/>
  </w:style>
  <w:style w:type="character" w:customStyle="1" w:styleId="96">
    <w:name w:val="_题注 Char"/>
    <w:qFormat/>
    <w:uiPriority w:val="0"/>
    <w:rPr>
      <w:rFonts w:ascii="Arial" w:hAnsi="Arial" w:eastAsia="黑体" w:cs="Arial"/>
      <w:kern w:val="2"/>
      <w:sz w:val="21"/>
      <w:lang w:val="en-US" w:eastAsia="zh-CN" w:bidi="ar-SA"/>
    </w:rPr>
  </w:style>
  <w:style w:type="character" w:customStyle="1" w:styleId="97">
    <w:name w:val="正文首行缩进 字符"/>
    <w:link w:val="43"/>
    <w:qFormat/>
    <w:uiPriority w:val="0"/>
    <w:rPr>
      <w:sz w:val="28"/>
      <w:szCs w:val="24"/>
    </w:rPr>
  </w:style>
  <w:style w:type="character" w:customStyle="1" w:styleId="98">
    <w:name w:val="正文文本 字符"/>
    <w:link w:val="3"/>
    <w:qFormat/>
    <w:uiPriority w:val="0"/>
    <w:rPr>
      <w:sz w:val="28"/>
      <w:szCs w:val="24"/>
    </w:rPr>
  </w:style>
  <w:style w:type="character" w:customStyle="1" w:styleId="99">
    <w:name w:val="正文文本 Char1"/>
    <w:semiHidden/>
    <w:qFormat/>
    <w:uiPriority w:val="99"/>
    <w:rPr>
      <w:rFonts w:ascii="Times New Roman" w:hAnsi="Times New Roman" w:eastAsia="宋体" w:cs="Times New Roman"/>
      <w:szCs w:val="24"/>
    </w:rPr>
  </w:style>
  <w:style w:type="character" w:customStyle="1" w:styleId="100">
    <w:name w:val="正文首行缩进 Char1"/>
    <w:semiHidden/>
    <w:qFormat/>
    <w:uiPriority w:val="99"/>
    <w:rPr>
      <w:rFonts w:ascii="Times New Roman" w:hAnsi="Times New Roman" w:eastAsia="宋体" w:cs="Times New Roman"/>
      <w:szCs w:val="24"/>
    </w:rPr>
  </w:style>
  <w:style w:type="character" w:customStyle="1" w:styleId="101">
    <w:name w:val="样式1 Char Char"/>
    <w:link w:val="102"/>
    <w:qFormat/>
    <w:uiPriority w:val="0"/>
    <w:rPr>
      <w:rFonts w:ascii="Arial" w:hAnsi="Arial"/>
      <w:szCs w:val="24"/>
    </w:rPr>
  </w:style>
  <w:style w:type="paragraph" w:customStyle="1" w:styleId="102">
    <w:name w:val="样式1"/>
    <w:basedOn w:val="1"/>
    <w:link w:val="101"/>
    <w:qFormat/>
    <w:uiPriority w:val="0"/>
    <w:pPr>
      <w:spacing w:line="360" w:lineRule="exact"/>
      <w:ind w:firstLine="200" w:firstLineChars="200"/>
    </w:pPr>
    <w:rPr>
      <w:rFonts w:ascii="Arial" w:hAnsi="Arial"/>
      <w:kern w:val="0"/>
      <w:sz w:val="20"/>
    </w:rPr>
  </w:style>
  <w:style w:type="character" w:customStyle="1" w:styleId="103">
    <w:name w:val="正文缩进 字符"/>
    <w:link w:val="15"/>
    <w:qFormat/>
    <w:uiPriority w:val="0"/>
  </w:style>
  <w:style w:type="character" w:customStyle="1" w:styleId="104">
    <w:name w:val="z-窗体顶端 Char"/>
    <w:link w:val="105"/>
    <w:qFormat/>
    <w:uiPriority w:val="0"/>
    <w:rPr>
      <w:rFonts w:ascii="Arial" w:hAnsi="Arial" w:cs="Arial"/>
      <w:vanish/>
      <w:sz w:val="16"/>
      <w:szCs w:val="16"/>
    </w:rPr>
  </w:style>
  <w:style w:type="paragraph" w:customStyle="1" w:styleId="105">
    <w:name w:val="z-窗体顶端1"/>
    <w:basedOn w:val="1"/>
    <w:next w:val="1"/>
    <w:link w:val="104"/>
    <w:qFormat/>
    <w:uiPriority w:val="0"/>
    <w:pPr>
      <w:widowControl/>
      <w:pBdr>
        <w:bottom w:val="single" w:color="auto" w:sz="6" w:space="1"/>
      </w:pBdr>
      <w:jc w:val="center"/>
    </w:pPr>
    <w:rPr>
      <w:rFonts w:ascii="Arial" w:hAnsi="Arial"/>
      <w:vanish/>
      <w:kern w:val="0"/>
      <w:sz w:val="16"/>
      <w:szCs w:val="16"/>
    </w:rPr>
  </w:style>
  <w:style w:type="character" w:customStyle="1" w:styleId="106">
    <w:name w:val="z-窗体顶端 Char1"/>
    <w:semiHidden/>
    <w:qFormat/>
    <w:uiPriority w:val="99"/>
    <w:rPr>
      <w:rFonts w:ascii="Arial" w:hAnsi="Arial" w:eastAsia="宋体" w:cs="Arial"/>
      <w:vanish/>
      <w:sz w:val="16"/>
      <w:szCs w:val="16"/>
    </w:rPr>
  </w:style>
  <w:style w:type="character" w:customStyle="1" w:styleId="107">
    <w:name w:val="z-窗体底端 Char"/>
    <w:link w:val="108"/>
    <w:qFormat/>
    <w:uiPriority w:val="0"/>
    <w:rPr>
      <w:rFonts w:ascii="Arial" w:hAnsi="Arial" w:cs="Arial"/>
      <w:vanish/>
      <w:sz w:val="16"/>
      <w:szCs w:val="16"/>
    </w:rPr>
  </w:style>
  <w:style w:type="paragraph" w:customStyle="1" w:styleId="108">
    <w:name w:val="z-窗体底端1"/>
    <w:basedOn w:val="1"/>
    <w:next w:val="1"/>
    <w:link w:val="107"/>
    <w:qFormat/>
    <w:uiPriority w:val="0"/>
    <w:pPr>
      <w:widowControl/>
      <w:pBdr>
        <w:top w:val="single" w:color="auto" w:sz="6" w:space="1"/>
      </w:pBdr>
      <w:jc w:val="center"/>
    </w:pPr>
    <w:rPr>
      <w:rFonts w:ascii="Arial" w:hAnsi="Arial"/>
      <w:vanish/>
      <w:kern w:val="0"/>
      <w:sz w:val="16"/>
      <w:szCs w:val="16"/>
    </w:rPr>
  </w:style>
  <w:style w:type="character" w:customStyle="1" w:styleId="109">
    <w:name w:val="z-窗体底端 Char1"/>
    <w:semiHidden/>
    <w:qFormat/>
    <w:uiPriority w:val="99"/>
    <w:rPr>
      <w:rFonts w:ascii="Arial" w:hAnsi="Arial" w:eastAsia="宋体" w:cs="Arial"/>
      <w:vanish/>
      <w:sz w:val="16"/>
      <w:szCs w:val="16"/>
    </w:rPr>
  </w:style>
  <w:style w:type="character" w:customStyle="1" w:styleId="110">
    <w:name w:val="正文首行缩进两字符 Char"/>
    <w:qFormat/>
    <w:uiPriority w:val="0"/>
    <w:rPr>
      <w:rFonts w:ascii="Arial" w:hAnsi="Arial"/>
      <w:kern w:val="2"/>
      <w:sz w:val="24"/>
      <w:szCs w:val="24"/>
    </w:rPr>
  </w:style>
  <w:style w:type="character" w:customStyle="1" w:styleId="111">
    <w:name w:val="msonormal"/>
    <w:qFormat/>
    <w:uiPriority w:val="0"/>
  </w:style>
  <w:style w:type="character" w:customStyle="1" w:styleId="112">
    <w:name w:val="Char Char2"/>
    <w:qFormat/>
    <w:uiPriority w:val="0"/>
    <w:rPr>
      <w:sz w:val="24"/>
    </w:rPr>
  </w:style>
  <w:style w:type="character" w:customStyle="1" w:styleId="113">
    <w:name w:val="Char Char3"/>
    <w:qFormat/>
    <w:uiPriority w:val="0"/>
    <w:rPr>
      <w:rFonts w:ascii="宋体" w:hAnsi="宋体" w:cs="宋体"/>
      <w:sz w:val="24"/>
      <w:szCs w:val="24"/>
    </w:rPr>
  </w:style>
  <w:style w:type="character" w:customStyle="1" w:styleId="114">
    <w:name w:val="Char Char5"/>
    <w:qFormat/>
    <w:uiPriority w:val="0"/>
    <w:rPr>
      <w:rFonts w:ascii="Arial" w:hAnsi="Arial" w:eastAsia="黑体" w:cs="Arial"/>
    </w:rPr>
  </w:style>
  <w:style w:type="character" w:customStyle="1" w:styleId="115">
    <w:name w:val="副标题 字符"/>
    <w:link w:val="31"/>
    <w:qFormat/>
    <w:uiPriority w:val="11"/>
    <w:rPr>
      <w:rFonts w:ascii="Cambria" w:hAnsi="Cambria"/>
      <w:b/>
      <w:bCs/>
      <w:kern w:val="28"/>
      <w:sz w:val="32"/>
      <w:szCs w:val="32"/>
    </w:rPr>
  </w:style>
  <w:style w:type="character" w:customStyle="1" w:styleId="116">
    <w:name w:val="副标题 Char1"/>
    <w:qFormat/>
    <w:uiPriority w:val="11"/>
    <w:rPr>
      <w:rFonts w:ascii="Cambria" w:hAnsi="Cambria" w:eastAsia="宋体" w:cs="Times New Roman"/>
      <w:b/>
      <w:bCs/>
      <w:kern w:val="28"/>
      <w:sz w:val="32"/>
      <w:szCs w:val="32"/>
    </w:rPr>
  </w:style>
  <w:style w:type="character" w:customStyle="1" w:styleId="117">
    <w:name w:val="_标题2 Char"/>
    <w:qFormat/>
    <w:uiPriority w:val="0"/>
    <w:rPr>
      <w:rFonts w:ascii="Tahoma" w:hAnsi="Tahoma" w:eastAsia="黑体"/>
      <w:bCs/>
      <w:kern w:val="2"/>
      <w:sz w:val="32"/>
      <w:szCs w:val="32"/>
      <w:lang w:val="en-US" w:eastAsia="zh-CN" w:bidi="ar-SA"/>
    </w:rPr>
  </w:style>
  <w:style w:type="character" w:customStyle="1" w:styleId="118">
    <w:name w:val="f14b1"/>
    <w:qFormat/>
    <w:uiPriority w:val="0"/>
    <w:rPr>
      <w:rFonts w:hint="default" w:ascii="??" w:hAnsi="??"/>
      <w:b/>
      <w:bCs/>
      <w:color w:val="333333"/>
      <w:sz w:val="21"/>
      <w:szCs w:val="21"/>
    </w:rPr>
  </w:style>
  <w:style w:type="character" w:customStyle="1" w:styleId="119">
    <w:name w:val="首行缩进2字符 Char"/>
    <w:qFormat/>
    <w:uiPriority w:val="0"/>
    <w:rPr>
      <w:rFonts w:eastAsia="宋体"/>
      <w:snapToGrid w:val="0"/>
      <w:sz w:val="21"/>
      <w:szCs w:val="21"/>
      <w:lang w:val="en-US" w:eastAsia="zh-CN" w:bidi="ar-SA"/>
    </w:rPr>
  </w:style>
  <w:style w:type="character" w:customStyle="1" w:styleId="120">
    <w:name w:val="Char Char6"/>
    <w:qFormat/>
    <w:uiPriority w:val="0"/>
    <w:rPr>
      <w:rFonts w:ascii="Arial" w:hAnsi="Arial" w:cs="Arial"/>
      <w:vanish/>
      <w:sz w:val="16"/>
      <w:szCs w:val="16"/>
    </w:rPr>
  </w:style>
  <w:style w:type="character" w:customStyle="1" w:styleId="121">
    <w:name w:val="文档正文 Char"/>
    <w:qFormat/>
    <w:uiPriority w:val="0"/>
    <w:rPr>
      <w:rFonts w:eastAsia="宋体"/>
      <w:sz w:val="24"/>
      <w:lang w:val="en-US" w:eastAsia="zh-CN" w:bidi="ar-SA"/>
    </w:rPr>
  </w:style>
  <w:style w:type="character" w:customStyle="1" w:styleId="122">
    <w:name w:val="Char Char11"/>
    <w:qFormat/>
    <w:uiPriority w:val="0"/>
    <w:rPr>
      <w:rFonts w:ascii="Arial" w:hAnsi="Arial" w:eastAsia="黑体"/>
      <w:sz w:val="24"/>
      <w:szCs w:val="24"/>
      <w:lang w:val="en-US" w:eastAsia="zh-CN" w:bidi="ar-SA"/>
    </w:rPr>
  </w:style>
  <w:style w:type="character" w:customStyle="1" w:styleId="123">
    <w:name w:val="批注文字 字符"/>
    <w:link w:val="18"/>
    <w:qFormat/>
    <w:uiPriority w:val="0"/>
    <w:rPr>
      <w:sz w:val="24"/>
      <w:szCs w:val="24"/>
    </w:rPr>
  </w:style>
  <w:style w:type="character" w:customStyle="1" w:styleId="124">
    <w:name w:val="批注文字 Char1"/>
    <w:semiHidden/>
    <w:qFormat/>
    <w:uiPriority w:val="99"/>
    <w:rPr>
      <w:rFonts w:ascii="Times New Roman" w:hAnsi="Times New Roman" w:eastAsia="宋体" w:cs="Times New Roman"/>
      <w:szCs w:val="24"/>
    </w:rPr>
  </w:style>
  <w:style w:type="character" w:customStyle="1" w:styleId="125">
    <w:name w:val="正文文本缩进 3 字符"/>
    <w:link w:val="35"/>
    <w:qFormat/>
    <w:uiPriority w:val="0"/>
    <w:rPr>
      <w:rFonts w:ascii="仿宋_GB2312" w:hAnsi="宋体" w:eastAsia="仿宋_GB2312"/>
      <w:color w:val="000000"/>
      <w:sz w:val="24"/>
      <w:szCs w:val="24"/>
    </w:rPr>
  </w:style>
  <w:style w:type="character" w:customStyle="1" w:styleId="126">
    <w:name w:val="正文文本缩进 3 Char1"/>
    <w:semiHidden/>
    <w:qFormat/>
    <w:uiPriority w:val="99"/>
    <w:rPr>
      <w:rFonts w:ascii="Times New Roman" w:hAnsi="Times New Roman" w:eastAsia="宋体" w:cs="Times New Roman"/>
      <w:sz w:val="16"/>
      <w:szCs w:val="16"/>
    </w:rPr>
  </w:style>
  <w:style w:type="character" w:customStyle="1" w:styleId="127">
    <w:name w:val="_表格文字 Char"/>
    <w:qFormat/>
    <w:uiPriority w:val="0"/>
    <w:rPr>
      <w:rFonts w:eastAsia="宋体"/>
      <w:kern w:val="2"/>
      <w:sz w:val="21"/>
      <w:szCs w:val="24"/>
      <w:lang w:val="en-US" w:eastAsia="zh-CN" w:bidi="ar-SA"/>
    </w:rPr>
  </w:style>
  <w:style w:type="character" w:customStyle="1" w:styleId="128">
    <w:name w:val="正文文本缩进 2 字符"/>
    <w:link w:val="26"/>
    <w:qFormat/>
    <w:uiPriority w:val="0"/>
    <w:rPr>
      <w:rFonts w:ascii="仿宋_GB2312" w:hAnsi="宋体" w:cs="Arial"/>
      <w:b/>
      <w:bCs/>
      <w:color w:val="000000"/>
      <w:sz w:val="24"/>
      <w:szCs w:val="24"/>
    </w:rPr>
  </w:style>
  <w:style w:type="character" w:customStyle="1" w:styleId="129">
    <w:name w:val="正文文本缩进 2 Char1"/>
    <w:semiHidden/>
    <w:qFormat/>
    <w:uiPriority w:val="99"/>
    <w:rPr>
      <w:rFonts w:ascii="Times New Roman" w:hAnsi="Times New Roman" w:eastAsia="宋体" w:cs="Times New Roman"/>
      <w:szCs w:val="24"/>
    </w:rPr>
  </w:style>
  <w:style w:type="character" w:customStyle="1" w:styleId="130">
    <w:name w:val="正文文本 2 字符"/>
    <w:link w:val="37"/>
    <w:qFormat/>
    <w:uiPriority w:val="0"/>
    <w:rPr>
      <w:rFonts w:ascii="宋体" w:hAnsi="宋体"/>
      <w:color w:val="000000"/>
      <w:sz w:val="24"/>
      <w:szCs w:val="24"/>
    </w:rPr>
  </w:style>
  <w:style w:type="character" w:customStyle="1" w:styleId="131">
    <w:name w:val="正文文本 2 Char1"/>
    <w:semiHidden/>
    <w:qFormat/>
    <w:uiPriority w:val="99"/>
    <w:rPr>
      <w:rFonts w:ascii="Times New Roman" w:hAnsi="Times New Roman" w:eastAsia="宋体" w:cs="Times New Roman"/>
      <w:szCs w:val="24"/>
    </w:rPr>
  </w:style>
  <w:style w:type="character" w:customStyle="1" w:styleId="132">
    <w:name w:val="图 Char Char"/>
    <w:qFormat/>
    <w:uiPriority w:val="0"/>
    <w:rPr>
      <w:rFonts w:eastAsia="黑体"/>
      <w:b/>
      <w:sz w:val="24"/>
    </w:rPr>
  </w:style>
  <w:style w:type="character" w:customStyle="1" w:styleId="133">
    <w:name w:val="普通文字1 Char"/>
    <w:qFormat/>
    <w:uiPriority w:val="0"/>
    <w:rPr>
      <w:rFonts w:ascii="宋体" w:hAnsi="Courier New" w:eastAsia="宋体" w:cs="Courier New"/>
      <w:kern w:val="2"/>
      <w:sz w:val="21"/>
      <w:szCs w:val="21"/>
      <w:lang w:val="en-US" w:eastAsia="zh-CN" w:bidi="ar-SA"/>
    </w:rPr>
  </w:style>
  <w:style w:type="character" w:customStyle="1" w:styleId="134">
    <w:name w:val="日期 字符"/>
    <w:link w:val="25"/>
    <w:qFormat/>
    <w:uiPriority w:val="0"/>
    <w:rPr>
      <w:rFonts w:eastAsia="楷体_GB2312"/>
      <w:sz w:val="32"/>
    </w:rPr>
  </w:style>
  <w:style w:type="character" w:customStyle="1" w:styleId="135">
    <w:name w:val="日期 Char1"/>
    <w:semiHidden/>
    <w:qFormat/>
    <w:uiPriority w:val="99"/>
    <w:rPr>
      <w:rFonts w:ascii="Times New Roman" w:hAnsi="Times New Roman" w:eastAsia="宋体" w:cs="Times New Roman"/>
      <w:szCs w:val="24"/>
    </w:rPr>
  </w:style>
  <w:style w:type="character" w:customStyle="1" w:styleId="136">
    <w:name w:val="mark13"/>
    <w:basedOn w:val="47"/>
    <w:qFormat/>
    <w:uiPriority w:val="0"/>
  </w:style>
  <w:style w:type="character" w:customStyle="1" w:styleId="137">
    <w:name w:val="st1"/>
    <w:qFormat/>
    <w:uiPriority w:val="0"/>
    <w:rPr>
      <w:spacing w:val="240"/>
    </w:rPr>
  </w:style>
  <w:style w:type="character" w:customStyle="1" w:styleId="138">
    <w:name w:val="HTML 预设格式 字符"/>
    <w:link w:val="38"/>
    <w:semiHidden/>
    <w:qFormat/>
    <w:uiPriority w:val="0"/>
    <w:rPr>
      <w:rFonts w:ascii="宋体" w:hAnsi="宋体" w:cs="宋体"/>
      <w:sz w:val="24"/>
      <w:szCs w:val="24"/>
    </w:rPr>
  </w:style>
  <w:style w:type="character" w:customStyle="1" w:styleId="139">
    <w:name w:val="HTML 预设格式 Char2"/>
    <w:semiHidden/>
    <w:qFormat/>
    <w:uiPriority w:val="99"/>
    <w:rPr>
      <w:rFonts w:ascii="Courier New" w:hAnsi="Courier New" w:eastAsia="宋体" w:cs="Courier New"/>
      <w:sz w:val="20"/>
      <w:szCs w:val="20"/>
    </w:rPr>
  </w:style>
  <w:style w:type="character" w:customStyle="1" w:styleId="140">
    <w:name w:val="Char Char1"/>
    <w:qFormat/>
    <w:uiPriority w:val="0"/>
    <w:rPr>
      <w:sz w:val="24"/>
    </w:rPr>
  </w:style>
  <w:style w:type="character" w:customStyle="1" w:styleId="141">
    <w:name w:val="图 Char"/>
    <w:qFormat/>
    <w:uiPriority w:val="0"/>
    <w:rPr>
      <w:rFonts w:eastAsia="黑体"/>
      <w:b/>
      <w:sz w:val="24"/>
      <w:lang w:val="en-US" w:eastAsia="zh-CN" w:bidi="ar-SA"/>
    </w:rPr>
  </w:style>
  <w:style w:type="character" w:customStyle="1" w:styleId="142">
    <w:name w:val="font61"/>
    <w:qFormat/>
    <w:uiPriority w:val="0"/>
    <w:rPr>
      <w:rFonts w:hint="eastAsia" w:ascii="宋体" w:hAnsi="宋体" w:eastAsia="宋体" w:cs="宋体"/>
      <w:color w:val="000000"/>
      <w:sz w:val="24"/>
      <w:szCs w:val="24"/>
      <w:u w:val="none"/>
    </w:rPr>
  </w:style>
  <w:style w:type="character" w:customStyle="1" w:styleId="143">
    <w:name w:val="a4red1"/>
    <w:qFormat/>
    <w:uiPriority w:val="0"/>
    <w:rPr>
      <w:rFonts w:hint="default" w:ascii="Tahoma" w:hAnsi="Tahoma" w:cs="Tahoma"/>
      <w:color w:val="FF3300"/>
      <w:sz w:val="18"/>
      <w:szCs w:val="18"/>
      <w:u w:val="single"/>
    </w:rPr>
  </w:style>
  <w:style w:type="character" w:customStyle="1" w:styleId="144">
    <w:name w:val="Char Char12"/>
    <w:qFormat/>
    <w:uiPriority w:val="0"/>
    <w:rPr>
      <w:rFonts w:eastAsia="宋体"/>
      <w:b/>
      <w:bCs/>
      <w:sz w:val="24"/>
      <w:szCs w:val="24"/>
      <w:lang w:val="en-US" w:eastAsia="zh-CN" w:bidi="ar-SA"/>
    </w:rPr>
  </w:style>
  <w:style w:type="character" w:customStyle="1" w:styleId="145">
    <w:name w:val="orange"/>
    <w:basedOn w:val="47"/>
    <w:qFormat/>
    <w:uiPriority w:val="0"/>
  </w:style>
  <w:style w:type="character" w:customStyle="1" w:styleId="146">
    <w:name w:val="font01"/>
    <w:qFormat/>
    <w:uiPriority w:val="0"/>
    <w:rPr>
      <w:rFonts w:hint="eastAsia" w:ascii="宋体" w:hAnsi="宋体" w:eastAsia="宋体" w:cs="宋体"/>
      <w:color w:val="FF0000"/>
      <w:sz w:val="24"/>
      <w:szCs w:val="24"/>
      <w:u w:val="none"/>
    </w:rPr>
  </w:style>
  <w:style w:type="character" w:customStyle="1" w:styleId="147">
    <w:name w:val="jianju1"/>
    <w:qFormat/>
    <w:uiPriority w:val="0"/>
    <w:rPr>
      <w:color w:val="000000"/>
      <w:sz w:val="21"/>
      <w:szCs w:val="21"/>
      <w:u w:val="none"/>
    </w:rPr>
  </w:style>
  <w:style w:type="character" w:customStyle="1" w:styleId="148">
    <w:name w:val="fontb5"/>
    <w:basedOn w:val="47"/>
    <w:qFormat/>
    <w:uiPriority w:val="0"/>
  </w:style>
  <w:style w:type="character" w:customStyle="1" w:styleId="149">
    <w:name w:val="_列表 Char"/>
    <w:qFormat/>
    <w:uiPriority w:val="0"/>
    <w:rPr>
      <w:kern w:val="2"/>
      <w:sz w:val="24"/>
      <w:szCs w:val="24"/>
    </w:rPr>
  </w:style>
  <w:style w:type="character" w:customStyle="1" w:styleId="150">
    <w:name w:val="纯文本 字符"/>
    <w:link w:val="24"/>
    <w:qFormat/>
    <w:uiPriority w:val="0"/>
    <w:rPr>
      <w:rFonts w:ascii="宋体" w:hAnsi="Courier New"/>
      <w:sz w:val="24"/>
      <w:szCs w:val="24"/>
    </w:rPr>
  </w:style>
  <w:style w:type="character" w:customStyle="1" w:styleId="151">
    <w:name w:val="纯文本 Char1"/>
    <w:semiHidden/>
    <w:qFormat/>
    <w:uiPriority w:val="99"/>
    <w:rPr>
      <w:rFonts w:ascii="宋体" w:hAnsi="Courier New" w:eastAsia="宋体" w:cs="Courier New"/>
      <w:szCs w:val="21"/>
    </w:rPr>
  </w:style>
  <w:style w:type="character" w:customStyle="1" w:styleId="152">
    <w:name w:val="Char Char15"/>
    <w:qFormat/>
    <w:uiPriority w:val="0"/>
    <w:rPr>
      <w:rFonts w:ascii="Arial" w:hAnsi="Arial" w:eastAsia="黑体"/>
      <w:b/>
      <w:bCs/>
      <w:kern w:val="2"/>
      <w:sz w:val="28"/>
      <w:szCs w:val="28"/>
      <w:lang w:val="en-US" w:eastAsia="zh-CN" w:bidi="ar-SA"/>
    </w:rPr>
  </w:style>
  <w:style w:type="character" w:customStyle="1" w:styleId="153">
    <w:name w:val="正文文本 3 字符"/>
    <w:link w:val="19"/>
    <w:qFormat/>
    <w:uiPriority w:val="0"/>
    <w:rPr>
      <w:rFonts w:hAnsi="宋体" w:eastAsia="仿宋_GB2312"/>
      <w:b/>
      <w:bCs/>
      <w:sz w:val="24"/>
    </w:rPr>
  </w:style>
  <w:style w:type="character" w:customStyle="1" w:styleId="154">
    <w:name w:val="正文文本 3 Char1"/>
    <w:semiHidden/>
    <w:qFormat/>
    <w:uiPriority w:val="99"/>
    <w:rPr>
      <w:rFonts w:ascii="Times New Roman" w:hAnsi="Times New Roman" w:eastAsia="宋体" w:cs="Times New Roman"/>
      <w:sz w:val="16"/>
      <w:szCs w:val="16"/>
    </w:rPr>
  </w:style>
  <w:style w:type="character" w:customStyle="1" w:styleId="155">
    <w:name w:val="font11"/>
    <w:qFormat/>
    <w:uiPriority w:val="0"/>
    <w:rPr>
      <w:rFonts w:hint="default" w:ascii="Times New Roman" w:hAnsi="Times New Roman" w:cs="Times New Roman"/>
      <w:color w:val="000000"/>
      <w:sz w:val="24"/>
      <w:szCs w:val="24"/>
      <w:u w:val="none"/>
    </w:rPr>
  </w:style>
  <w:style w:type="character" w:customStyle="1" w:styleId="156">
    <w:name w:val="文档结构图 字符"/>
    <w:link w:val="17"/>
    <w:semiHidden/>
    <w:qFormat/>
    <w:uiPriority w:val="0"/>
    <w:rPr>
      <w:sz w:val="24"/>
      <w:szCs w:val="24"/>
      <w:shd w:val="clear" w:color="auto" w:fill="000080"/>
    </w:rPr>
  </w:style>
  <w:style w:type="character" w:customStyle="1" w:styleId="157">
    <w:name w:val="文档结构图 Char1"/>
    <w:semiHidden/>
    <w:qFormat/>
    <w:uiPriority w:val="99"/>
    <w:rPr>
      <w:rFonts w:ascii="宋体" w:hAnsi="Times New Roman" w:eastAsia="宋体" w:cs="Times New Roman"/>
      <w:sz w:val="18"/>
      <w:szCs w:val="18"/>
    </w:rPr>
  </w:style>
  <w:style w:type="character" w:customStyle="1" w:styleId="158">
    <w:name w:val="Char Char13"/>
    <w:qFormat/>
    <w:uiPriority w:val="0"/>
    <w:rPr>
      <w:rFonts w:ascii="Arial" w:hAnsi="Arial" w:eastAsia="黑体"/>
      <w:b/>
      <w:bCs/>
      <w:kern w:val="2"/>
      <w:sz w:val="24"/>
      <w:szCs w:val="24"/>
      <w:lang w:val="en-US" w:eastAsia="zh-CN" w:bidi="ar-SA"/>
    </w:rPr>
  </w:style>
  <w:style w:type="character" w:customStyle="1" w:styleId="159">
    <w:name w:val="_标题4 Char"/>
    <w:qFormat/>
    <w:uiPriority w:val="0"/>
    <w:rPr>
      <w:rFonts w:ascii="Tahoma" w:hAnsi="Tahoma" w:eastAsia="黑体"/>
      <w:bCs/>
      <w:kern w:val="2"/>
      <w:sz w:val="28"/>
      <w:szCs w:val="28"/>
      <w:lang w:val="en-US" w:eastAsia="zh-CN" w:bidi="ar-SA"/>
    </w:rPr>
  </w:style>
  <w:style w:type="character" w:customStyle="1" w:styleId="160">
    <w:name w:val="_表格标题 Char"/>
    <w:qFormat/>
    <w:uiPriority w:val="0"/>
    <w:rPr>
      <w:rFonts w:eastAsia="宋体"/>
      <w:b/>
      <w:kern w:val="2"/>
      <w:sz w:val="24"/>
      <w:szCs w:val="24"/>
      <w:lang w:val="en-US" w:eastAsia="zh-CN" w:bidi="ar-SA"/>
    </w:rPr>
  </w:style>
  <w:style w:type="character" w:customStyle="1" w:styleId="161">
    <w:name w:val="批注主题 字符"/>
    <w:link w:val="42"/>
    <w:qFormat/>
    <w:uiPriority w:val="0"/>
    <w:rPr>
      <w:b/>
      <w:bCs/>
      <w:sz w:val="24"/>
      <w:szCs w:val="24"/>
    </w:rPr>
  </w:style>
  <w:style w:type="character" w:customStyle="1" w:styleId="162">
    <w:name w:val="批注主题 Char1"/>
    <w:semiHidden/>
    <w:qFormat/>
    <w:uiPriority w:val="99"/>
    <w:rPr>
      <w:rFonts w:ascii="Times New Roman" w:hAnsi="Times New Roman" w:eastAsia="宋体" w:cs="Times New Roman"/>
      <w:b/>
      <w:bCs/>
      <w:szCs w:val="24"/>
    </w:rPr>
  </w:style>
  <w:style w:type="character" w:customStyle="1" w:styleId="163">
    <w:name w:val="普通正文 Char"/>
    <w:qFormat/>
    <w:uiPriority w:val="0"/>
    <w:rPr>
      <w:rFonts w:ascii="Arial" w:hAnsi="Arial" w:eastAsia="宋体"/>
      <w:sz w:val="24"/>
      <w:lang w:val="en-US" w:eastAsia="zh-CN" w:bidi="ar-SA"/>
    </w:rPr>
  </w:style>
  <w:style w:type="character" w:customStyle="1" w:styleId="164">
    <w:name w:val="Char Char7"/>
    <w:qFormat/>
    <w:uiPriority w:val="0"/>
    <w:rPr>
      <w:sz w:val="18"/>
    </w:rPr>
  </w:style>
  <w:style w:type="character" w:customStyle="1" w:styleId="165">
    <w:name w:val="tw4winMark"/>
    <w:qFormat/>
    <w:uiPriority w:val="0"/>
    <w:rPr>
      <w:rFonts w:ascii="Courier New" w:hAnsi="Courier New" w:cs="Courier New"/>
      <w:vanish/>
      <w:color w:val="800080"/>
      <w:vertAlign w:val="subscript"/>
    </w:rPr>
  </w:style>
  <w:style w:type="character" w:customStyle="1" w:styleId="166">
    <w:name w:val="普通(网站) 字符"/>
    <w:link w:val="39"/>
    <w:qFormat/>
    <w:locked/>
    <w:uiPriority w:val="0"/>
    <w:rPr>
      <w:sz w:val="24"/>
      <w:szCs w:val="24"/>
    </w:rPr>
  </w:style>
  <w:style w:type="character" w:customStyle="1" w:styleId="167">
    <w:name w:val="Char Char16"/>
    <w:qFormat/>
    <w:uiPriority w:val="0"/>
    <w:rPr>
      <w:rFonts w:eastAsia="宋体"/>
      <w:b/>
      <w:bCs/>
      <w:kern w:val="2"/>
      <w:sz w:val="32"/>
      <w:szCs w:val="32"/>
      <w:lang w:val="en-US" w:eastAsia="zh-CN" w:bidi="ar-SA"/>
    </w:rPr>
  </w:style>
  <w:style w:type="paragraph" w:customStyle="1" w:styleId="168">
    <w:name w:val="font10"/>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69">
    <w:name w:val="缺省文本"/>
    <w:basedOn w:val="1"/>
    <w:qFormat/>
    <w:uiPriority w:val="0"/>
    <w:pPr>
      <w:autoSpaceDE w:val="0"/>
      <w:autoSpaceDN w:val="0"/>
      <w:adjustRightInd w:val="0"/>
      <w:ind w:firstLine="454"/>
    </w:pPr>
    <w:rPr>
      <w:sz w:val="24"/>
    </w:rPr>
  </w:style>
  <w:style w:type="paragraph" w:customStyle="1" w:styleId="170">
    <w:name w:val="默认段落字体 Para Char Char Char Char Char Char Char Char Char1 Char Char Char Char"/>
    <w:basedOn w:val="1"/>
    <w:qFormat/>
    <w:uiPriority w:val="0"/>
    <w:rPr>
      <w:rFonts w:ascii="Tahoma" w:hAnsi="Tahoma"/>
      <w:sz w:val="24"/>
      <w:szCs w:val="20"/>
    </w:rPr>
  </w:style>
  <w:style w:type="paragraph" w:customStyle="1" w:styleId="171">
    <w:name w:val="首行缩进2字符"/>
    <w:basedOn w:val="1"/>
    <w:qFormat/>
    <w:uiPriority w:val="0"/>
    <w:pPr>
      <w:autoSpaceDE w:val="0"/>
      <w:autoSpaceDN w:val="0"/>
      <w:adjustRightInd w:val="0"/>
      <w:spacing w:line="360" w:lineRule="auto"/>
      <w:ind w:firstLine="420" w:firstLineChars="200"/>
      <w:jc w:val="left"/>
    </w:pPr>
    <w:rPr>
      <w:snapToGrid w:val="0"/>
      <w:szCs w:val="21"/>
    </w:rPr>
  </w:style>
  <w:style w:type="paragraph" w:customStyle="1" w:styleId="172">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3">
    <w:name w:val="五级条标题"/>
    <w:basedOn w:val="174"/>
    <w:next w:val="1"/>
    <w:qFormat/>
    <w:uiPriority w:val="0"/>
    <w:pPr>
      <w:tabs>
        <w:tab w:val="left" w:pos="360"/>
      </w:tabs>
      <w:outlineLvl w:val="6"/>
    </w:pPr>
  </w:style>
  <w:style w:type="paragraph" w:customStyle="1" w:styleId="174">
    <w:name w:val="四级条标题"/>
    <w:basedOn w:val="175"/>
    <w:next w:val="1"/>
    <w:qFormat/>
    <w:uiPriority w:val="0"/>
    <w:pPr>
      <w:tabs>
        <w:tab w:val="left" w:pos="360"/>
      </w:tabs>
      <w:outlineLvl w:val="5"/>
    </w:pPr>
  </w:style>
  <w:style w:type="paragraph" w:customStyle="1" w:styleId="175">
    <w:name w:val="三级条标题"/>
    <w:basedOn w:val="176"/>
    <w:next w:val="1"/>
    <w:qFormat/>
    <w:uiPriority w:val="0"/>
    <w:pPr>
      <w:tabs>
        <w:tab w:val="left" w:pos="360"/>
      </w:tabs>
      <w:outlineLvl w:val="4"/>
    </w:pPr>
  </w:style>
  <w:style w:type="paragraph" w:customStyle="1" w:styleId="176">
    <w:name w:val="二级条标题"/>
    <w:basedOn w:val="177"/>
    <w:next w:val="1"/>
    <w:qFormat/>
    <w:uiPriority w:val="0"/>
    <w:pPr>
      <w:tabs>
        <w:tab w:val="left" w:pos="360"/>
      </w:tabs>
      <w:outlineLvl w:val="3"/>
    </w:pPr>
  </w:style>
  <w:style w:type="paragraph" w:customStyle="1" w:styleId="177">
    <w:name w:val="一级条标题"/>
    <w:basedOn w:val="178"/>
    <w:next w:val="1"/>
    <w:qFormat/>
    <w:uiPriority w:val="0"/>
    <w:pPr>
      <w:tabs>
        <w:tab w:val="left" w:pos="360"/>
      </w:tabs>
      <w:spacing w:beforeLines="0" w:afterLines="0"/>
      <w:outlineLvl w:val="2"/>
    </w:pPr>
  </w:style>
  <w:style w:type="paragraph" w:customStyle="1" w:styleId="178">
    <w:name w:val="章标题"/>
    <w:next w:val="1"/>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80">
    <w:name w:val="Char Char Char"/>
    <w:basedOn w:val="1"/>
    <w:qFormat/>
    <w:uiPriority w:val="0"/>
  </w:style>
  <w:style w:type="paragraph" w:customStyle="1" w:styleId="181">
    <w:name w:val="Char Char Char Char Char Char Char Char Char Char Char Char1 Char"/>
    <w:basedOn w:val="17"/>
    <w:qFormat/>
    <w:uiPriority w:val="0"/>
    <w:pPr>
      <w:spacing w:afterLines="0" w:line="240" w:lineRule="auto"/>
      <w:ind w:firstLine="0" w:firstLineChars="0"/>
    </w:pPr>
    <w:rPr>
      <w:rFonts w:ascii="Tahoma" w:hAnsi="Tahoma"/>
    </w:rPr>
  </w:style>
  <w:style w:type="paragraph" w:customStyle="1" w:styleId="182">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83">
    <w:name w:val="样式2"/>
    <w:basedOn w:val="1"/>
    <w:qFormat/>
    <w:uiPriority w:val="0"/>
    <w:pPr>
      <w:adjustRightInd w:val="0"/>
      <w:spacing w:before="60" w:line="360" w:lineRule="atLeast"/>
      <w:ind w:left="425" w:hanging="425"/>
      <w:textAlignment w:val="baseline"/>
    </w:pPr>
    <w:rPr>
      <w:kern w:val="0"/>
      <w:sz w:val="24"/>
      <w:szCs w:val="20"/>
    </w:rPr>
  </w:style>
  <w:style w:type="paragraph" w:customStyle="1" w:styleId="184">
    <w:name w:val="_标题6"/>
    <w:basedOn w:val="9"/>
    <w:next w:val="185"/>
    <w:qFormat/>
    <w:uiPriority w:val="0"/>
    <w:pPr>
      <w:ind w:left="4820" w:hanging="4820" w:firstLineChars="0"/>
    </w:pPr>
    <w:rPr>
      <w:rFonts w:ascii="Tahoma" w:hAnsi="Tahoma"/>
      <w:b w:val="0"/>
    </w:rPr>
  </w:style>
  <w:style w:type="paragraph" w:customStyle="1" w:styleId="185">
    <w:name w:val="_正文段落"/>
    <w:basedOn w:val="1"/>
    <w:qFormat/>
    <w:uiPriority w:val="0"/>
    <w:pPr>
      <w:spacing w:beforeLines="15" w:afterLines="15" w:line="360" w:lineRule="auto"/>
      <w:ind w:firstLine="200" w:firstLineChars="200"/>
    </w:pPr>
  </w:style>
  <w:style w:type="paragraph" w:customStyle="1" w:styleId="186">
    <w:name w:val="总体设计正文样式"/>
    <w:basedOn w:val="1"/>
    <w:qFormat/>
    <w:uiPriority w:val="0"/>
    <w:pPr>
      <w:spacing w:line="360" w:lineRule="auto"/>
      <w:ind w:firstLine="200" w:firstLineChars="200"/>
    </w:pPr>
    <w:rPr>
      <w:rFonts w:eastAsia="仿宋_GB2312" w:cs="宋体"/>
      <w:sz w:val="24"/>
      <w:szCs w:val="20"/>
    </w:rPr>
  </w:style>
  <w:style w:type="paragraph" w:customStyle="1" w:styleId="18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8">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89">
    <w:name w:val="默认段落字体 Para Char Char Char Char Char Char Char"/>
    <w:basedOn w:val="1"/>
    <w:qFormat/>
    <w:uiPriority w:val="0"/>
    <w:rPr>
      <w:rFonts w:ascii="Verdana" w:hAnsi="Verdana" w:eastAsia="楷体_GB2312"/>
      <w:b/>
      <w:i/>
      <w:iCs/>
      <w:color w:val="000000"/>
      <w:kern w:val="0"/>
      <w:sz w:val="20"/>
      <w:szCs w:val="20"/>
      <w:lang w:eastAsia="en-US"/>
    </w:rPr>
  </w:style>
  <w:style w:type="paragraph" w:customStyle="1" w:styleId="190">
    <w:name w:val="CM37"/>
    <w:basedOn w:val="191"/>
    <w:next w:val="191"/>
    <w:qFormat/>
    <w:uiPriority w:val="0"/>
    <w:pPr>
      <w:spacing w:after="533"/>
    </w:pPr>
    <w:rPr>
      <w:rFonts w:ascii="宋体" w:hAnsi="Times New Roman"/>
      <w:color w:val="auto"/>
    </w:rPr>
  </w:style>
  <w:style w:type="paragraph" w:customStyle="1" w:styleId="191">
    <w:name w:val="Default"/>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192">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193">
    <w:name w:val="_标题3"/>
    <w:basedOn w:val="6"/>
    <w:next w:val="185"/>
    <w:qFormat/>
    <w:uiPriority w:val="0"/>
    <w:pPr>
      <w:tabs>
        <w:tab w:val="left" w:pos="720"/>
      </w:tabs>
      <w:spacing w:beforeLines="50" w:afterLines="50"/>
      <w:ind w:left="720"/>
    </w:pPr>
    <w:rPr>
      <w:rFonts w:ascii="Arial" w:hAnsi="Arial" w:eastAsia="黑体"/>
      <w:sz w:val="30"/>
    </w:rPr>
  </w:style>
  <w:style w:type="paragraph" w:customStyle="1" w:styleId="194">
    <w:name w:val="正文文本 21"/>
    <w:basedOn w:val="1"/>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5">
    <w:name w:val="Main Title"/>
    <w:basedOn w:val="1"/>
    <w:qFormat/>
    <w:uiPriority w:val="0"/>
    <w:pPr>
      <w:spacing w:before="480" w:afterLines="50"/>
      <w:jc w:val="center"/>
    </w:pPr>
    <w:rPr>
      <w:rFonts w:ascii="Arial" w:hAnsi="Arial"/>
      <w:b/>
      <w:kern w:val="28"/>
      <w:sz w:val="32"/>
      <w:szCs w:val="20"/>
      <w:lang w:eastAsia="en-US"/>
    </w:rPr>
  </w:style>
  <w:style w:type="paragraph" w:customStyle="1" w:styleId="196">
    <w:name w:val="xl57"/>
    <w:basedOn w:val="1"/>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7">
    <w:name w:val="xl55"/>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8">
    <w:name w:val="Char Char Char Char Char Char"/>
    <w:basedOn w:val="1"/>
    <w:qFormat/>
    <w:uiPriority w:val="0"/>
    <w:rPr>
      <w:rFonts w:ascii="Tahoma" w:hAnsi="Tahoma"/>
      <w:sz w:val="24"/>
      <w:szCs w:val="20"/>
    </w:rPr>
  </w:style>
  <w:style w:type="paragraph" w:customStyle="1" w:styleId="199">
    <w:name w:val="列出段落1"/>
    <w:basedOn w:val="1"/>
    <w:qFormat/>
    <w:uiPriority w:val="0"/>
    <w:pPr>
      <w:ind w:firstLine="420" w:firstLineChars="200"/>
    </w:pPr>
    <w:rPr>
      <w:rFonts w:ascii="Calibri" w:hAnsi="Calibri"/>
      <w:szCs w:val="22"/>
    </w:rPr>
  </w:style>
  <w:style w:type="paragraph" w:customStyle="1" w:styleId="20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1">
    <w:name w:val="xl50"/>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02">
    <w:name w:val="xl77"/>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3">
    <w:name w:val="图名"/>
    <w:basedOn w:val="1"/>
    <w:qFormat/>
    <w:uiPriority w:val="0"/>
    <w:pPr>
      <w:spacing w:line="360" w:lineRule="auto"/>
      <w:jc w:val="center"/>
    </w:pPr>
    <w:rPr>
      <w:rFonts w:ascii="黑体" w:eastAsia="黑体"/>
      <w:b/>
      <w:sz w:val="32"/>
      <w:szCs w:val="32"/>
    </w:rPr>
  </w:style>
  <w:style w:type="paragraph" w:customStyle="1" w:styleId="204">
    <w:name w:val="_标题5"/>
    <w:basedOn w:val="8"/>
    <w:next w:val="185"/>
    <w:qFormat/>
    <w:uiPriority w:val="0"/>
    <w:pPr>
      <w:ind w:left="4253" w:hanging="4253"/>
    </w:pPr>
    <w:rPr>
      <w:rFonts w:ascii="Arial" w:hAnsi="Arial" w:eastAsia="黑体"/>
      <w:b w:val="0"/>
      <w:sz w:val="24"/>
    </w:rPr>
  </w:style>
  <w:style w:type="paragraph" w:customStyle="1" w:styleId="205">
    <w:name w:val="标题 21"/>
    <w:basedOn w:val="1"/>
    <w:qFormat/>
    <w:uiPriority w:val="0"/>
    <w:pPr>
      <w:spacing w:afterLines="100" w:line="360" w:lineRule="auto"/>
    </w:pPr>
    <w:rPr>
      <w:sz w:val="24"/>
    </w:rPr>
  </w:style>
  <w:style w:type="paragraph" w:customStyle="1" w:styleId="206">
    <w:name w:val="xl45"/>
    <w:basedOn w:val="1"/>
    <w:qFormat/>
    <w:uiPriority w:val="0"/>
    <w:pPr>
      <w:widowControl/>
      <w:pBdr>
        <w:top w:val="single" w:color="auto" w:sz="4" w:space="0"/>
      </w:pBdr>
      <w:spacing w:before="100" w:beforeAutospacing="1" w:afterAutospacing="1"/>
      <w:jc w:val="left"/>
    </w:pPr>
    <w:rPr>
      <w:kern w:val="0"/>
      <w:sz w:val="28"/>
      <w:szCs w:val="28"/>
    </w:rPr>
  </w:style>
  <w:style w:type="paragraph" w:customStyle="1" w:styleId="207">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0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0">
    <w:name w:val="xl38"/>
    <w:basedOn w:val="1"/>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1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1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13">
    <w:name w:val="xl4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4">
    <w:name w:val="xl94"/>
    <w:basedOn w:val="1"/>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5">
    <w:name w:val="xl5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6">
    <w:name w:val="标题 12"/>
    <w:basedOn w:val="1"/>
    <w:qFormat/>
    <w:uiPriority w:val="0"/>
    <w:pPr>
      <w:spacing w:afterLines="100" w:line="360" w:lineRule="auto"/>
    </w:pPr>
    <w:rPr>
      <w:sz w:val="24"/>
    </w:rPr>
  </w:style>
  <w:style w:type="paragraph" w:customStyle="1" w:styleId="217">
    <w:name w:val="font9"/>
    <w:basedOn w:val="1"/>
    <w:qFormat/>
    <w:uiPriority w:val="0"/>
    <w:pPr>
      <w:widowControl/>
      <w:spacing w:before="100" w:beforeAutospacing="1" w:afterAutospacing="1"/>
      <w:jc w:val="left"/>
    </w:pPr>
    <w:rPr>
      <w:kern w:val="0"/>
      <w:sz w:val="20"/>
      <w:szCs w:val="20"/>
    </w:rPr>
  </w:style>
  <w:style w:type="paragraph" w:customStyle="1" w:styleId="21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9">
    <w:name w:val="p15"/>
    <w:basedOn w:val="1"/>
    <w:qFormat/>
    <w:uiPriority w:val="0"/>
    <w:pPr>
      <w:widowControl/>
    </w:pPr>
    <w:rPr>
      <w:kern w:val="0"/>
      <w:sz w:val="24"/>
    </w:rPr>
  </w:style>
  <w:style w:type="paragraph" w:customStyle="1" w:styleId="220">
    <w:name w:val="xl11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22">
    <w:name w:val="Char1"/>
    <w:basedOn w:val="1"/>
    <w:qFormat/>
    <w:uiPriority w:val="0"/>
    <w:pPr>
      <w:widowControl/>
      <w:spacing w:line="240" w:lineRule="exact"/>
      <w:jc w:val="left"/>
    </w:pPr>
    <w:rPr>
      <w:rFonts w:ascii="Verdana" w:hAnsi="Verdana"/>
      <w:kern w:val="0"/>
      <w:szCs w:val="20"/>
      <w:lang w:eastAsia="en-US"/>
    </w:rPr>
  </w:style>
  <w:style w:type="paragraph" w:customStyle="1" w:styleId="223">
    <w:name w:val="xl56"/>
    <w:basedOn w:val="1"/>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24">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5">
    <w:name w:val="style17"/>
    <w:basedOn w:val="1"/>
    <w:qFormat/>
    <w:uiPriority w:val="0"/>
    <w:pPr>
      <w:widowControl/>
      <w:spacing w:before="100" w:beforeAutospacing="1" w:afterLines="100"/>
      <w:jc w:val="left"/>
    </w:pPr>
    <w:rPr>
      <w:rFonts w:ascii="宋体" w:hAnsi="宋体" w:cs="宋体"/>
      <w:kern w:val="0"/>
      <w:sz w:val="18"/>
      <w:szCs w:val="18"/>
    </w:rPr>
  </w:style>
  <w:style w:type="paragraph" w:customStyle="1" w:styleId="226">
    <w:name w:val="默认段落字体 Para Char"/>
    <w:basedOn w:val="1"/>
    <w:qFormat/>
    <w:uiPriority w:val="0"/>
    <w:rPr>
      <w:rFonts w:ascii="Tahoma" w:hAnsi="Tahoma"/>
      <w:sz w:val="24"/>
      <w:szCs w:val="20"/>
    </w:rPr>
  </w:style>
  <w:style w:type="paragraph" w:customStyle="1" w:styleId="227">
    <w:name w:val="xl59"/>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22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9">
    <w:name w:val="样式 标题 5口H5PIM 5h5Level 3 - iheading 51.1.1.1.1标题 5标ghfhg..."/>
    <w:basedOn w:val="8"/>
    <w:qFormat/>
    <w:uiPriority w:val="0"/>
    <w:pPr>
      <w:adjustRightInd w:val="0"/>
      <w:spacing w:line="376" w:lineRule="atLeast"/>
      <w:ind w:left="992" w:hanging="420"/>
      <w:textAlignment w:val="baseline"/>
    </w:pPr>
    <w:rPr>
      <w:color w:val="000000"/>
      <w:sz w:val="24"/>
      <w:szCs w:val="20"/>
    </w:rPr>
  </w:style>
  <w:style w:type="paragraph" w:customStyle="1" w:styleId="230">
    <w:name w:val="列出段落2"/>
    <w:basedOn w:val="1"/>
    <w:qFormat/>
    <w:uiPriority w:val="0"/>
    <w:pPr>
      <w:ind w:firstLine="420" w:firstLineChars="200"/>
    </w:pPr>
    <w:rPr>
      <w:rFonts w:ascii="Calibri" w:hAnsi="Calibri"/>
      <w:szCs w:val="22"/>
    </w:rPr>
  </w:style>
  <w:style w:type="paragraph" w:customStyle="1" w:styleId="231">
    <w:name w:val="xl113"/>
    <w:basedOn w:val="1"/>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3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3">
    <w:name w:val="标题 31"/>
    <w:basedOn w:val="1"/>
    <w:qFormat/>
    <w:uiPriority w:val="0"/>
    <w:pPr>
      <w:spacing w:afterLines="100" w:line="360" w:lineRule="auto"/>
    </w:pPr>
    <w:rPr>
      <w:sz w:val="24"/>
    </w:rPr>
  </w:style>
  <w:style w:type="paragraph" w:customStyle="1" w:styleId="234">
    <w:name w:val="font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235">
    <w:name w:val="正文 + 宋体"/>
    <w:basedOn w:val="1"/>
    <w:qFormat/>
    <w:uiPriority w:val="0"/>
    <w:pPr>
      <w:adjustRightInd w:val="0"/>
      <w:spacing w:line="360" w:lineRule="auto"/>
      <w:ind w:firstLine="200" w:firstLineChars="200"/>
      <w:textAlignment w:val="baseline"/>
    </w:pPr>
    <w:rPr>
      <w:rFonts w:ascii="宋体"/>
      <w:kern w:val="0"/>
      <w:szCs w:val="21"/>
    </w:rPr>
  </w:style>
  <w:style w:type="paragraph" w:customStyle="1" w:styleId="236">
    <w:name w:val="项目"/>
    <w:basedOn w:val="185"/>
    <w:qFormat/>
    <w:uiPriority w:val="0"/>
    <w:pPr>
      <w:spacing w:beforeLines="0" w:afterLines="0"/>
      <w:ind w:firstLine="0" w:firstLineChars="0"/>
    </w:pPr>
    <w:rPr>
      <w:rFonts w:ascii="宋体" w:hAnsi="宋体"/>
      <w:sz w:val="24"/>
    </w:rPr>
  </w:style>
  <w:style w:type="paragraph" w:customStyle="1" w:styleId="237">
    <w:name w:val="_表格文字"/>
    <w:basedOn w:val="1"/>
    <w:qFormat/>
    <w:uiPriority w:val="0"/>
    <w:pPr>
      <w:spacing w:beforeLines="10" w:afterLines="10"/>
    </w:pPr>
  </w:style>
  <w:style w:type="paragraph" w:customStyle="1" w:styleId="238">
    <w:name w:val="xl122"/>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9">
    <w:name w:val="Char"/>
    <w:basedOn w:val="1"/>
    <w:qFormat/>
    <w:uiPriority w:val="0"/>
    <w:rPr>
      <w:sz w:val="24"/>
    </w:rPr>
  </w:style>
  <w:style w:type="paragraph" w:customStyle="1" w:styleId="240">
    <w:name w:val="样式 标题 5 + 右侧:  -0.18 字符"/>
    <w:basedOn w:val="1"/>
    <w:qFormat/>
    <w:uiPriority w:val="0"/>
    <w:pPr>
      <w:tabs>
        <w:tab w:val="left" w:pos="1008"/>
      </w:tabs>
      <w:ind w:left="1008" w:hanging="1008"/>
    </w:pPr>
  </w:style>
  <w:style w:type="paragraph" w:customStyle="1" w:styleId="241">
    <w:name w:val="Char Char1 Char"/>
    <w:basedOn w:val="1"/>
    <w:qFormat/>
    <w:uiPriority w:val="0"/>
    <w:pPr>
      <w:spacing w:line="360" w:lineRule="auto"/>
    </w:pPr>
    <w:rPr>
      <w:rFonts w:ascii="Tahoma" w:hAnsi="Tahoma"/>
      <w:sz w:val="24"/>
      <w:szCs w:val="20"/>
    </w:rPr>
  </w:style>
  <w:style w:type="paragraph" w:customStyle="1" w:styleId="242">
    <w:name w:val="_正文段落加粗"/>
    <w:basedOn w:val="185"/>
    <w:qFormat/>
    <w:uiPriority w:val="0"/>
    <w:pPr>
      <w:spacing w:beforeLines="0" w:afterLines="0"/>
      <w:ind w:firstLine="480"/>
    </w:pPr>
    <w:rPr>
      <w:b/>
    </w:rPr>
  </w:style>
  <w:style w:type="paragraph" w:customStyle="1" w:styleId="243">
    <w:name w:val="xl46"/>
    <w:basedOn w:val="1"/>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44">
    <w:name w:val="Char2 Char Char Char"/>
    <w:basedOn w:val="1"/>
    <w:qFormat/>
    <w:uiPriority w:val="0"/>
    <w:pPr>
      <w:widowControl/>
      <w:spacing w:beforeLines="100" w:line="240" w:lineRule="exact"/>
      <w:jc w:val="left"/>
    </w:pPr>
    <w:rPr>
      <w:rFonts w:ascii="Verdana" w:hAnsi="Verdana"/>
      <w:kern w:val="0"/>
      <w:sz w:val="20"/>
      <w:szCs w:val="20"/>
      <w:lang w:eastAsia="en-US"/>
    </w:rPr>
  </w:style>
  <w:style w:type="paragraph" w:customStyle="1" w:styleId="245">
    <w:name w:val="xl30"/>
    <w:basedOn w:val="1"/>
    <w:qFormat/>
    <w:uiPriority w:val="0"/>
    <w:pPr>
      <w:widowControl/>
      <w:spacing w:before="100" w:beforeAutospacing="1" w:afterAutospacing="1"/>
      <w:jc w:val="left"/>
    </w:pPr>
    <w:rPr>
      <w:rFonts w:ascii="宋体" w:hAnsi="宋体"/>
      <w:kern w:val="0"/>
      <w:sz w:val="28"/>
      <w:szCs w:val="28"/>
    </w:rPr>
  </w:style>
  <w:style w:type="paragraph" w:customStyle="1" w:styleId="246">
    <w:name w:val="xl75"/>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8">
    <w:name w:val="postdate"/>
    <w:basedOn w:val="1"/>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9">
    <w:name w:val="font13"/>
    <w:basedOn w:val="1"/>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5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2">
    <w:name w:val="pt105"/>
    <w:basedOn w:val="1"/>
    <w:qFormat/>
    <w:uiPriority w:val="0"/>
    <w:pPr>
      <w:widowControl/>
      <w:spacing w:before="100" w:beforeAutospacing="1" w:afterLines="100"/>
      <w:jc w:val="left"/>
    </w:pPr>
    <w:rPr>
      <w:rFonts w:ascii="宋体" w:hAnsi="宋体" w:cs="宋体"/>
      <w:kern w:val="0"/>
      <w:sz w:val="24"/>
    </w:rPr>
  </w:style>
  <w:style w:type="paragraph" w:customStyle="1" w:styleId="253">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4">
    <w:name w:val="Char2"/>
    <w:basedOn w:val="1"/>
    <w:qFormat/>
    <w:uiPriority w:val="0"/>
    <w:rPr>
      <w:rFonts w:ascii="Tahoma" w:hAnsi="Tahoma"/>
      <w:sz w:val="24"/>
      <w:szCs w:val="20"/>
    </w:rPr>
  </w:style>
  <w:style w:type="paragraph" w:customStyle="1" w:styleId="255">
    <w:name w:val="xl78"/>
    <w:basedOn w:val="1"/>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xl125"/>
    <w:basedOn w:val="1"/>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7">
    <w:name w:val="列项·"/>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8">
    <w:name w:val="FR正文1"/>
    <w:basedOn w:val="1"/>
    <w:qFormat/>
    <w:uiPriority w:val="0"/>
    <w:pPr>
      <w:widowControl/>
      <w:adjustRightInd w:val="0"/>
      <w:snapToGrid w:val="0"/>
      <w:spacing w:line="360" w:lineRule="auto"/>
      <w:ind w:firstLine="425"/>
      <w:jc w:val="left"/>
    </w:pPr>
    <w:rPr>
      <w:rFonts w:eastAsia="仿宋_GB2312"/>
      <w:kern w:val="0"/>
      <w:szCs w:val="20"/>
    </w:rPr>
  </w:style>
  <w:style w:type="paragraph" w:customStyle="1" w:styleId="259">
    <w:name w:val="_标题4"/>
    <w:basedOn w:val="7"/>
    <w:next w:val="185"/>
    <w:qFormat/>
    <w:uiPriority w:val="0"/>
    <w:pPr>
      <w:tabs>
        <w:tab w:val="left" w:pos="2160"/>
      </w:tabs>
      <w:spacing w:after="0" w:line="372" w:lineRule="auto"/>
      <w:ind w:left="3402" w:hanging="3402"/>
    </w:pPr>
    <w:rPr>
      <w:rFonts w:ascii="Tahoma" w:hAnsi="Tahoma" w:eastAsia="黑体"/>
    </w:rPr>
  </w:style>
  <w:style w:type="paragraph" w:customStyle="1" w:styleId="26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61">
    <w:name w:val="表"/>
    <w:basedOn w:val="1"/>
    <w:next w:val="11"/>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62">
    <w:name w:val="xl47"/>
    <w:basedOn w:val="1"/>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63">
    <w:name w:val="xl121"/>
    <w:basedOn w:val="1"/>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5">
    <w:name w:val="公文行文"/>
    <w:basedOn w:val="1"/>
    <w:qFormat/>
    <w:uiPriority w:val="0"/>
    <w:pPr>
      <w:spacing w:line="360" w:lineRule="auto"/>
      <w:ind w:firstLine="200" w:firstLineChars="200"/>
    </w:pPr>
    <w:rPr>
      <w:rFonts w:eastAsia="仿宋_GB2312"/>
      <w:sz w:val="28"/>
    </w:rPr>
  </w:style>
  <w:style w:type="paragraph" w:customStyle="1" w:styleId="266">
    <w:name w:val="正文首行缩进两字符"/>
    <w:basedOn w:val="1"/>
    <w:qFormat/>
    <w:uiPriority w:val="0"/>
    <w:pPr>
      <w:spacing w:line="300" w:lineRule="auto"/>
      <w:ind w:firstLine="200" w:firstLineChars="200"/>
    </w:pPr>
    <w:rPr>
      <w:rFonts w:ascii="Arial" w:hAnsi="Arial"/>
      <w:sz w:val="24"/>
    </w:rPr>
  </w:style>
  <w:style w:type="paragraph" w:customStyle="1" w:styleId="26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8">
    <w:name w:val="_题注"/>
    <w:basedOn w:val="16"/>
    <w:qFormat/>
    <w:uiPriority w:val="0"/>
    <w:pPr>
      <w:spacing w:before="0" w:afterLines="100"/>
      <w:jc w:val="center"/>
    </w:pPr>
    <w:rPr>
      <w:sz w:val="21"/>
      <w:szCs w:val="24"/>
    </w:rPr>
  </w:style>
  <w:style w:type="paragraph" w:customStyle="1" w:styleId="26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70">
    <w:name w:val="Char1 Char Char Char Char Char Char Char"/>
    <w:basedOn w:val="1"/>
    <w:qFormat/>
    <w:uiPriority w:val="0"/>
    <w:pPr>
      <w:adjustRightInd w:val="0"/>
      <w:spacing w:before="60" w:line="360" w:lineRule="atLeast"/>
      <w:textAlignment w:val="baseline"/>
    </w:pPr>
    <w:rPr>
      <w:kern w:val="0"/>
      <w:sz w:val="24"/>
      <w:szCs w:val="20"/>
    </w:rPr>
  </w:style>
  <w:style w:type="paragraph" w:customStyle="1" w:styleId="271">
    <w:name w:val="xl53"/>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72">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273">
    <w:name w:val="_列表"/>
    <w:basedOn w:val="185"/>
    <w:qFormat/>
    <w:uiPriority w:val="0"/>
    <w:pPr>
      <w:spacing w:beforeLines="0" w:afterLines="0"/>
    </w:pPr>
    <w:rPr>
      <w:sz w:val="24"/>
    </w:rPr>
  </w:style>
  <w:style w:type="paragraph" w:customStyle="1" w:styleId="274">
    <w:name w:val="xl116"/>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5">
    <w:name w:val="标题 11"/>
    <w:basedOn w:val="1"/>
    <w:qFormat/>
    <w:uiPriority w:val="0"/>
    <w:pPr>
      <w:spacing w:afterLines="100" w:line="360" w:lineRule="auto"/>
    </w:pPr>
    <w:rPr>
      <w:sz w:val="24"/>
    </w:rPr>
  </w:style>
  <w:style w:type="paragraph" w:customStyle="1" w:styleId="276">
    <w:name w:val="新华社正文"/>
    <w:basedOn w:val="1"/>
    <w:qFormat/>
    <w:uiPriority w:val="0"/>
    <w:pPr>
      <w:snapToGrid w:val="0"/>
      <w:spacing w:line="360" w:lineRule="auto"/>
      <w:ind w:right="-36" w:firstLine="360" w:firstLineChars="150"/>
      <w:jc w:val="left"/>
    </w:pPr>
    <w:rPr>
      <w:rFonts w:ascii="Arial" w:hAnsi="Arial"/>
      <w:sz w:val="24"/>
    </w:rPr>
  </w:style>
  <w:style w:type="paragraph" w:customStyle="1" w:styleId="277">
    <w:name w:val="xl123"/>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8">
    <w:name w:val="_标题1"/>
    <w:basedOn w:val="4"/>
    <w:next w:val="185"/>
    <w:qFormat/>
    <w:uiPriority w:val="0"/>
    <w:pPr>
      <w:tabs>
        <w:tab w:val="left" w:pos="708"/>
        <w:tab w:val="left" w:pos="900"/>
      </w:tabs>
      <w:spacing w:after="0" w:line="576" w:lineRule="auto"/>
      <w:ind w:left="567" w:hanging="567"/>
    </w:pPr>
    <w:rPr>
      <w:rFonts w:ascii="Arial" w:hAnsi="Arial" w:eastAsia="黑体"/>
      <w:b w:val="0"/>
    </w:rPr>
  </w:style>
  <w:style w:type="paragraph" w:customStyle="1" w:styleId="27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0">
    <w:name w:val="图题"/>
    <w:basedOn w:val="1"/>
    <w:next w:val="1"/>
    <w:qFormat/>
    <w:uiPriority w:val="0"/>
    <w:pPr>
      <w:widowControl/>
      <w:tabs>
        <w:tab w:val="left" w:pos="0"/>
      </w:tabs>
      <w:autoSpaceDN w:val="0"/>
      <w:spacing w:line="300" w:lineRule="auto"/>
      <w:jc w:val="center"/>
    </w:pPr>
    <w:rPr>
      <w:rFonts w:ascii="宋体" w:hAnsi="宋体"/>
      <w:kern w:val="0"/>
      <w:sz w:val="24"/>
    </w:rPr>
  </w:style>
  <w:style w:type="paragraph" w:customStyle="1" w:styleId="281">
    <w:name w:val="TOC 标题1"/>
    <w:basedOn w:val="4"/>
    <w:next w:val="1"/>
    <w:qFormat/>
    <w:uiPriority w:val="39"/>
    <w:pPr>
      <w:outlineLvl w:val="9"/>
    </w:pPr>
  </w:style>
  <w:style w:type="paragraph" w:customStyle="1" w:styleId="282">
    <w:name w:val="feeder"/>
    <w:basedOn w:val="1"/>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83">
    <w:name w:val="font7"/>
    <w:basedOn w:val="1"/>
    <w:qFormat/>
    <w:uiPriority w:val="0"/>
    <w:pPr>
      <w:widowControl/>
      <w:spacing w:before="100" w:beforeAutospacing="1" w:afterAutospacing="1"/>
      <w:jc w:val="left"/>
    </w:pPr>
    <w:rPr>
      <w:rFonts w:ascii="宋体" w:hAnsi="宋体" w:cs="宋体"/>
      <w:kern w:val="0"/>
      <w:sz w:val="20"/>
      <w:szCs w:val="20"/>
    </w:rPr>
  </w:style>
  <w:style w:type="paragraph" w:customStyle="1" w:styleId="28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5">
    <w:name w:val="前言、引言标题"/>
    <w:next w:val="1"/>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7">
    <w:name w:val="_标题2"/>
    <w:basedOn w:val="5"/>
    <w:next w:val="185"/>
    <w:qFormat/>
    <w:uiPriority w:val="0"/>
    <w:pPr>
      <w:tabs>
        <w:tab w:val="left" w:pos="860"/>
      </w:tabs>
      <w:spacing w:beforeLines="50" w:afterLines="50" w:line="413" w:lineRule="auto"/>
      <w:ind w:left="1418" w:hanging="1418"/>
    </w:pPr>
    <w:rPr>
      <w:rFonts w:ascii="Tahoma" w:hAnsi="Tahoma"/>
    </w:rPr>
  </w:style>
  <w:style w:type="paragraph" w:customStyle="1" w:styleId="288">
    <w:name w:val="_Style 1"/>
    <w:basedOn w:val="1"/>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9">
    <w:name w:val="_图片"/>
    <w:basedOn w:val="1"/>
    <w:next w:val="185"/>
    <w:qFormat/>
    <w:uiPriority w:val="0"/>
    <w:pPr>
      <w:spacing w:before="46" w:line="360" w:lineRule="auto"/>
      <w:jc w:val="center"/>
    </w:pPr>
    <w:rPr>
      <w:sz w:val="18"/>
    </w:rPr>
  </w:style>
  <w:style w:type="paragraph" w:customStyle="1" w:styleId="290">
    <w:name w:val="投标文件 正文首行缩进"/>
    <w:basedOn w:val="44"/>
    <w:qFormat/>
    <w:uiPriority w:val="0"/>
    <w:pPr>
      <w:spacing w:after="220"/>
      <w:ind w:left="0" w:leftChars="0" w:firstLine="200"/>
    </w:pPr>
    <w:rPr>
      <w:rFonts w:ascii="Arial" w:hAnsi="Arial"/>
      <w:sz w:val="21"/>
    </w:rPr>
  </w:style>
  <w:style w:type="paragraph" w:customStyle="1" w:styleId="291">
    <w:name w:val="xl49"/>
    <w:basedOn w:val="1"/>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92">
    <w:name w:val="图"/>
    <w:basedOn w:val="1"/>
    <w:next w:val="11"/>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93">
    <w:name w:val="indent"/>
    <w:basedOn w:val="1"/>
    <w:qFormat/>
    <w:uiPriority w:val="0"/>
    <w:pPr>
      <w:widowControl/>
      <w:spacing w:before="60"/>
      <w:jc w:val="left"/>
    </w:pPr>
    <w:rPr>
      <w:rFonts w:ascii="Verdana" w:hAnsi="Verdana" w:cs="宋体"/>
      <w:color w:val="000000"/>
      <w:kern w:val="0"/>
      <w:sz w:val="18"/>
      <w:szCs w:val="18"/>
    </w:rPr>
  </w:style>
  <w:style w:type="paragraph" w:customStyle="1" w:styleId="294">
    <w:name w:val="正文段"/>
    <w:basedOn w:val="1"/>
    <w:qFormat/>
    <w:uiPriority w:val="0"/>
    <w:pPr>
      <w:widowControl/>
      <w:snapToGrid w:val="0"/>
      <w:spacing w:afterLines="50"/>
      <w:ind w:firstLine="200" w:firstLineChars="200"/>
    </w:pPr>
    <w:rPr>
      <w:kern w:val="0"/>
      <w:sz w:val="24"/>
      <w:szCs w:val="20"/>
    </w:rPr>
  </w:style>
  <w:style w:type="paragraph" w:customStyle="1" w:styleId="295">
    <w:name w:val="普通正文"/>
    <w:basedOn w:val="1"/>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6">
    <w:name w:val="xl91"/>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8">
    <w:name w:val="bodytext"/>
    <w:basedOn w:val="1"/>
    <w:qFormat/>
    <w:uiPriority w:val="0"/>
    <w:pPr>
      <w:widowControl/>
      <w:spacing w:before="140" w:line="360" w:lineRule="auto"/>
      <w:ind w:firstLine="420"/>
      <w:jc w:val="left"/>
    </w:pPr>
    <w:rPr>
      <w:rFonts w:ascii="宋体" w:hAnsi="宋体"/>
      <w:kern w:val="0"/>
      <w:szCs w:val="21"/>
    </w:rPr>
  </w:style>
  <w:style w:type="paragraph" w:customStyle="1" w:styleId="299">
    <w:name w:val="表格文字"/>
    <w:basedOn w:val="1"/>
    <w:qFormat/>
    <w:uiPriority w:val="0"/>
    <w:pPr>
      <w:spacing w:beforeLines="25" w:afterLines="25"/>
      <w:jc w:val="left"/>
    </w:pPr>
    <w:rPr>
      <w:spacing w:val="10"/>
      <w:sz w:val="24"/>
    </w:rPr>
  </w:style>
  <w:style w:type="paragraph" w:customStyle="1" w:styleId="300">
    <w:name w:val="标题 22"/>
    <w:basedOn w:val="1"/>
    <w:qFormat/>
    <w:uiPriority w:val="0"/>
    <w:pPr>
      <w:spacing w:afterLines="100" w:line="360" w:lineRule="auto"/>
    </w:pPr>
    <w:rPr>
      <w:sz w:val="24"/>
    </w:rPr>
  </w:style>
  <w:style w:type="paragraph" w:customStyle="1" w:styleId="301">
    <w:name w:val="xl102"/>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02">
    <w:name w:val="_表格标题"/>
    <w:basedOn w:val="237"/>
    <w:qFormat/>
    <w:uiPriority w:val="0"/>
    <w:pPr>
      <w:spacing w:beforeLines="30" w:afterLines="30"/>
      <w:jc w:val="center"/>
    </w:pPr>
    <w:rPr>
      <w:b/>
      <w:sz w:val="24"/>
    </w:rPr>
  </w:style>
  <w:style w:type="paragraph" w:customStyle="1" w:styleId="303">
    <w:name w:val="Char Char Char Char Char Char Char Char Char Char Char Char Char Char Char Char"/>
    <w:basedOn w:val="1"/>
    <w:qFormat/>
    <w:uiPriority w:val="0"/>
    <w:rPr>
      <w:sz w:val="24"/>
    </w:rPr>
  </w:style>
  <w:style w:type="paragraph" w:customStyle="1" w:styleId="304">
    <w:name w:val="xl26"/>
    <w:basedOn w:val="1"/>
    <w:qFormat/>
    <w:uiPriority w:val="0"/>
    <w:pPr>
      <w:widowControl/>
      <w:spacing w:before="100" w:beforeAutospacing="1" w:afterAutospacing="1"/>
      <w:jc w:val="center"/>
    </w:pPr>
    <w:rPr>
      <w:rFonts w:ascii="宋体" w:hAnsi="宋体"/>
      <w:kern w:val="0"/>
      <w:sz w:val="24"/>
    </w:rPr>
  </w:style>
  <w:style w:type="paragraph" w:customStyle="1" w:styleId="305">
    <w:name w:val="CM13"/>
    <w:basedOn w:val="191"/>
    <w:next w:val="191"/>
    <w:qFormat/>
    <w:uiPriority w:val="0"/>
    <w:pPr>
      <w:spacing w:line="468" w:lineRule="atLeast"/>
    </w:pPr>
    <w:rPr>
      <w:rFonts w:ascii="宋体" w:hAnsi="Times New Roman"/>
      <w:color w:val="auto"/>
    </w:rPr>
  </w:style>
  <w:style w:type="paragraph" w:customStyle="1" w:styleId="306">
    <w:name w:val="xl32"/>
    <w:basedOn w:val="1"/>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7">
    <w:name w:val="content"/>
    <w:basedOn w:val="1"/>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8">
    <w:name w:val="标题 32"/>
    <w:basedOn w:val="1"/>
    <w:qFormat/>
    <w:uiPriority w:val="0"/>
    <w:pPr>
      <w:spacing w:afterLines="100" w:line="360" w:lineRule="auto"/>
    </w:pPr>
    <w:rPr>
      <w:sz w:val="24"/>
    </w:rPr>
  </w:style>
  <w:style w:type="paragraph" w:customStyle="1" w:styleId="309">
    <w:name w:val="Char Char1 Char Char Char Char Char Char Char Char"/>
    <w:basedOn w:val="1"/>
    <w:qFormat/>
    <w:uiPriority w:val="0"/>
    <w:pPr>
      <w:widowControl/>
      <w:spacing w:line="240" w:lineRule="exact"/>
      <w:jc w:val="left"/>
    </w:pPr>
    <w:rPr>
      <w:rFonts w:ascii="Verdana" w:hAnsi="Verdana"/>
      <w:kern w:val="0"/>
      <w:sz w:val="18"/>
      <w:szCs w:val="20"/>
      <w:lang w:eastAsia="en-US"/>
    </w:rPr>
  </w:style>
  <w:style w:type="paragraph" w:customStyle="1" w:styleId="310">
    <w:name w:val="ÕýÎÄÊ×ÐÐËõ½ø"/>
    <w:basedOn w:val="1"/>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11">
    <w:name w:val="xl51"/>
    <w:basedOn w:val="1"/>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12">
    <w:name w:val="postmetadata"/>
    <w:basedOn w:val="1"/>
    <w:qFormat/>
    <w:uiPriority w:val="0"/>
    <w:pPr>
      <w:widowControl/>
      <w:pBdr>
        <w:bottom w:val="single" w:color="DDDDDD" w:sz="6" w:space="12"/>
      </w:pBdr>
      <w:spacing w:before="153"/>
      <w:jc w:val="right"/>
    </w:pPr>
    <w:rPr>
      <w:rFonts w:ascii="宋体" w:hAnsi="宋体" w:cs="宋体"/>
      <w:kern w:val="0"/>
      <w:sz w:val="24"/>
    </w:rPr>
  </w:style>
  <w:style w:type="paragraph" w:customStyle="1" w:styleId="31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4">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315">
    <w:name w:val="文档标题"/>
    <w:next w:val="1"/>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6">
    <w:name w:val="代码表标题"/>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7">
    <w:name w:val="插图"/>
    <w:basedOn w:val="24"/>
    <w:qFormat/>
    <w:uiPriority w:val="0"/>
    <w:pPr>
      <w:tabs>
        <w:tab w:val="left" w:pos="425"/>
      </w:tabs>
      <w:spacing w:beforeLines="0" w:afterLines="0" w:line="240" w:lineRule="auto"/>
      <w:jc w:val="center"/>
    </w:pPr>
    <w:rPr>
      <w:sz w:val="21"/>
      <w:szCs w:val="21"/>
    </w:rPr>
  </w:style>
  <w:style w:type="paragraph" w:customStyle="1" w:styleId="318">
    <w:name w:val="模板普通正文"/>
    <w:basedOn w:val="20"/>
    <w:qFormat/>
    <w:uiPriority w:val="0"/>
    <w:pPr>
      <w:spacing w:beforeLines="50" w:line="360" w:lineRule="auto"/>
      <w:ind w:left="0" w:leftChars="0" w:firstLine="490" w:firstLineChars="175"/>
      <w:jc w:val="left"/>
    </w:pPr>
    <w:rPr>
      <w:sz w:val="24"/>
    </w:rPr>
  </w:style>
  <w:style w:type="paragraph" w:customStyle="1" w:styleId="319">
    <w:name w:val="p0"/>
    <w:basedOn w:val="1"/>
    <w:qFormat/>
    <w:uiPriority w:val="0"/>
    <w:pPr>
      <w:widowControl/>
    </w:pPr>
    <w:rPr>
      <w:rFonts w:ascii="華康辦公用具篇" w:hAnsi="華康辦公用具篇" w:cs="宋体"/>
      <w:kern w:val="0"/>
      <w:szCs w:val="21"/>
    </w:rPr>
  </w:style>
  <w:style w:type="paragraph" w:customStyle="1" w:styleId="3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21">
    <w:name w:val="xl29"/>
    <w:basedOn w:val="1"/>
    <w:qFormat/>
    <w:uiPriority w:val="0"/>
    <w:pPr>
      <w:widowControl/>
      <w:spacing w:before="100" w:beforeAutospacing="1" w:afterAutospacing="1"/>
      <w:jc w:val="left"/>
    </w:pPr>
    <w:rPr>
      <w:rFonts w:ascii="宋体" w:hAnsi="宋体"/>
      <w:kern w:val="0"/>
      <w:sz w:val="28"/>
      <w:szCs w:val="28"/>
    </w:rPr>
  </w:style>
  <w:style w:type="paragraph" w:customStyle="1" w:styleId="322">
    <w:name w:val="Char Char1 Char Char Char Char"/>
    <w:basedOn w:val="17"/>
    <w:qFormat/>
    <w:uiPriority w:val="0"/>
    <w:pPr>
      <w:spacing w:afterLines="0"/>
      <w:ind w:firstLine="540" w:firstLineChars="0"/>
    </w:pPr>
    <w:rPr>
      <w:rFonts w:eastAsia="仿宋_GB2312"/>
      <w:b/>
      <w:sz w:val="36"/>
      <w:szCs w:val="36"/>
    </w:rPr>
  </w:style>
  <w:style w:type="paragraph" w:customStyle="1" w:styleId="323">
    <w:name w:val="xl4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24">
    <w:name w:val="程序段"/>
    <w:basedOn w:val="1"/>
    <w:qFormat/>
    <w:uiPriority w:val="0"/>
    <w:pPr>
      <w:ind w:firstLine="420" w:firstLineChars="200"/>
    </w:pPr>
    <w:rPr>
      <w:rFonts w:ascii="Courier" w:hAnsi="Courier"/>
    </w:rPr>
  </w:style>
  <w:style w:type="paragraph" w:customStyle="1" w:styleId="325">
    <w:name w:val="xl52"/>
    <w:basedOn w:val="1"/>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6">
    <w:name w:val="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327">
    <w:name w:val="xl124"/>
    <w:basedOn w:val="1"/>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8">
    <w:name w:val="xl31"/>
    <w:basedOn w:val="1"/>
    <w:qFormat/>
    <w:uiPriority w:val="0"/>
    <w:pPr>
      <w:widowControl/>
      <w:spacing w:before="100" w:beforeAutospacing="1" w:afterAutospacing="1"/>
      <w:jc w:val="center"/>
    </w:pPr>
    <w:rPr>
      <w:rFonts w:ascii="宋体" w:hAnsi="宋体"/>
      <w:kern w:val="0"/>
      <w:sz w:val="28"/>
      <w:szCs w:val="28"/>
    </w:rPr>
  </w:style>
  <w:style w:type="paragraph" w:customStyle="1" w:styleId="32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30">
    <w:name w:val="font12"/>
    <w:basedOn w:val="1"/>
    <w:qFormat/>
    <w:uiPriority w:val="0"/>
    <w:pPr>
      <w:widowControl/>
      <w:spacing w:before="100" w:beforeAutospacing="1" w:afterAutospacing="1"/>
      <w:jc w:val="left"/>
    </w:pPr>
    <w:rPr>
      <w:color w:val="000000"/>
      <w:kern w:val="0"/>
      <w:sz w:val="28"/>
      <w:szCs w:val="28"/>
    </w:rPr>
  </w:style>
  <w:style w:type="paragraph" w:customStyle="1" w:styleId="331">
    <w:name w:val="列出段落3"/>
    <w:basedOn w:val="1"/>
    <w:qFormat/>
    <w:uiPriority w:val="0"/>
    <w:pPr>
      <w:ind w:firstLine="420" w:firstLineChars="200"/>
    </w:pPr>
    <w:rPr>
      <w:rFonts w:ascii="Calibri" w:hAnsi="Calibri"/>
      <w:szCs w:val="22"/>
    </w:rPr>
  </w:style>
  <w:style w:type="paragraph" w:customStyle="1" w:styleId="33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4">
    <w:name w:val="xl63"/>
    <w:basedOn w:val="1"/>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5">
    <w:name w:val="xl58"/>
    <w:basedOn w:val="1"/>
    <w:qFormat/>
    <w:uiPriority w:val="0"/>
    <w:pPr>
      <w:widowControl/>
      <w:spacing w:before="100" w:beforeAutospacing="1" w:afterAutospacing="1"/>
      <w:jc w:val="left"/>
      <w:textAlignment w:val="center"/>
    </w:pPr>
    <w:rPr>
      <w:rFonts w:ascii="宋体" w:hAnsi="宋体"/>
      <w:b/>
      <w:bCs/>
      <w:kern w:val="0"/>
      <w:sz w:val="24"/>
    </w:rPr>
  </w:style>
  <w:style w:type="paragraph" w:customStyle="1" w:styleId="33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9">
    <w:name w:val="xl24"/>
    <w:basedOn w:val="1"/>
    <w:qFormat/>
    <w:uiPriority w:val="0"/>
    <w:pPr>
      <w:widowControl/>
      <w:spacing w:before="100" w:beforeAutospacing="1" w:afterAutospacing="1"/>
      <w:jc w:val="center"/>
    </w:pPr>
    <w:rPr>
      <w:rFonts w:ascii="宋体" w:hAnsi="宋体"/>
      <w:kern w:val="0"/>
      <w:sz w:val="24"/>
    </w:rPr>
  </w:style>
  <w:style w:type="paragraph" w:customStyle="1" w:styleId="34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43">
    <w:name w:val="xl92"/>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4">
    <w:name w:val="xl27"/>
    <w:basedOn w:val="1"/>
    <w:qFormat/>
    <w:uiPriority w:val="0"/>
    <w:pPr>
      <w:widowControl/>
      <w:spacing w:before="100" w:beforeAutospacing="1" w:afterAutospacing="1"/>
      <w:jc w:val="center"/>
    </w:pPr>
    <w:rPr>
      <w:rFonts w:ascii="宋体" w:hAnsi="宋体"/>
      <w:kern w:val="0"/>
      <w:sz w:val="24"/>
    </w:rPr>
  </w:style>
  <w:style w:type="paragraph" w:customStyle="1" w:styleId="345">
    <w:name w:val="xl101"/>
    <w:basedOn w:val="1"/>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6">
    <w:name w:val="xl120"/>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7">
    <w:name w:val="xl64"/>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8">
    <w:name w:val="xl99"/>
    <w:basedOn w:val="1"/>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5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54">
    <w:name w:val="xl28"/>
    <w:basedOn w:val="1"/>
    <w:qFormat/>
    <w:uiPriority w:val="0"/>
    <w:pPr>
      <w:widowControl/>
      <w:spacing w:before="100" w:beforeAutospacing="1" w:afterAutospacing="1"/>
      <w:jc w:val="center"/>
    </w:pPr>
    <w:rPr>
      <w:kern w:val="0"/>
      <w:sz w:val="28"/>
      <w:szCs w:val="28"/>
    </w:rPr>
  </w:style>
  <w:style w:type="paragraph" w:customStyle="1" w:styleId="35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8">
    <w:name w:val="xl87"/>
    <w:basedOn w:val="1"/>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0">
    <w:name w:val="xl115"/>
    <w:basedOn w:val="1"/>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6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6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4">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7">
    <w:name w:val="xl60"/>
    <w:basedOn w:val="1"/>
    <w:qFormat/>
    <w:uiPriority w:val="0"/>
    <w:pPr>
      <w:widowControl/>
      <w:spacing w:before="100" w:beforeAutospacing="1" w:afterAutospacing="1"/>
      <w:jc w:val="center"/>
      <w:textAlignment w:val="center"/>
    </w:pPr>
    <w:rPr>
      <w:rFonts w:ascii="宋体" w:hAnsi="宋体"/>
      <w:kern w:val="0"/>
      <w:sz w:val="24"/>
    </w:rPr>
  </w:style>
  <w:style w:type="paragraph" w:customStyle="1" w:styleId="368">
    <w:name w:val="xl62"/>
    <w:basedOn w:val="1"/>
    <w:qFormat/>
    <w:uiPriority w:val="0"/>
    <w:pPr>
      <w:widowControl/>
      <w:spacing w:before="100" w:beforeAutospacing="1" w:afterAutospacing="1"/>
      <w:jc w:val="left"/>
      <w:textAlignment w:val="center"/>
    </w:pPr>
    <w:rPr>
      <w:rFonts w:ascii="宋体" w:hAnsi="宋体"/>
      <w:kern w:val="0"/>
      <w:sz w:val="24"/>
    </w:rPr>
  </w:style>
  <w:style w:type="paragraph" w:customStyle="1" w:styleId="369">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370">
    <w:name w:val="table_lines"/>
    <w:basedOn w:val="1"/>
    <w:qFormat/>
    <w:uiPriority w:val="0"/>
    <w:pPr>
      <w:widowControl/>
      <w:jc w:val="left"/>
    </w:pPr>
    <w:rPr>
      <w:rFonts w:eastAsia="MS Mincho"/>
      <w:kern w:val="0"/>
      <w:sz w:val="20"/>
      <w:szCs w:val="20"/>
      <w:lang w:val="de-DE" w:eastAsia="de-DE"/>
    </w:rPr>
  </w:style>
  <w:style w:type="character" w:customStyle="1" w:styleId="371">
    <w:name w:val="3zw1"/>
    <w:qFormat/>
    <w:uiPriority w:val="0"/>
    <w:rPr>
      <w:color w:val="000000"/>
      <w:sz w:val="21"/>
      <w:szCs w:val="21"/>
    </w:rPr>
  </w:style>
  <w:style w:type="character" w:customStyle="1" w:styleId="372">
    <w:name w:val="正文2 Char Char"/>
    <w:link w:val="373"/>
    <w:qFormat/>
    <w:uiPriority w:val="0"/>
    <w:rPr>
      <w:sz w:val="24"/>
    </w:rPr>
  </w:style>
  <w:style w:type="paragraph" w:customStyle="1" w:styleId="373">
    <w:name w:val="正文2"/>
    <w:basedOn w:val="1"/>
    <w:link w:val="372"/>
    <w:qFormat/>
    <w:uiPriority w:val="0"/>
    <w:pPr>
      <w:spacing w:before="156" w:line="360" w:lineRule="auto"/>
      <w:ind w:firstLine="510" w:firstLineChars="200"/>
    </w:pPr>
    <w:rPr>
      <w:rFonts w:ascii="Calibri" w:hAnsi="Calibri"/>
      <w:kern w:val="0"/>
      <w:sz w:val="24"/>
      <w:szCs w:val="20"/>
    </w:rPr>
  </w:style>
  <w:style w:type="character" w:customStyle="1" w:styleId="374">
    <w:name w:val="标题 字符"/>
    <w:link w:val="41"/>
    <w:qFormat/>
    <w:uiPriority w:val="0"/>
    <w:rPr>
      <w:rFonts w:ascii="Arial" w:hAnsi="Arial" w:eastAsia="仿宋_GB2312"/>
      <w:b/>
      <w:bCs/>
      <w:sz w:val="36"/>
      <w:szCs w:val="32"/>
    </w:rPr>
  </w:style>
  <w:style w:type="character" w:customStyle="1" w:styleId="375">
    <w:name w:val="标题 Char1"/>
    <w:qFormat/>
    <w:uiPriority w:val="10"/>
    <w:rPr>
      <w:rFonts w:ascii="Cambria" w:hAnsi="Cambria" w:eastAsia="宋体" w:cs="Times New Roman"/>
      <w:b/>
      <w:bCs/>
      <w:sz w:val="32"/>
      <w:szCs w:val="32"/>
    </w:rPr>
  </w:style>
  <w:style w:type="character" w:customStyle="1" w:styleId="376">
    <w:name w:val="font101"/>
    <w:qFormat/>
    <w:uiPriority w:val="0"/>
    <w:rPr>
      <w:rFonts w:hint="default" w:ascii="Times New Roman" w:hAnsi="Times New Roman" w:cs="Times New Roman"/>
      <w:color w:val="000000"/>
      <w:sz w:val="21"/>
      <w:szCs w:val="21"/>
      <w:u w:val="none"/>
    </w:rPr>
  </w:style>
  <w:style w:type="character" w:customStyle="1" w:styleId="377">
    <w:name w:val="页脚 字符"/>
    <w:qFormat/>
    <w:uiPriority w:val="0"/>
  </w:style>
  <w:style w:type="character" w:customStyle="1" w:styleId="378">
    <w:name w:val="param-name1"/>
    <w:qFormat/>
    <w:uiPriority w:val="0"/>
    <w:rPr>
      <w:rFonts w:cs="Times New Roman"/>
      <w:b/>
    </w:rPr>
  </w:style>
  <w:style w:type="character" w:customStyle="1" w:styleId="379">
    <w:name w:val="font91"/>
    <w:qFormat/>
    <w:uiPriority w:val="0"/>
    <w:rPr>
      <w:rFonts w:hint="eastAsia" w:ascii="宋体" w:hAnsi="宋体" w:eastAsia="宋体" w:cs="宋体"/>
      <w:color w:val="000000"/>
      <w:sz w:val="21"/>
      <w:szCs w:val="21"/>
      <w:u w:val="none"/>
    </w:rPr>
  </w:style>
  <w:style w:type="character" w:customStyle="1" w:styleId="380">
    <w:name w:val="font71"/>
    <w:qFormat/>
    <w:uiPriority w:val="0"/>
    <w:rPr>
      <w:rFonts w:hint="eastAsia" w:ascii="宋体" w:hAnsi="宋体" w:eastAsia="宋体" w:cs="宋体"/>
      <w:color w:val="000000"/>
      <w:sz w:val="21"/>
      <w:szCs w:val="21"/>
      <w:u w:val="none"/>
    </w:rPr>
  </w:style>
  <w:style w:type="character" w:customStyle="1" w:styleId="381">
    <w:name w:val="15"/>
    <w:qFormat/>
    <w:uiPriority w:val="0"/>
    <w:rPr>
      <w:rFonts w:hint="eastAsia" w:ascii="宋体" w:hAnsi="宋体" w:eastAsia="宋体" w:cs="宋体"/>
      <w:color w:val="000000"/>
      <w:sz w:val="22"/>
      <w:szCs w:val="22"/>
    </w:rPr>
  </w:style>
  <w:style w:type="character" w:customStyle="1" w:styleId="382">
    <w:name w:val="font21"/>
    <w:qFormat/>
    <w:uiPriority w:val="0"/>
    <w:rPr>
      <w:rFonts w:ascii="Arial" w:hAnsi="Arial" w:cs="Arial"/>
      <w:color w:val="000000"/>
      <w:sz w:val="21"/>
      <w:szCs w:val="21"/>
      <w:u w:val="none"/>
    </w:rPr>
  </w:style>
  <w:style w:type="character" w:customStyle="1" w:styleId="383">
    <w:name w:val="font161"/>
    <w:qFormat/>
    <w:uiPriority w:val="0"/>
    <w:rPr>
      <w:rFonts w:hint="default" w:ascii="Times New Roman" w:hAnsi="Times New Roman" w:cs="Times New Roman"/>
      <w:color w:val="000000"/>
      <w:sz w:val="18"/>
      <w:szCs w:val="18"/>
      <w:u w:val="none"/>
    </w:rPr>
  </w:style>
  <w:style w:type="character" w:customStyle="1" w:styleId="384">
    <w:name w:val="font41"/>
    <w:qFormat/>
    <w:uiPriority w:val="0"/>
    <w:rPr>
      <w:rFonts w:hint="eastAsia" w:ascii="宋体" w:hAnsi="宋体" w:eastAsia="宋体" w:cs="宋体"/>
      <w:color w:val="FF0000"/>
      <w:sz w:val="28"/>
      <w:szCs w:val="28"/>
      <w:u w:val="none"/>
    </w:rPr>
  </w:style>
  <w:style w:type="character" w:customStyle="1" w:styleId="385">
    <w:name w:val="apple-converted-space"/>
    <w:basedOn w:val="47"/>
    <w:qFormat/>
    <w:uiPriority w:val="0"/>
  </w:style>
  <w:style w:type="character" w:customStyle="1" w:styleId="386">
    <w:name w:val="font151"/>
    <w:qFormat/>
    <w:uiPriority w:val="0"/>
    <w:rPr>
      <w:rFonts w:hint="default" w:ascii="Times New Roman" w:hAnsi="Times New Roman" w:cs="Times New Roman"/>
      <w:color w:val="000000"/>
      <w:sz w:val="21"/>
      <w:szCs w:val="21"/>
      <w:u w:val="none"/>
    </w:rPr>
  </w:style>
  <w:style w:type="paragraph" w:customStyle="1" w:styleId="38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8">
    <w:name w:val="Fließtext"/>
    <w:basedOn w:val="1"/>
    <w:qFormat/>
    <w:uiPriority w:val="0"/>
    <w:pPr>
      <w:overflowPunct w:val="0"/>
      <w:autoSpaceDE w:val="0"/>
      <w:autoSpaceDN w:val="0"/>
      <w:adjustRightInd w:val="0"/>
      <w:textAlignment w:val="baseline"/>
    </w:pPr>
    <w:rPr>
      <w:kern w:val="28"/>
      <w:szCs w:val="20"/>
    </w:rPr>
  </w:style>
  <w:style w:type="paragraph" w:customStyle="1" w:styleId="389">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character" w:customStyle="1" w:styleId="390">
    <w:name w:val="fontstyle01"/>
    <w:qFormat/>
    <w:uiPriority w:val="0"/>
    <w:rPr>
      <w:rFonts w:hint="eastAsia" w:ascii="宋体" w:hAnsi="宋体" w:eastAsia="宋体"/>
      <w:color w:val="000000"/>
      <w:sz w:val="22"/>
      <w:szCs w:val="22"/>
    </w:rPr>
  </w:style>
  <w:style w:type="paragraph" w:customStyle="1" w:styleId="39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92">
    <w:name w:val="D&amp;L"/>
    <w:basedOn w:val="29"/>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table" w:customStyle="1" w:styleId="393">
    <w:name w:val="网格型1"/>
    <w:basedOn w:val="4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4">
    <w:name w:val="Char Char Char Char Char Char Char1 Char"/>
    <w:basedOn w:val="1"/>
    <w:qFormat/>
    <w:uiPriority w:val="0"/>
    <w:rPr>
      <w:rFonts w:ascii="Arial" w:hAnsi="Arial" w:cs="Arial"/>
      <w:sz w:val="24"/>
      <w:szCs w:val="20"/>
    </w:rPr>
  </w:style>
  <w:style w:type="paragraph" w:customStyle="1" w:styleId="395">
    <w:name w:val="_Style 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此正文"/>
    <w:basedOn w:val="1"/>
    <w:qFormat/>
    <w:uiPriority w:val="0"/>
    <w:pPr>
      <w:spacing w:line="360" w:lineRule="auto"/>
      <w:ind w:firstLine="200" w:firstLineChars="200"/>
    </w:pPr>
    <w:rPr>
      <w:sz w:val="24"/>
    </w:rPr>
  </w:style>
  <w:style w:type="paragraph" w:customStyle="1" w:styleId="397">
    <w:name w:val="p20"/>
    <w:basedOn w:val="1"/>
    <w:qFormat/>
    <w:uiPriority w:val="0"/>
    <w:pPr>
      <w:spacing w:line="360" w:lineRule="auto"/>
    </w:pPr>
    <w:rPr>
      <w:kern w:val="0"/>
      <w:szCs w:val="21"/>
    </w:rPr>
  </w:style>
  <w:style w:type="paragraph" w:customStyle="1" w:styleId="398">
    <w:name w:val="p16"/>
    <w:basedOn w:val="1"/>
    <w:qFormat/>
    <w:uiPriority w:val="0"/>
    <w:rPr>
      <w:kern w:val="0"/>
      <w:szCs w:val="21"/>
    </w:rPr>
  </w:style>
  <w:style w:type="paragraph" w:customStyle="1" w:styleId="399">
    <w:name w:val="*正文"/>
    <w:basedOn w:val="1"/>
    <w:qFormat/>
    <w:uiPriority w:val="0"/>
    <w:pPr>
      <w:widowControl/>
      <w:ind w:firstLine="200" w:firstLineChars="200"/>
    </w:pPr>
    <w:rPr>
      <w:rFonts w:ascii="仿宋_GB2312" w:eastAsia="仿宋_GB2312" w:cs="仿宋_GB2312"/>
      <w:sz w:val="24"/>
    </w:rPr>
  </w:style>
  <w:style w:type="paragraph" w:customStyle="1" w:styleId="400">
    <w:name w:val="正文（首行缩进2字符）"/>
    <w:basedOn w:val="1"/>
    <w:qFormat/>
    <w:uiPriority w:val="0"/>
    <w:pPr>
      <w:snapToGrid w:val="0"/>
      <w:ind w:firstLine="461" w:firstLineChars="192"/>
    </w:pPr>
    <w:rPr>
      <w:kern w:val="0"/>
      <w:sz w:val="24"/>
      <w:szCs w:val="28"/>
    </w:rPr>
  </w:style>
  <w:style w:type="paragraph" w:customStyle="1" w:styleId="401">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402">
    <w:name w:val="列出段落 Char1"/>
    <w:qFormat/>
    <w:locked/>
    <w:uiPriority w:val="34"/>
    <w:rPr>
      <w:rFonts w:ascii="Times New Roman" w:hAnsi="Times New Roman" w:cs="Times New Roman"/>
      <w:kern w:val="2"/>
      <w:sz w:val="21"/>
      <w:szCs w:val="24"/>
    </w:rPr>
  </w:style>
  <w:style w:type="character" w:customStyle="1" w:styleId="403">
    <w:name w:val="列出段落 字符"/>
    <w:qFormat/>
    <w:locked/>
    <w:uiPriority w:val="34"/>
    <w:rPr>
      <w:rFonts w:ascii="Calibri" w:hAnsi="Calibri" w:eastAsia="宋体" w:cs="Times New Roman"/>
      <w:kern w:val="2"/>
      <w:sz w:val="21"/>
      <w:szCs w:val="22"/>
    </w:rPr>
  </w:style>
  <w:style w:type="character" w:customStyle="1" w:styleId="404">
    <w:name w:val="正文缩进 字符1"/>
    <w:qFormat/>
    <w:uiPriority w:val="99"/>
    <w:rPr>
      <w:rFonts w:ascii="Arial" w:hAnsi="Arial" w:eastAsia="宋体" w:cs="Times New Roman"/>
      <w:kern w:val="2"/>
      <w:sz w:val="24"/>
    </w:rPr>
  </w:style>
  <w:style w:type="character" w:customStyle="1" w:styleId="405">
    <w:name w:val="Hyperlink.0"/>
    <w:qFormat/>
    <w:uiPriority w:val="0"/>
    <w:rPr>
      <w:rFonts w:ascii="宋体" w:hAnsi="宋体" w:eastAsia="宋体" w:cs="宋体"/>
      <w:lang w:val="zh-TW" w:eastAsia="zh-TW"/>
    </w:rPr>
  </w:style>
  <w:style w:type="paragraph" w:customStyle="1" w:styleId="406">
    <w:name w:val="wgy正文"/>
    <w:basedOn w:val="1"/>
    <w:qFormat/>
    <w:uiPriority w:val="0"/>
    <w:pPr>
      <w:spacing w:line="360" w:lineRule="auto"/>
      <w:ind w:firstLine="200" w:firstLineChars="200"/>
    </w:pPr>
    <w:rPr>
      <w:rFonts w:asciiTheme="minorHAnsi" w:hAnsiTheme="minorHAnsi" w:eastAsiaTheme="minorEastAsia" w:cstheme="minorBidi"/>
      <w:sz w:val="24"/>
      <w:szCs w:val="22"/>
    </w:rPr>
  </w:style>
  <w:style w:type="character" w:customStyle="1" w:styleId="407">
    <w:name w:val="题注 字符"/>
    <w:link w:val="16"/>
    <w:qFormat/>
    <w:uiPriority w:val="35"/>
    <w:rPr>
      <w:rFonts w:ascii="Arial" w:hAnsi="Arial" w:eastAsia="黑体" w:cs="Arial"/>
      <w:kern w:val="2"/>
    </w:rPr>
  </w:style>
  <w:style w:type="character" w:customStyle="1" w:styleId="408">
    <w:name w:val="bookmark-item"/>
    <w:basedOn w:val="47"/>
    <w:qFormat/>
    <w:uiPriority w:val="0"/>
  </w:style>
  <w:style w:type="character" w:customStyle="1" w:styleId="409">
    <w:name w:val="标题 5 Char1"/>
    <w:qFormat/>
    <w:uiPriority w:val="0"/>
    <w:rPr>
      <w:rFonts w:ascii="Times New Roman" w:hAnsi="Times New Roman" w:eastAsia="宋体" w:cs="Times New Roman"/>
      <w:b/>
      <w:bCs/>
      <w:sz w:val="28"/>
      <w:szCs w:val="28"/>
    </w:rPr>
  </w:style>
  <w:style w:type="paragraph" w:customStyle="1" w:styleId="410">
    <w:name w:val="text-tag"/>
    <w:basedOn w:val="1"/>
    <w:qFormat/>
    <w:uiPriority w:val="0"/>
    <w:pPr>
      <w:widowControl/>
      <w:spacing w:before="100" w:beforeAutospacing="1" w:after="100" w:afterAutospacing="1"/>
      <w:jc w:val="left"/>
    </w:pPr>
    <w:rPr>
      <w:rFonts w:ascii="宋体" w:hAnsi="宋体" w:eastAsia="仿宋_GB2312" w:cs="宋体"/>
      <w:kern w:val="0"/>
      <w:sz w:val="24"/>
      <w:szCs w:val="32"/>
    </w:rPr>
  </w:style>
  <w:style w:type="paragraph" w:customStyle="1" w:styleId="411">
    <w:name w:val="彩色列表 - 着色 12"/>
    <w:basedOn w:val="1"/>
    <w:qFormat/>
    <w:uiPriority w:val="34"/>
    <w:pPr>
      <w:ind w:firstLine="420" w:firstLineChars="200"/>
    </w:pPr>
  </w:style>
  <w:style w:type="paragraph" w:customStyle="1" w:styleId="412">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41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414">
    <w:name w:val="表格"/>
    <w:link w:val="415"/>
    <w:qFormat/>
    <w:uiPriority w:val="0"/>
    <w:pPr>
      <w:adjustRightInd w:val="0"/>
      <w:snapToGrid w:val="0"/>
      <w:jc w:val="center"/>
    </w:pPr>
    <w:rPr>
      <w:rFonts w:ascii="宋体" w:hAnsi="宋体" w:eastAsia="宋体" w:cs="Times New Roman"/>
      <w:bCs/>
      <w:kern w:val="2"/>
      <w:sz w:val="21"/>
      <w:szCs w:val="21"/>
      <w:lang w:val="zh-CN" w:eastAsia="zh-CN" w:bidi="ar-SA"/>
    </w:rPr>
  </w:style>
  <w:style w:type="character" w:customStyle="1" w:styleId="415">
    <w:name w:val="表格 Char Char"/>
    <w:link w:val="414"/>
    <w:qFormat/>
    <w:locked/>
    <w:uiPriority w:val="0"/>
    <w:rPr>
      <w:rFonts w:ascii="宋体" w:hAnsi="宋体"/>
      <w:bCs/>
      <w:kern w:val="2"/>
      <w:sz w:val="21"/>
      <w:szCs w:val="21"/>
      <w:lang w:val="zh-CN"/>
    </w:rPr>
  </w:style>
  <w:style w:type="character" w:customStyle="1" w:styleId="416">
    <w:name w:val="font51"/>
    <w:basedOn w:val="47"/>
    <w:qFormat/>
    <w:uiPriority w:val="0"/>
    <w:rPr>
      <w:rFonts w:hint="eastAsia" w:ascii="宋体" w:hAnsi="宋体" w:eastAsia="宋体" w:cs="宋体"/>
      <w:b/>
      <w:color w:val="000000"/>
      <w:sz w:val="21"/>
      <w:szCs w:val="21"/>
      <w:u w:val="none"/>
    </w:rPr>
  </w:style>
  <w:style w:type="character" w:customStyle="1" w:styleId="417">
    <w:name w:val="font112"/>
    <w:basedOn w:val="47"/>
    <w:qFormat/>
    <w:uiPriority w:val="0"/>
    <w:rPr>
      <w:rFonts w:hint="eastAsia" w:ascii="宋体" w:hAnsi="宋体" w:eastAsia="宋体" w:cs="宋体"/>
      <w:b/>
      <w:color w:val="0000FF"/>
      <w:sz w:val="21"/>
      <w:szCs w:val="21"/>
      <w:u w:val="none"/>
    </w:rPr>
  </w:style>
  <w:style w:type="character" w:customStyle="1" w:styleId="418">
    <w:name w:val="font121"/>
    <w:basedOn w:val="47"/>
    <w:qFormat/>
    <w:uiPriority w:val="0"/>
    <w:rPr>
      <w:rFonts w:hint="eastAsia" w:ascii="宋体" w:hAnsi="宋体" w:eastAsia="宋体" w:cs="宋体"/>
      <w:color w:val="0000FF"/>
      <w:sz w:val="21"/>
      <w:szCs w:val="21"/>
      <w:u w:val="none"/>
    </w:rPr>
  </w:style>
  <w:style w:type="paragraph" w:styleId="419">
    <w:name w:val="No Spacing"/>
    <w:qFormat/>
    <w:uiPriority w:val="1"/>
    <w:rPr>
      <w:rFonts w:ascii="宋体" w:hAnsi="宋体" w:eastAsia="宋体" w:cs="宋体"/>
      <w:sz w:val="24"/>
      <w:szCs w:val="24"/>
      <w:lang w:val="en-US" w:eastAsia="zh-CN" w:bidi="ar-SA"/>
    </w:rPr>
  </w:style>
  <w:style w:type="paragraph" w:customStyle="1" w:styleId="420">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421">
    <w:name w:val="UserStyle_64"/>
    <w:qFormat/>
    <w:uiPriority w:val="0"/>
    <w:pPr>
      <w:textAlignment w:val="baseline"/>
    </w:pPr>
    <w:rPr>
      <w:rFonts w:ascii="Times New Roman" w:hAnsi="Times New Roman" w:eastAsia="宋体" w:cs="Times New Roman"/>
      <w:color w:val="000000"/>
      <w:sz w:val="24"/>
      <w:szCs w:val="24"/>
      <w:lang w:val="en-US" w:eastAsia="zh-CN" w:bidi="ar-SA"/>
    </w:rPr>
  </w:style>
  <w:style w:type="character" w:customStyle="1" w:styleId="42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27849</Words>
  <Characters>29211</Characters>
  <Lines>436</Lines>
  <Paragraphs>122</Paragraphs>
  <TotalTime>12</TotalTime>
  <ScaleCrop>false</ScaleCrop>
  <LinksUpToDate>false</LinksUpToDate>
  <CharactersWithSpaces>33724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2023-11-09T07:51:00Z</dcterms:created>
  <dc:creator>50898</dc:creator>
  <cp:lastModifiedBy>WPS_totem</cp:lastModifiedBy>
  <cp:lastPrinted>2024-07-16T10:10:00Z</cp:lastPrinted>
  <dcterms:modified xsi:type="dcterms:W3CDTF">2024-07-16T10:30:36Z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8777BE3BDAA541848A089F0741F5BB23_13</vt:lpwstr>
  </property>
  <property fmtid="{D5CDD505-2E9C-101B-9397-08002B2CF9AE}" pid="4" name="woTemplateTypoMode" linkTarget="0">
    <vt:lpwstr>web</vt:lpwstr>
  </property>
  <property fmtid="{D5CDD505-2E9C-101B-9397-08002B2CF9AE}" pid="5" name="woTemplate" linkTarget="0">
    <vt:i4>1</vt:i4>
  </property>
</Properties>
</file>