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DC05E">
      <w:pPr>
        <w:adjustRightInd/>
        <w:spacing w:line="360" w:lineRule="auto"/>
        <w:ind w:firstLine="420"/>
        <w:jc w:val="right"/>
        <w:rPr>
          <w:rFonts w:hint="eastAsia" w:ascii="宋体" w:hAnsi="宋体" w:cs="宋体"/>
          <w:b/>
          <w:color w:val="auto"/>
          <w:sz w:val="28"/>
          <w:szCs w:val="28"/>
          <w:highlight w:val="none"/>
          <w:lang w:val="en-US" w:eastAsia="zh-CN"/>
        </w:rPr>
      </w:pPr>
    </w:p>
    <w:p w14:paraId="6E185375">
      <w:pPr>
        <w:adjustRightInd/>
        <w:spacing w:line="360" w:lineRule="auto"/>
        <w:ind w:firstLine="420"/>
        <w:jc w:val="right"/>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drawing>
          <wp:inline distT="0" distB="0" distL="114300" distR="114300">
            <wp:extent cx="5902960" cy="7436485"/>
            <wp:effectExtent l="0" t="0" r="2540" b="12065"/>
            <wp:docPr id="14" name="图片 14" descr="微信图片_20240830125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40830125423"/>
                    <pic:cNvPicPr>
                      <a:picLocks noChangeAspect="1"/>
                    </pic:cNvPicPr>
                  </pic:nvPicPr>
                  <pic:blipFill>
                    <a:blip r:embed="rId26"/>
                    <a:stretch>
                      <a:fillRect/>
                    </a:stretch>
                  </pic:blipFill>
                  <pic:spPr>
                    <a:xfrm>
                      <a:off x="0" y="0"/>
                      <a:ext cx="5902960" cy="7436485"/>
                    </a:xfrm>
                    <a:prstGeom prst="rect">
                      <a:avLst/>
                    </a:prstGeom>
                  </pic:spPr>
                </pic:pic>
              </a:graphicData>
            </a:graphic>
          </wp:inline>
        </w:drawing>
      </w:r>
    </w:p>
    <w:p w14:paraId="352E2B89">
      <w:pPr>
        <w:snapToGrid w:val="0"/>
        <w:spacing w:line="360" w:lineRule="auto"/>
        <w:jc w:val="center"/>
        <w:rPr>
          <w:rFonts w:hint="eastAsia" w:ascii="宋体" w:hAnsi="宋体" w:cs="宋体"/>
          <w:color w:val="auto"/>
          <w:sz w:val="30"/>
          <w:szCs w:val="30"/>
          <w:highlight w:val="none"/>
          <w:lang w:val="en-US" w:eastAsia="zh-CN"/>
        </w:rPr>
      </w:pPr>
      <w:r>
        <w:rPr>
          <w:rFonts w:hint="eastAsia" w:ascii="宋体" w:hAnsi="宋体" w:cs="宋体"/>
          <w:color w:val="auto"/>
          <w:sz w:val="30"/>
          <w:szCs w:val="30"/>
          <w:highlight w:val="none"/>
          <w:lang w:val="en-US" w:eastAsia="zh-CN"/>
        </w:rPr>
        <w:t xml:space="preserve">                            </w:t>
      </w:r>
    </w:p>
    <w:p w14:paraId="75DC2711">
      <w:pPr>
        <w:snapToGrid w:val="0"/>
        <w:spacing w:line="360" w:lineRule="auto"/>
        <w:jc w:val="center"/>
        <w:rPr>
          <w:rFonts w:hint="eastAsia" w:ascii="宋体" w:hAnsi="宋体" w:cs="宋体"/>
          <w:color w:val="auto"/>
          <w:sz w:val="30"/>
          <w:szCs w:val="30"/>
          <w:highlight w:val="none"/>
          <w:lang w:val="en-US" w:eastAsia="zh-CN"/>
        </w:rPr>
      </w:pPr>
    </w:p>
    <w:p w14:paraId="0EDA4846">
      <w:pPr>
        <w:snapToGrid w:val="0"/>
        <w:spacing w:line="360" w:lineRule="auto"/>
        <w:jc w:val="center"/>
        <w:rPr>
          <w:rFonts w:hint="eastAsia" w:ascii="宋体" w:hAnsi="宋体" w:cs="宋体"/>
          <w:color w:val="auto"/>
          <w:sz w:val="30"/>
          <w:szCs w:val="30"/>
          <w:highlight w:val="none"/>
          <w:lang w:val="en-US" w:eastAsia="zh-CN"/>
        </w:rPr>
      </w:pPr>
    </w:p>
    <w:p w14:paraId="6140D47F">
      <w:pPr>
        <w:rPr>
          <w:rFonts w:ascii="宋体" w:hAnsi="宋体" w:cs="宋体"/>
          <w:color w:val="auto"/>
          <w:sz w:val="24"/>
          <w:highlight w:val="none"/>
        </w:rPr>
      </w:pPr>
      <w:r>
        <w:rPr>
          <w:rFonts w:hint="eastAsia" w:ascii="宋体" w:hAnsi="宋体" w:cs="宋体"/>
          <w:color w:val="auto"/>
          <w:sz w:val="30"/>
          <w:szCs w:val="30"/>
          <w:highlight w:val="none"/>
          <w:lang w:val="en-US" w:eastAsia="zh-CN"/>
        </w:rPr>
        <w:t xml:space="preserve">        </w:t>
      </w:r>
    </w:p>
    <w:p w14:paraId="3150D735">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5605B56">
      <w:pPr>
        <w:pStyle w:val="638"/>
        <w:outlineLvl w:val="9"/>
        <w:rPr>
          <w:color w:val="auto"/>
          <w:highlight w:val="none"/>
        </w:rPr>
        <w:sectPr>
          <w:headerReference r:id="rId3" w:type="default"/>
          <w:footerReference r:id="rId4" w:type="even"/>
          <w:pgSz w:w="11906" w:h="16838"/>
          <w:pgMar w:top="680" w:right="1304" w:bottom="468" w:left="1304" w:header="851" w:footer="992" w:gutter="0"/>
          <w:pgBorders>
            <w:top w:val="none" w:sz="0" w:space="0"/>
            <w:left w:val="none" w:sz="0" w:space="0"/>
            <w:bottom w:val="none" w:sz="0" w:space="0"/>
            <w:right w:val="none" w:sz="0" w:space="0"/>
          </w:pgBorders>
          <w:cols w:space="720" w:num="1"/>
          <w:titlePg/>
          <w:docGrid w:linePitch="312" w:charSpace="0"/>
        </w:sectPr>
      </w:pPr>
    </w:p>
    <w:p w14:paraId="12D04BB1">
      <w:pPr>
        <w:pStyle w:val="638"/>
        <w:outlineLvl w:val="9"/>
        <w:rPr>
          <w:color w:val="auto"/>
          <w:highlight w:val="none"/>
        </w:rPr>
        <w:sectPr>
          <w:pgSz w:w="11906" w:h="16838"/>
          <w:pgMar w:top="680" w:right="1304" w:bottom="468" w:left="1304" w:header="851" w:footer="992" w:gutter="0"/>
          <w:pgBorders>
            <w:top w:val="none" w:sz="0" w:space="0"/>
            <w:left w:val="none" w:sz="0" w:space="0"/>
            <w:bottom w:val="none" w:sz="0" w:space="0"/>
            <w:right w:val="none" w:sz="0" w:space="0"/>
          </w:pgBorders>
          <w:cols w:space="720" w:num="1"/>
          <w:titlePg/>
          <w:docGrid w:linePitch="312" w:charSpace="0"/>
        </w:sectPr>
      </w:pPr>
    </w:p>
    <w:p w14:paraId="09D8778E">
      <w:pPr>
        <w:pStyle w:val="638"/>
        <w:outlineLvl w:val="9"/>
        <w:rPr>
          <w:color w:val="auto"/>
          <w:highlight w:val="none"/>
        </w:rPr>
      </w:pPr>
    </w:p>
    <w:p w14:paraId="09B08AB2">
      <w:pPr>
        <w:pStyle w:val="638"/>
        <w:outlineLvl w:val="9"/>
        <w:rPr>
          <w:color w:val="auto"/>
          <w:highlight w:val="none"/>
        </w:rPr>
      </w:pPr>
    </w:p>
    <w:p w14:paraId="39D45EA7">
      <w:pPr>
        <w:spacing w:before="120" w:beforeLines="50" w:after="120" w:afterLines="50" w:line="360" w:lineRule="auto"/>
        <w:jc w:val="center"/>
        <w:rPr>
          <w:rFonts w:ascii="宋体" w:hAnsi="宋体" w:cs="宋体"/>
          <w:b/>
          <w:bCs/>
          <w:color w:val="auto"/>
          <w:sz w:val="44"/>
          <w:szCs w:val="44"/>
          <w:highlight w:val="none"/>
        </w:rPr>
      </w:pPr>
      <w:bookmarkStart w:id="1" w:name="_Hlt91233176"/>
      <w:bookmarkEnd w:id="1"/>
      <w:bookmarkStart w:id="2" w:name="_Toc91899869"/>
      <w:r>
        <w:rPr>
          <w:rFonts w:hint="eastAsia" w:ascii="宋体" w:hAnsi="宋体" w:cs="宋体"/>
          <w:b/>
          <w:bCs/>
          <w:color w:val="auto"/>
          <w:sz w:val="44"/>
          <w:szCs w:val="44"/>
          <w:highlight w:val="none"/>
        </w:rPr>
        <w:t>目  录</w:t>
      </w:r>
    </w:p>
    <w:p w14:paraId="3FC82BA2">
      <w:pPr>
        <w:pStyle w:val="43"/>
        <w:tabs>
          <w:tab w:val="right" w:leader="dot" w:pos="9298"/>
        </w:tabs>
        <w:spacing w:before="120" w:beforeLines="50" w:after="120" w:afterLines="50"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"_Toc24669" </w:instrText>
      </w:r>
      <w:r>
        <w:rPr>
          <w:color w:val="auto"/>
          <w:highlight w:val="none"/>
        </w:rPr>
        <w:fldChar w:fldCharType="separate"/>
      </w:r>
      <w:r>
        <w:rPr>
          <w:rFonts w:hint="eastAsia" w:ascii="宋体" w:hAnsi="宋体" w:cs="宋体"/>
          <w:b/>
          <w:bCs/>
          <w:color w:val="auto"/>
          <w:sz w:val="32"/>
          <w:szCs w:val="32"/>
          <w:highlight w:val="none"/>
        </w:rPr>
        <w:t>第一部分 招标公告</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_Toc24669 \h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1</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14:paraId="5576FCA9">
      <w:pPr>
        <w:pStyle w:val="43"/>
        <w:tabs>
          <w:tab w:val="right" w:leader="dot" w:pos="9298"/>
        </w:tabs>
        <w:spacing w:before="120" w:beforeLines="50" w:after="120" w:afterLines="50" w:line="36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"_Toc21580" </w:instrText>
      </w:r>
      <w:r>
        <w:rPr>
          <w:color w:val="auto"/>
          <w:highlight w:val="none"/>
        </w:rPr>
        <w:fldChar w:fldCharType="separate"/>
      </w:r>
      <w:r>
        <w:rPr>
          <w:rFonts w:hint="eastAsia" w:ascii="宋体" w:hAnsi="宋体" w:cs="宋体"/>
          <w:b/>
          <w:bCs/>
          <w:color w:val="auto"/>
          <w:sz w:val="32"/>
          <w:szCs w:val="32"/>
          <w:highlight w:val="none"/>
        </w:rPr>
        <w:t>第二部分 供应商须知</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_Toc21580 \h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6</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14:paraId="312F5E74">
      <w:pPr>
        <w:pStyle w:val="43"/>
        <w:tabs>
          <w:tab w:val="right" w:leader="dot" w:pos="9298"/>
        </w:tabs>
        <w:spacing w:before="120" w:beforeLines="50" w:after="120" w:afterLines="50" w:line="36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"_Toc7512" </w:instrText>
      </w:r>
      <w:r>
        <w:rPr>
          <w:color w:val="auto"/>
          <w:highlight w:val="none"/>
        </w:rPr>
        <w:fldChar w:fldCharType="separate"/>
      </w:r>
      <w:r>
        <w:rPr>
          <w:rFonts w:hint="eastAsia" w:ascii="宋体" w:hAnsi="宋体" w:cs="宋体"/>
          <w:b/>
          <w:bCs/>
          <w:color w:val="auto"/>
          <w:sz w:val="32"/>
          <w:szCs w:val="32"/>
          <w:highlight w:val="none"/>
        </w:rPr>
        <w:t>第三部分 采购需求</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_Toc7512 \h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21</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14:paraId="432D82D2">
      <w:pPr>
        <w:pStyle w:val="43"/>
        <w:tabs>
          <w:tab w:val="right" w:leader="dot" w:pos="9298"/>
        </w:tabs>
        <w:spacing w:before="120" w:beforeLines="50" w:after="120" w:afterLines="50" w:line="36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"_Toc20574" </w:instrText>
      </w:r>
      <w:r>
        <w:rPr>
          <w:color w:val="auto"/>
          <w:highlight w:val="none"/>
        </w:rPr>
        <w:fldChar w:fldCharType="separate"/>
      </w:r>
      <w:r>
        <w:rPr>
          <w:rFonts w:hint="eastAsia" w:ascii="宋体" w:hAnsi="宋体" w:cs="宋体"/>
          <w:b/>
          <w:bCs/>
          <w:color w:val="auto"/>
          <w:sz w:val="32"/>
          <w:szCs w:val="32"/>
          <w:highlight w:val="none"/>
        </w:rPr>
        <w:t>第四部分 评标办法</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_Toc20574 \h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42</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14:paraId="113AD67E">
      <w:pPr>
        <w:pStyle w:val="43"/>
        <w:tabs>
          <w:tab w:val="right" w:leader="dot" w:pos="9298"/>
        </w:tabs>
        <w:spacing w:before="120" w:beforeLines="50" w:after="120" w:afterLines="50" w:line="36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"_Toc22205" </w:instrText>
      </w:r>
      <w:r>
        <w:rPr>
          <w:color w:val="auto"/>
          <w:highlight w:val="none"/>
        </w:rPr>
        <w:fldChar w:fldCharType="separate"/>
      </w:r>
      <w:r>
        <w:rPr>
          <w:rFonts w:hint="eastAsia" w:ascii="宋体" w:hAnsi="宋体" w:cs="宋体"/>
          <w:b/>
          <w:bCs/>
          <w:color w:val="auto"/>
          <w:sz w:val="32"/>
          <w:szCs w:val="32"/>
          <w:highlight w:val="none"/>
        </w:rPr>
        <w:t>第五部分 拟签订的合同文本</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_Toc22205 \h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50</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14:paraId="0796291E">
      <w:pPr>
        <w:pStyle w:val="43"/>
        <w:tabs>
          <w:tab w:val="right" w:leader="dot" w:pos="9298"/>
        </w:tabs>
        <w:spacing w:before="120" w:beforeLines="50" w:after="120" w:afterLines="50" w:line="360" w:lineRule="auto"/>
        <w:rPr>
          <w:rFonts w:hint="eastAsia" w:ascii="宋体" w:hAnsi="宋体" w:eastAsia="宋体" w:cs="宋体"/>
          <w:b/>
          <w:bCs/>
          <w:color w:val="auto"/>
          <w:sz w:val="32"/>
          <w:szCs w:val="32"/>
          <w:highlight w:val="none"/>
          <w:lang w:val="en-US" w:eastAsia="zh-CN"/>
        </w:rPr>
      </w:pPr>
      <w:r>
        <w:rPr>
          <w:color w:val="auto"/>
          <w:highlight w:val="none"/>
        </w:rPr>
        <w:fldChar w:fldCharType="begin"/>
      </w:r>
      <w:r>
        <w:rPr>
          <w:color w:val="auto"/>
          <w:highlight w:val="none"/>
        </w:rPr>
        <w:instrText xml:space="preserve"> HYPERLINK \l "_Toc18297" </w:instrText>
      </w:r>
      <w:r>
        <w:rPr>
          <w:color w:val="auto"/>
          <w:highlight w:val="none"/>
        </w:rPr>
        <w:fldChar w:fldCharType="separate"/>
      </w:r>
      <w:r>
        <w:rPr>
          <w:rFonts w:hint="eastAsia" w:ascii="宋体" w:hAnsi="宋体" w:cs="宋体"/>
          <w:b/>
          <w:bCs/>
          <w:color w:val="auto"/>
          <w:sz w:val="32"/>
          <w:szCs w:val="32"/>
          <w:highlight w:val="none"/>
        </w:rPr>
        <w:t>第六部分 应提交的有关格式范例</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lang w:val="en-US" w:eastAsia="zh-CN"/>
        </w:rPr>
        <w:t>5</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lang w:val="en-US" w:eastAsia="zh-CN"/>
        </w:rPr>
        <w:t>6</w:t>
      </w:r>
    </w:p>
    <w:p w14:paraId="6D9A0097">
      <w:pPr>
        <w:spacing w:before="120" w:beforeLines="50" w:after="120" w:afterLines="50" w:line="360" w:lineRule="auto"/>
        <w:ind w:firstLine="736" w:firstLineChars="229"/>
        <w:rPr>
          <w:rFonts w:ascii="宋体" w:hAnsi="宋体" w:cs="宋体"/>
          <w:color w:val="auto"/>
          <w:sz w:val="24"/>
          <w:highlight w:val="none"/>
        </w:rPr>
      </w:pPr>
      <w:r>
        <w:rPr>
          <w:rFonts w:hint="eastAsia" w:ascii="宋体" w:hAnsi="宋体" w:cs="宋体"/>
          <w:b/>
          <w:bCs/>
          <w:color w:val="auto"/>
          <w:sz w:val="32"/>
          <w:szCs w:val="32"/>
          <w:highlight w:val="none"/>
        </w:rPr>
        <w:fldChar w:fldCharType="end"/>
      </w:r>
    </w:p>
    <w:p w14:paraId="08BEFFAC">
      <w:pPr>
        <w:spacing w:line="360" w:lineRule="auto"/>
        <w:ind w:firstLine="549" w:firstLineChars="229"/>
        <w:rPr>
          <w:rFonts w:ascii="宋体" w:hAnsi="宋体" w:cs="宋体"/>
          <w:color w:val="auto"/>
          <w:sz w:val="24"/>
          <w:highlight w:val="none"/>
        </w:rPr>
      </w:pPr>
    </w:p>
    <w:p w14:paraId="3B3A5799">
      <w:pPr>
        <w:spacing w:line="360" w:lineRule="auto"/>
        <w:rPr>
          <w:rFonts w:ascii="宋体" w:hAnsi="宋体" w:cs="宋体"/>
          <w:color w:val="auto"/>
          <w:sz w:val="24"/>
          <w:highlight w:val="none"/>
        </w:rPr>
      </w:pPr>
    </w:p>
    <w:p w14:paraId="0711B120">
      <w:pPr>
        <w:rPr>
          <w:rFonts w:ascii="宋体" w:hAnsi="宋体" w:cs="宋体"/>
          <w:b/>
          <w:color w:val="auto"/>
          <w:sz w:val="36"/>
          <w:szCs w:val="36"/>
          <w:highlight w:val="none"/>
        </w:rPr>
      </w:pPr>
      <w:bookmarkStart w:id="3" w:name="第一部分"/>
      <w:r>
        <w:rPr>
          <w:rFonts w:hint="eastAsia" w:ascii="宋体" w:hAnsi="宋体" w:cs="宋体"/>
          <w:b/>
          <w:color w:val="auto"/>
          <w:sz w:val="36"/>
          <w:szCs w:val="36"/>
          <w:highlight w:val="none"/>
        </w:rPr>
        <w:br w:type="page"/>
      </w:r>
    </w:p>
    <w:bookmarkEnd w:id="2"/>
    <w:bookmarkEnd w:id="3"/>
    <w:p w14:paraId="1B943BA9">
      <w:pPr>
        <w:adjustRightInd/>
        <w:spacing w:line="360" w:lineRule="auto"/>
        <w:jc w:val="center"/>
        <w:outlineLvl w:val="0"/>
        <w:rPr>
          <w:rFonts w:ascii="宋体" w:hAnsi="宋体" w:cs="宋体"/>
          <w:b/>
          <w:color w:val="auto"/>
          <w:sz w:val="36"/>
          <w:szCs w:val="20"/>
          <w:highlight w:val="none"/>
        </w:rPr>
      </w:pPr>
      <w:bookmarkStart w:id="4" w:name="_Hlt74649545"/>
      <w:bookmarkEnd w:id="4"/>
      <w:bookmarkStart w:id="5" w:name="_Hlt74707423"/>
      <w:bookmarkEnd w:id="5"/>
      <w:bookmarkStart w:id="6" w:name="_Hlt74728647"/>
      <w:bookmarkEnd w:id="6"/>
      <w:bookmarkStart w:id="7" w:name="_Hlt74729822"/>
      <w:bookmarkEnd w:id="7"/>
      <w:bookmarkStart w:id="8" w:name="_Toc24669"/>
      <w:bookmarkStart w:id="9" w:name="第二部分"/>
      <w:bookmarkStart w:id="10" w:name="_Toc91899870"/>
      <w:bookmarkStart w:id="11" w:name="_Toc91899871"/>
    </w:p>
    <w:p w14:paraId="2326A0CA">
      <w:pPr>
        <w:pStyle w:val="5"/>
        <w:rPr>
          <w:color w:val="auto"/>
          <w:highlight w:val="none"/>
        </w:rPr>
        <w:sectPr>
          <w:pgSz w:w="11906" w:h="16838"/>
          <w:pgMar w:top="680" w:right="1304" w:bottom="468" w:left="1304" w:header="851" w:footer="992" w:gutter="0"/>
          <w:pgBorders>
            <w:top w:val="none" w:sz="0" w:space="0"/>
            <w:left w:val="none" w:sz="0" w:space="0"/>
            <w:bottom w:val="none" w:sz="0" w:space="0"/>
            <w:right w:val="none" w:sz="0" w:space="0"/>
          </w:pgBorders>
          <w:cols w:space="720" w:num="1"/>
          <w:titlePg/>
          <w:docGrid w:linePitch="312" w:charSpace="0"/>
        </w:sectPr>
      </w:pPr>
    </w:p>
    <w:p w14:paraId="28D6DCFE">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bookmarkEnd w:id="8"/>
    </w:p>
    <w:p w14:paraId="664E238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4BF3D87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宁波市江北区外送检测服务项目</w:t>
      </w:r>
      <w:r>
        <w:rPr>
          <w:rFonts w:hint="eastAsia" w:ascii="宋体" w:hAnsi="宋体" w:cs="宋体"/>
          <w:color w:val="auto"/>
          <w:sz w:val="24"/>
          <w:highlight w:val="none"/>
        </w:rPr>
        <w:t>招标项目的潜在供应商应在政采云平台（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rPr>
        <w:t>2024</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09</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23</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09</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BCDBB27">
      <w:pPr>
        <w:spacing w:line="360" w:lineRule="auto"/>
        <w:rPr>
          <w:rFonts w:ascii="宋体" w:hAnsi="宋体" w:cs="宋体"/>
          <w:b/>
          <w:color w:val="auto"/>
          <w:sz w:val="24"/>
          <w:highlight w:val="none"/>
        </w:rPr>
      </w:pPr>
      <w:r>
        <w:rPr>
          <w:rFonts w:hint="eastAsia" w:ascii="宋体" w:hAnsi="宋体" w:cs="宋体"/>
          <w:b/>
          <w:color w:val="auto"/>
          <w:sz w:val="24"/>
          <w:highlight w:val="none"/>
        </w:rPr>
        <w:t>一、项目基本情况</w:t>
      </w:r>
    </w:p>
    <w:p w14:paraId="5B7826A9">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rPr>
        <w:t xml:space="preserve">CBNB-20246440G </w:t>
      </w:r>
    </w:p>
    <w:p w14:paraId="686DF3B0">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宁波市江北区外送检测服务项目</w:t>
      </w:r>
    </w:p>
    <w:p w14:paraId="12E6AB40">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color w:val="auto"/>
          <w:sz w:val="24"/>
          <w:highlight w:val="none"/>
        </w:rPr>
        <w:t>15840000.00</w:t>
      </w:r>
    </w:p>
    <w:p w14:paraId="283CF481">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15840000.00</w:t>
      </w:r>
    </w:p>
    <w:p w14:paraId="1520A69C">
      <w:pPr>
        <w:pStyle w:val="5"/>
        <w:spacing w:line="360" w:lineRule="auto"/>
        <w:ind w:firstLine="480"/>
        <w:rPr>
          <w:rFonts w:hAnsi="宋体" w:cs="宋体"/>
          <w:b/>
          <w:color w:val="auto"/>
          <w:sz w:val="24"/>
          <w:highlight w:val="none"/>
        </w:rPr>
      </w:pPr>
      <w:r>
        <w:rPr>
          <w:rFonts w:hint="eastAsia" w:hAnsi="宋体" w:cs="宋体"/>
          <w:b/>
          <w:color w:val="auto"/>
          <w:sz w:val="24"/>
          <w:highlight w:val="none"/>
        </w:rPr>
        <w:t>采购需求：</w:t>
      </w:r>
    </w:p>
    <w:p w14:paraId="1ADEEC1E">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标项名称：</w:t>
      </w:r>
      <w:r>
        <w:rPr>
          <w:rFonts w:hint="eastAsia" w:hAnsi="宋体" w:cs="宋体"/>
          <w:color w:val="auto"/>
          <w:sz w:val="24"/>
          <w:highlight w:val="none"/>
        </w:rPr>
        <w:t>外送检测服务</w:t>
      </w:r>
    </w:p>
    <w:p w14:paraId="2D23CA4A">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数量：1项</w:t>
      </w:r>
    </w:p>
    <w:p w14:paraId="01E6E841">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预算金额（元）：</w:t>
      </w:r>
      <w:r>
        <w:rPr>
          <w:rFonts w:hint="eastAsia" w:hAnsi="宋体" w:cs="宋体"/>
          <w:color w:val="auto"/>
          <w:sz w:val="24"/>
          <w:highlight w:val="none"/>
        </w:rPr>
        <w:t>15840000.00</w:t>
      </w:r>
    </w:p>
    <w:p w14:paraId="0F5CEB8B">
      <w:pPr>
        <w:pStyle w:val="5"/>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简要规格描述或项目基本概况介绍、用途：生化、免疫以及其他医学检验项目外送检测服务，具体以招标文件“第三部分 采购需求”为准，供应商可点击本公告下方“浏览招标文件”查看采购需求。</w:t>
      </w:r>
    </w:p>
    <w:p w14:paraId="5469600D">
      <w:pPr>
        <w:pStyle w:val="5"/>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备注：1）本项目年度预算金额为1584.00万元/年；2)本项目采用投标折扣系数进行报价（以“浙江省医疗服务价格”为基准),具体详见招标文件“第二部分 供应商须知”；3）服务对象：宁波市江北区慈城镇中心卫生院等10家单位；4）组成联合体的家数（含联合体牵头人）不超过2家。</w:t>
      </w:r>
    </w:p>
    <w:p w14:paraId="430460E7">
      <w:pPr>
        <w:pStyle w:val="133"/>
        <w:spacing w:before="0"/>
        <w:ind w:firstLine="482"/>
        <w:rPr>
          <w:rFonts w:ascii="宋体" w:hAnsi="宋体" w:cs="宋体"/>
          <w:bCs/>
          <w:color w:val="auto"/>
          <w:szCs w:val="24"/>
          <w:highlight w:val="none"/>
        </w:rPr>
      </w:pPr>
      <w:r>
        <w:rPr>
          <w:rFonts w:hint="eastAsia" w:ascii="宋体" w:hAnsi="宋体" w:cs="宋体"/>
          <w:b/>
          <w:color w:val="auto"/>
          <w:highlight w:val="none"/>
        </w:rPr>
        <w:t>合同履约期限：</w:t>
      </w:r>
      <w:r>
        <w:rPr>
          <w:rFonts w:hint="eastAsia" w:ascii="宋体" w:hAnsi="宋体" w:cs="宋体"/>
          <w:bCs/>
          <w:color w:val="auto"/>
          <w:szCs w:val="24"/>
          <w:highlight w:val="none"/>
        </w:rPr>
        <w:t>本项目服务期三年，合同一年一签。根据中标人在合同履约期内按照履约、考核等情况决定是否续签。</w:t>
      </w:r>
    </w:p>
    <w:p w14:paraId="49035B4A">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Ansi="宋体" w:cs="宋体"/>
            <w:color w:val="auto"/>
            <w:kern w:val="0"/>
            <w:sz w:val="24"/>
            <w:highlight w:val="none"/>
          </w:rPr>
          <w:id w:val="481592451"/>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Segoe UI Symbol"/>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A57E31C">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264BB612">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2C28BB7">
      <w:pPr>
        <w:spacing w:line="360" w:lineRule="auto"/>
        <w:ind w:firstLine="48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w:t>
      </w:r>
    </w:p>
    <w:p w14:paraId="273E0F70">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0C05C2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sz w:val="24"/>
          <w:highlight w:val="none"/>
        </w:rPr>
        <w:t>无</w:t>
      </w:r>
    </w:p>
    <w:p w14:paraId="47D6E21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0237004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04AEB09">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367166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服务全部由符合政策要求的中小企业承接，提供中小企业声明函；</w:t>
      </w:r>
    </w:p>
    <w:p w14:paraId="0CFD214D">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94244983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71AF6F5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80314441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2F1EB9F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516A71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543377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0C8AD4B">
      <w:pPr>
        <w:spacing w:line="360" w:lineRule="auto"/>
        <w:rPr>
          <w:rFonts w:ascii="宋体" w:hAnsi="宋体" w:cs="宋体"/>
          <w:b/>
          <w:color w:val="auto"/>
          <w:sz w:val="24"/>
          <w:highlight w:val="none"/>
        </w:rPr>
      </w:pPr>
      <w:r>
        <w:rPr>
          <w:rFonts w:hint="eastAsia" w:ascii="宋体" w:hAnsi="宋体" w:cs="宋体"/>
          <w:b/>
          <w:color w:val="auto"/>
          <w:sz w:val="24"/>
          <w:highlight w:val="none"/>
        </w:rPr>
        <w:t>三、获取招标文件</w:t>
      </w:r>
    </w:p>
    <w:p w14:paraId="4D51D06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/至2024年</w:t>
      </w:r>
      <w:r>
        <w:rPr>
          <w:rFonts w:hint="eastAsia" w:ascii="宋体" w:hAnsi="宋体" w:cs="宋体"/>
          <w:color w:val="auto"/>
          <w:sz w:val="24"/>
          <w:highlight w:val="none"/>
          <w:lang w:val="en-US" w:eastAsia="zh-CN"/>
        </w:rPr>
        <w:t>09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日，每天上午00:00至12:00 ，下午12:00至23:59（北京时间，线上获取法定节假日均可，线下获取文件法定节假日除外）</w:t>
      </w:r>
    </w:p>
    <w:p w14:paraId="0E8F906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7D41F4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供应商登录政采云平台https://www.zcygov.cn/在线申请获取招标文件（进入“项目采购”应用，在获取招标文件菜单中选择项目，申请获取招标文件）。 </w:t>
      </w:r>
    </w:p>
    <w:p w14:paraId="1E8696F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4125514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3B55B9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26C6638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政采云平台（https://www.zcygov.cn/）</w:t>
      </w:r>
    </w:p>
    <w:p w14:paraId="4D797FC0">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525BE4E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08FF3A0">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D311C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F072748">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2283A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3DB99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78FB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56994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w:t>
      </w:r>
    </w:p>
    <w:p w14:paraId="2ECA12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2CDBE8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6BCC31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0E0550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（4）本招标公告中二、申请人的资格要求：第一条中的“重大税收违法案件当事人名单”即为“重大税收违法失信主体”。</w:t>
      </w:r>
    </w:p>
    <w:p w14:paraId="40555399">
      <w:pPr>
        <w:spacing w:line="360" w:lineRule="auto"/>
        <w:rPr>
          <w:rFonts w:ascii="宋体" w:hAnsi="宋体" w:cs="宋体"/>
          <w:color w:val="auto"/>
          <w:sz w:val="24"/>
          <w:highlight w:val="none"/>
        </w:rPr>
      </w:pPr>
      <w:r>
        <w:rPr>
          <w:rFonts w:hint="eastAsia" w:ascii="宋体" w:hAnsi="宋体" w:cs="宋体"/>
          <w:b/>
          <w:color w:val="auto"/>
          <w:sz w:val="24"/>
          <w:highlight w:val="none"/>
        </w:rPr>
        <w:t>七、对本次采购提出询问、质疑、投诉，请按以下方式联系</w:t>
      </w:r>
    </w:p>
    <w:p w14:paraId="713476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4055D02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称：宁波市江北区慈城镇中心卫生院</w:t>
      </w:r>
    </w:p>
    <w:p w14:paraId="68085E08">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rPr>
        <w:t>地    址：宁波市江北区慈城镇</w:t>
      </w:r>
      <w:r>
        <w:rPr>
          <w:rFonts w:hint="eastAsia" w:ascii="宋体" w:hAnsi="宋体" w:cs="宋体"/>
          <w:color w:val="auto"/>
          <w:sz w:val="24"/>
          <w:highlight w:val="none"/>
          <w:lang w:val="en-US" w:eastAsia="zh-CN"/>
        </w:rPr>
        <w:t>西门外路299号</w:t>
      </w:r>
    </w:p>
    <w:p w14:paraId="23D8E5C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p>
    <w:p w14:paraId="2450B26B">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朱老师</w:t>
      </w:r>
    </w:p>
    <w:p w14:paraId="7FD3CB81">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0574-87591290</w:t>
      </w:r>
    </w:p>
    <w:p w14:paraId="77BCFCEF">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汪老师</w:t>
      </w:r>
    </w:p>
    <w:p w14:paraId="2A3EA86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：0574-87528844</w:t>
      </w:r>
    </w:p>
    <w:p w14:paraId="602AA6DB">
      <w:pPr>
        <w:spacing w:line="360" w:lineRule="auto"/>
        <w:ind w:firstLine="480" w:firstLineChars="200"/>
        <w:rPr>
          <w:rFonts w:ascii="宋体" w:hAnsi="宋体" w:cs="宋体"/>
          <w:color w:val="auto"/>
          <w:sz w:val="24"/>
          <w:highlight w:val="none"/>
        </w:rPr>
      </w:pPr>
    </w:p>
    <w:p w14:paraId="77EF0A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14:paraId="31A574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称：宁波中基国际招标有限公司</w:t>
      </w:r>
    </w:p>
    <w:p w14:paraId="0E1172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址：宁波市鄞州区天童南路666号中基大厦19楼</w:t>
      </w:r>
    </w:p>
    <w:p w14:paraId="34FC47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真：0574-87425373</w:t>
      </w:r>
    </w:p>
    <w:p w14:paraId="4D37C2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项目联系人（询问）：周旭坤、蒋双乐、王近娜</w:t>
      </w:r>
    </w:p>
    <w:p w14:paraId="04DB91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项目联系方式（询问）：0574-87425380</w:t>
      </w:r>
    </w:p>
    <w:p w14:paraId="0F61AF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质疑联系人：王莹巧</w:t>
      </w:r>
    </w:p>
    <w:p w14:paraId="19FC62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质疑联系方式：0574-87425583</w:t>
      </w:r>
    </w:p>
    <w:p w14:paraId="5470B3CC">
      <w:pPr>
        <w:spacing w:line="360" w:lineRule="auto"/>
        <w:ind w:firstLine="480" w:firstLineChars="200"/>
        <w:rPr>
          <w:rFonts w:ascii="宋体" w:hAnsi="宋体" w:cs="宋体"/>
          <w:color w:val="auto"/>
          <w:sz w:val="24"/>
          <w:highlight w:val="none"/>
        </w:rPr>
      </w:pPr>
    </w:p>
    <w:p w14:paraId="07A4DF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3.同级政府采购监督管理部门</w:t>
      </w:r>
    </w:p>
    <w:p w14:paraId="21DCBB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名称：宁波市江北区财政局</w:t>
      </w:r>
    </w:p>
    <w:p w14:paraId="521FED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地址：宁波市江北区大庆南路181号</w:t>
      </w:r>
      <w:bookmarkStart w:id="412" w:name="_GoBack"/>
      <w:bookmarkEnd w:id="412"/>
    </w:p>
    <w:p w14:paraId="196241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张</w:t>
      </w:r>
      <w:r>
        <w:rPr>
          <w:rFonts w:hint="eastAsia" w:ascii="宋体" w:hAnsi="宋体" w:cs="宋体"/>
          <w:color w:val="auto"/>
          <w:sz w:val="24"/>
          <w:highlight w:val="none"/>
        </w:rPr>
        <w:t>老师</w:t>
      </w:r>
    </w:p>
    <w:p w14:paraId="7DC7818C">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监督投诉电话：0574-873880</w:t>
      </w:r>
      <w:r>
        <w:rPr>
          <w:rFonts w:hint="eastAsia" w:ascii="宋体" w:hAnsi="宋体" w:cs="宋体"/>
          <w:color w:val="auto"/>
          <w:sz w:val="24"/>
          <w:highlight w:val="none"/>
          <w:lang w:val="en-US" w:eastAsia="zh-CN"/>
        </w:rPr>
        <w:t>62</w:t>
      </w:r>
    </w:p>
    <w:p w14:paraId="76400D91">
      <w:pPr>
        <w:spacing w:line="360" w:lineRule="auto"/>
        <w:rPr>
          <w:rFonts w:ascii="宋体" w:hAnsi="宋体" w:cs="宋体"/>
          <w:color w:val="auto"/>
          <w:sz w:val="24"/>
          <w:highlight w:val="none"/>
        </w:rPr>
      </w:pPr>
    </w:p>
    <w:p w14:paraId="2E298187">
      <w:pPr>
        <w:spacing w:line="360" w:lineRule="auto"/>
        <w:ind w:firstLine="480" w:firstLineChars="200"/>
        <w:rPr>
          <w:rFonts w:hint="eastAsia" w:ascii="宋体" w:hAnsi="宋体" w:cs="宋体"/>
          <w:color w:val="auto"/>
          <w:sz w:val="24"/>
          <w:highlight w:val="none"/>
        </w:rPr>
      </w:pPr>
    </w:p>
    <w:p w14:paraId="3228438D">
      <w:pPr>
        <w:spacing w:line="360" w:lineRule="auto"/>
        <w:ind w:firstLine="480" w:firstLineChars="200"/>
        <w:rPr>
          <w:rFonts w:hint="eastAsia" w:ascii="宋体" w:hAnsi="宋体" w:cs="宋体"/>
          <w:color w:val="auto"/>
          <w:sz w:val="24"/>
          <w:highlight w:val="none"/>
        </w:rPr>
      </w:pPr>
    </w:p>
    <w:p w14:paraId="6411CF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28A6D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52AF7C7">
      <w:pPr>
        <w:widowControl/>
        <w:adjustRightInd/>
        <w:jc w:val="left"/>
        <w:rPr>
          <w:rFonts w:ascii="宋体" w:hAnsi="宋体" w:cs="宋体"/>
          <w:b/>
          <w:color w:val="auto"/>
          <w:sz w:val="36"/>
          <w:szCs w:val="20"/>
          <w:highlight w:val="none"/>
        </w:rPr>
      </w:pPr>
    </w:p>
    <w:p w14:paraId="76A04194">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7D91B4B">
      <w:pPr>
        <w:adjustRightInd/>
        <w:spacing w:line="360" w:lineRule="auto"/>
        <w:jc w:val="center"/>
        <w:outlineLvl w:val="0"/>
        <w:rPr>
          <w:rFonts w:ascii="宋体" w:hAnsi="宋体" w:cs="宋体"/>
          <w:b/>
          <w:color w:val="auto"/>
          <w:sz w:val="36"/>
          <w:szCs w:val="20"/>
          <w:highlight w:val="none"/>
        </w:rPr>
      </w:pPr>
      <w:bookmarkStart w:id="12" w:name="_Toc21580"/>
      <w:r>
        <w:rPr>
          <w:rFonts w:hint="eastAsia" w:ascii="宋体" w:hAnsi="宋体" w:cs="宋体"/>
          <w:b/>
          <w:color w:val="auto"/>
          <w:sz w:val="36"/>
          <w:szCs w:val="20"/>
          <w:highlight w:val="none"/>
        </w:rPr>
        <w:t>第二部分</w:t>
      </w:r>
      <w:bookmarkEnd w:id="9"/>
      <w:r>
        <w:rPr>
          <w:rFonts w:hint="eastAsia" w:ascii="宋体" w:hAnsi="宋体" w:cs="宋体"/>
          <w:b/>
          <w:color w:val="auto"/>
          <w:sz w:val="36"/>
          <w:szCs w:val="20"/>
          <w:highlight w:val="none"/>
        </w:rPr>
        <w:t xml:space="preserve"> 供应商须知</w:t>
      </w:r>
      <w:bookmarkEnd w:id="10"/>
      <w:bookmarkEnd w:id="12"/>
    </w:p>
    <w:p w14:paraId="7529AF4A">
      <w:pPr>
        <w:adjustRightInd/>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6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133"/>
      </w:tblGrid>
      <w:tr w14:paraId="3E021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08F9D45E">
            <w:pPr>
              <w:spacing w:line="264"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B2A5325">
            <w:pPr>
              <w:spacing w:line="264"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7133" w:type="dxa"/>
            <w:tcBorders>
              <w:top w:val="single" w:color="000000" w:sz="8" w:space="0"/>
              <w:left w:val="single" w:color="000000" w:sz="2" w:space="0"/>
              <w:bottom w:val="single" w:color="000000" w:sz="8" w:space="0"/>
              <w:right w:val="single" w:color="000000" w:sz="8" w:space="0"/>
            </w:tcBorders>
            <w:vAlign w:val="center"/>
          </w:tcPr>
          <w:p w14:paraId="2A4E790A">
            <w:pPr>
              <w:spacing w:line="264"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446D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7722F5B">
            <w:pPr>
              <w:spacing w:line="264"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DAEE8C2">
            <w:pPr>
              <w:spacing w:line="264"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7133" w:type="dxa"/>
            <w:tcBorders>
              <w:top w:val="single" w:color="000000" w:sz="8" w:space="0"/>
              <w:left w:val="single" w:color="000000" w:sz="2" w:space="0"/>
              <w:bottom w:val="single" w:color="000000" w:sz="8" w:space="0"/>
              <w:right w:val="single" w:color="000000" w:sz="8" w:space="0"/>
            </w:tcBorders>
            <w:vAlign w:val="center"/>
          </w:tcPr>
          <w:p w14:paraId="2CC7BC45">
            <w:pPr>
              <w:spacing w:line="264"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2A16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56D9F16">
            <w:pPr>
              <w:spacing w:line="264"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3E11620">
            <w:pPr>
              <w:spacing w:line="264" w:lineRule="auto"/>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采购标的及其对应的中小企业划分标准所属行业</w:t>
            </w:r>
          </w:p>
        </w:tc>
        <w:tc>
          <w:tcPr>
            <w:tcW w:w="7133" w:type="dxa"/>
            <w:tcBorders>
              <w:top w:val="single" w:color="000000" w:sz="8" w:space="0"/>
              <w:left w:val="single" w:color="000000" w:sz="2" w:space="0"/>
              <w:bottom w:val="single" w:color="000000" w:sz="8" w:space="0"/>
              <w:right w:val="single" w:color="000000" w:sz="8" w:space="0"/>
            </w:tcBorders>
            <w:vAlign w:val="center"/>
          </w:tcPr>
          <w:p w14:paraId="3AD184FB">
            <w:pPr>
              <w:pStyle w:val="2"/>
              <w:numPr>
                <w:ilvl w:val="0"/>
                <w:numId w:val="1"/>
              </w:numP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标的：</w:t>
            </w:r>
            <w:r>
              <w:rPr>
                <w:rFonts w:hint="eastAsia" w:ascii="宋体" w:hAnsi="宋体" w:eastAsia="宋体" w:cs="宋体"/>
                <w:b w:val="0"/>
                <w:bCs w:val="0"/>
                <w:color w:val="auto"/>
                <w:kern w:val="0"/>
                <w:sz w:val="24"/>
                <w:szCs w:val="24"/>
                <w:highlight w:val="none"/>
                <w:u w:val="single"/>
                <w:lang w:val="en-US" w:eastAsia="zh-CN" w:bidi="ar-SA"/>
              </w:rPr>
              <w:t>外送检测服务</w:t>
            </w:r>
            <w:r>
              <w:rPr>
                <w:rFonts w:hint="eastAsia" w:ascii="宋体" w:hAnsi="宋体" w:eastAsia="宋体" w:cs="宋体"/>
                <w:b w:val="0"/>
                <w:bCs w:val="0"/>
                <w:color w:val="auto"/>
                <w:kern w:val="0"/>
                <w:sz w:val="24"/>
                <w:szCs w:val="24"/>
                <w:highlight w:val="none"/>
                <w:lang w:val="en-US" w:eastAsia="zh-CN" w:bidi="ar-SA"/>
              </w:rPr>
              <w:t>，属于</w:t>
            </w:r>
            <w:r>
              <w:rPr>
                <w:rFonts w:hint="eastAsia" w:ascii="宋体" w:hAnsi="宋体" w:eastAsia="宋体" w:cs="宋体"/>
                <w:b w:val="0"/>
                <w:bCs w:val="0"/>
                <w:color w:val="auto"/>
                <w:kern w:val="0"/>
                <w:sz w:val="24"/>
                <w:szCs w:val="24"/>
                <w:highlight w:val="none"/>
                <w:u w:val="single"/>
                <w:lang w:val="en-US" w:eastAsia="zh-CN" w:bidi="ar-SA"/>
              </w:rPr>
              <w:t>其他未列明行业</w:t>
            </w:r>
            <w:r>
              <w:rPr>
                <w:rFonts w:hint="eastAsia" w:ascii="宋体" w:hAnsi="宋体" w:eastAsia="宋体" w:cs="宋体"/>
                <w:b w:val="0"/>
                <w:bCs w:val="0"/>
                <w:color w:val="auto"/>
                <w:kern w:val="0"/>
                <w:sz w:val="24"/>
                <w:szCs w:val="24"/>
                <w:highlight w:val="none"/>
                <w:lang w:val="en-US" w:eastAsia="zh-CN" w:bidi="ar-SA"/>
              </w:rPr>
              <w:t>。</w:t>
            </w:r>
          </w:p>
          <w:p w14:paraId="2C8A8C5E">
            <w:pPr>
              <w:pStyle w:val="2"/>
              <w:numPr>
                <w:ilvl w:val="0"/>
                <w:numId w:val="1"/>
              </w:numP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本项目非专门面向中小企业。</w:t>
            </w:r>
          </w:p>
        </w:tc>
      </w:tr>
      <w:tr w14:paraId="7FAE16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D8BC257">
            <w:pPr>
              <w:spacing w:line="264"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0216264">
            <w:pPr>
              <w:spacing w:line="264"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7133" w:type="dxa"/>
            <w:tcBorders>
              <w:top w:val="single" w:color="000000" w:sz="8" w:space="0"/>
              <w:left w:val="single" w:color="000000" w:sz="2" w:space="0"/>
              <w:bottom w:val="single" w:color="000000" w:sz="8" w:space="0"/>
              <w:right w:val="single" w:color="000000" w:sz="8" w:space="0"/>
            </w:tcBorders>
            <w:vAlign w:val="center"/>
          </w:tcPr>
          <w:p w14:paraId="42EC2165">
            <w:pPr>
              <w:spacing w:line="264"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44220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4EA50F3D">
            <w:pPr>
              <w:spacing w:line="264" w:lineRule="auto"/>
              <w:rPr>
                <w:rFonts w:ascii="宋体" w:hAnsi="宋体" w:cs="宋体"/>
                <w:color w:val="auto"/>
                <w:highlight w:val="none"/>
              </w:rPr>
            </w:pPr>
            <w:sdt>
              <w:sdtPr>
                <w:rPr>
                  <w:rFonts w:hint="eastAsia" w:ascii="宋体" w:hAnsi="宋体" w:cs="宋体"/>
                  <w:color w:val="auto"/>
                  <w:kern w:val="0"/>
                  <w:sz w:val="24"/>
                  <w:highlight w:val="none"/>
                </w:rPr>
                <w:id w:val="-89257553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0CB0D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6556E8D">
            <w:pPr>
              <w:spacing w:line="264"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47DB85B">
            <w:pPr>
              <w:spacing w:line="264"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7133" w:type="dxa"/>
            <w:tcBorders>
              <w:top w:val="single" w:color="000000" w:sz="8" w:space="0"/>
              <w:left w:val="single" w:color="000000" w:sz="2" w:space="0"/>
              <w:bottom w:val="single" w:color="000000" w:sz="8" w:space="0"/>
              <w:right w:val="single" w:color="000000" w:sz="8" w:space="0"/>
            </w:tcBorders>
            <w:vAlign w:val="center"/>
          </w:tcPr>
          <w:p w14:paraId="656B4E7D">
            <w:pPr>
              <w:spacing w:line="264" w:lineRule="auto"/>
              <w:rPr>
                <w:rFonts w:ascii="宋体" w:hAnsi="宋体" w:cs="宋体"/>
                <w:color w:val="auto"/>
                <w:sz w:val="24"/>
                <w:highlight w:val="none"/>
              </w:rPr>
            </w:pPr>
            <w:sdt>
              <w:sdtPr>
                <w:rPr>
                  <w:rFonts w:hint="eastAsia" w:ascii="宋体" w:hAnsi="宋体" w:cs="宋体"/>
                  <w:color w:val="auto"/>
                  <w:kern w:val="0"/>
                  <w:sz w:val="24"/>
                  <w:highlight w:val="none"/>
                </w:rPr>
                <w:id w:val="-200210574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5A9709BB">
            <w:pPr>
              <w:spacing w:line="264" w:lineRule="auto"/>
              <w:rPr>
                <w:rFonts w:ascii="宋体" w:hAnsi="宋体" w:cs="宋体"/>
                <w:color w:val="auto"/>
                <w:sz w:val="24"/>
                <w:highlight w:val="none"/>
              </w:rPr>
            </w:pPr>
            <w:sdt>
              <w:sdtPr>
                <w:rPr>
                  <w:rFonts w:hint="eastAsia" w:ascii="宋体" w:hAnsi="宋体" w:cs="宋体"/>
                  <w:color w:val="auto"/>
                  <w:kern w:val="0"/>
                  <w:sz w:val="24"/>
                  <w:highlight w:val="none"/>
                </w:rPr>
                <w:id w:val="125201449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0E4DC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F4C6661">
            <w:pPr>
              <w:spacing w:line="264"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8AE4022">
            <w:pPr>
              <w:spacing w:line="264"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7133" w:type="dxa"/>
            <w:tcBorders>
              <w:top w:val="single" w:color="000000" w:sz="8" w:space="0"/>
              <w:left w:val="single" w:color="000000" w:sz="2" w:space="0"/>
              <w:bottom w:val="single" w:color="000000" w:sz="8" w:space="0"/>
              <w:right w:val="single" w:color="000000" w:sz="8" w:space="0"/>
            </w:tcBorders>
            <w:vAlign w:val="center"/>
          </w:tcPr>
          <w:p w14:paraId="026D9151">
            <w:pPr>
              <w:spacing w:line="264" w:lineRule="auto"/>
              <w:rPr>
                <w:rFonts w:ascii="宋体" w:hAnsi="宋体" w:cs="宋体"/>
                <w:color w:val="auto"/>
                <w:sz w:val="24"/>
                <w:highlight w:val="none"/>
              </w:rPr>
            </w:pPr>
            <w:sdt>
              <w:sdtPr>
                <w:rPr>
                  <w:rFonts w:hint="eastAsia" w:ascii="宋体" w:hAnsi="宋体" w:cs="宋体"/>
                  <w:color w:val="auto"/>
                  <w:kern w:val="0"/>
                  <w:sz w:val="24"/>
                  <w:highlight w:val="none"/>
                </w:rPr>
                <w:id w:val="14880450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49F31F2">
            <w:pPr>
              <w:spacing w:line="264"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35562319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55B49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025C029">
            <w:pPr>
              <w:spacing w:line="264"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4DF8B3C">
            <w:pPr>
              <w:spacing w:line="264"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7133" w:type="dxa"/>
            <w:tcBorders>
              <w:top w:val="single" w:color="000000" w:sz="8" w:space="0"/>
              <w:left w:val="single" w:color="000000" w:sz="2" w:space="0"/>
              <w:bottom w:val="single" w:color="000000" w:sz="8" w:space="0"/>
              <w:right w:val="single" w:color="000000" w:sz="8" w:space="0"/>
            </w:tcBorders>
            <w:vAlign w:val="center"/>
          </w:tcPr>
          <w:p w14:paraId="6A3483CF">
            <w:pPr>
              <w:spacing w:line="264" w:lineRule="auto"/>
              <w:rPr>
                <w:rFonts w:ascii="宋体" w:hAnsi="宋体" w:cs="宋体"/>
                <w:color w:val="auto"/>
                <w:sz w:val="24"/>
                <w:highlight w:val="none"/>
              </w:rPr>
            </w:pPr>
            <w:sdt>
              <w:sdtPr>
                <w:rPr>
                  <w:rFonts w:hint="eastAsia" w:ascii="宋体" w:hAnsi="宋体" w:cs="宋体"/>
                  <w:color w:val="auto"/>
                  <w:kern w:val="0"/>
                  <w:sz w:val="24"/>
                  <w:highlight w:val="none"/>
                </w:rPr>
                <w:id w:val="-58514923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6DA4877">
            <w:pPr>
              <w:spacing w:line="264"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2608DD9">
            <w:pPr>
              <w:spacing w:line="264"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3D85DB1">
            <w:pPr>
              <w:spacing w:line="264"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334A606">
            <w:pPr>
              <w:spacing w:line="264"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0B6D1324">
            <w:pPr>
              <w:spacing w:line="264"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2D313DF">
            <w:pPr>
              <w:spacing w:line="264"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0E1A0364">
            <w:pPr>
              <w:spacing w:line="264" w:lineRule="auto"/>
              <w:rPr>
                <w:rFonts w:ascii="宋体" w:hAnsi="宋体" w:cs="宋体"/>
                <w:color w:val="auto"/>
                <w:sz w:val="24"/>
                <w:highlight w:val="none"/>
              </w:rPr>
            </w:pPr>
            <w:r>
              <w:rPr>
                <w:rFonts w:hint="eastAsia" w:ascii="宋体" w:hAnsi="宋体" w:cs="宋体"/>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FFA6D6B">
            <w:pPr>
              <w:spacing w:line="264"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3B8F4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B655217">
            <w:pPr>
              <w:spacing w:line="264"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658529A">
            <w:pPr>
              <w:spacing w:line="264"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7133" w:type="dxa"/>
            <w:tcBorders>
              <w:top w:val="single" w:color="000000" w:sz="8" w:space="0"/>
              <w:left w:val="single" w:color="000000" w:sz="2" w:space="0"/>
              <w:bottom w:val="single" w:color="000000" w:sz="8" w:space="0"/>
              <w:right w:val="single" w:color="000000" w:sz="8" w:space="0"/>
            </w:tcBorders>
            <w:vAlign w:val="center"/>
          </w:tcPr>
          <w:p w14:paraId="22512058">
            <w:pPr>
              <w:spacing w:line="264" w:lineRule="auto"/>
              <w:rPr>
                <w:rFonts w:ascii="宋体" w:hAnsi="宋体" w:cs="宋体"/>
                <w:color w:val="auto"/>
                <w:sz w:val="24"/>
                <w:highlight w:val="none"/>
              </w:rPr>
            </w:pPr>
            <w:sdt>
              <w:sdtPr>
                <w:rPr>
                  <w:rFonts w:hint="eastAsia" w:ascii="宋体" w:hAnsi="宋体" w:cs="宋体"/>
                  <w:color w:val="auto"/>
                  <w:kern w:val="0"/>
                  <w:sz w:val="24"/>
                  <w:highlight w:val="none"/>
                </w:rPr>
                <w:id w:val="-120123791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D074C6A">
            <w:pPr>
              <w:spacing w:line="264"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B组织。</w:t>
            </w:r>
          </w:p>
          <w:p w14:paraId="01F0F6A5">
            <w:pPr>
              <w:spacing w:line="264"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（1）在评标时安排每个供应商进行方案讲解演示。每个供应商时间不超过</w:t>
            </w:r>
            <w:r>
              <w:rPr>
                <w:rFonts w:hint="eastAsia" w:ascii="宋体" w:hAnsi="宋体" w:cs="宋体"/>
                <w:color w:val="auto"/>
                <w:kern w:val="0"/>
                <w:sz w:val="24"/>
                <w:highlight w:val="none"/>
                <w:u w:val="single"/>
              </w:rPr>
              <w:t>15</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2</w:t>
            </w:r>
            <w:r>
              <w:rPr>
                <w:rFonts w:hint="eastAsia" w:ascii="宋体" w:hAnsi="宋体" w:cs="宋体"/>
                <w:color w:val="auto"/>
                <w:kern w:val="0"/>
                <w:sz w:val="24"/>
                <w:highlight w:val="none"/>
              </w:rPr>
              <w:t>人。讲解演示结束后按要求解答评标委员会提问。</w:t>
            </w:r>
          </w:p>
          <w:p w14:paraId="6D421337">
            <w:pPr>
              <w:spacing w:line="264"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，讲解演示所用电脑等设备、材料（如PPT、各类设计图等）由供应商自备。现场讲解演示人员在投标截止时间前进行签到确认，未按规定进行签到的不得讲解演示。</w:t>
            </w:r>
          </w:p>
          <w:p w14:paraId="055BDA10">
            <w:pPr>
              <w:spacing w:line="264"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w:t>
            </w:r>
          </w:p>
        </w:tc>
      </w:tr>
      <w:tr w14:paraId="6788F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restart"/>
            <w:tcBorders>
              <w:top w:val="single" w:color="auto" w:sz="4" w:space="0"/>
              <w:left w:val="single" w:color="auto" w:sz="4" w:space="0"/>
              <w:right w:val="single" w:color="auto" w:sz="4" w:space="0"/>
            </w:tcBorders>
            <w:vAlign w:val="center"/>
          </w:tcPr>
          <w:p w14:paraId="6F056A95">
            <w:pPr>
              <w:spacing w:line="264"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265DD5">
            <w:pPr>
              <w:spacing w:line="264"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7133" w:type="dxa"/>
            <w:tcBorders>
              <w:top w:val="single" w:color="000000" w:sz="8" w:space="0"/>
              <w:left w:val="single" w:color="000000" w:sz="2" w:space="0"/>
              <w:bottom w:val="single" w:color="auto" w:sz="4" w:space="0"/>
              <w:right w:val="single" w:color="000000" w:sz="8" w:space="0"/>
            </w:tcBorders>
            <w:vAlign w:val="center"/>
          </w:tcPr>
          <w:p w14:paraId="1AB04FDC">
            <w:pPr>
              <w:spacing w:line="264"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077976D">
            <w:pPr>
              <w:spacing w:line="264"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供应商未提供有效的资格证明文件的，视为供应商不具备招标文件中规定的资格要求，投标无效。</w:t>
            </w:r>
          </w:p>
        </w:tc>
      </w:tr>
      <w:tr w14:paraId="66C5C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7F2467A4">
            <w:pPr>
              <w:spacing w:line="264"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64B472F">
            <w:pPr>
              <w:spacing w:line="264" w:lineRule="auto"/>
              <w:jc w:val="center"/>
              <w:rPr>
                <w:rFonts w:ascii="宋体" w:hAnsi="宋体" w:cs="宋体"/>
                <w:b/>
                <w:color w:val="auto"/>
                <w:sz w:val="24"/>
                <w:highlight w:val="none"/>
              </w:rPr>
            </w:pPr>
          </w:p>
        </w:tc>
        <w:tc>
          <w:tcPr>
            <w:tcW w:w="7133" w:type="dxa"/>
            <w:tcBorders>
              <w:top w:val="single" w:color="auto" w:sz="4" w:space="0"/>
              <w:left w:val="single" w:color="000000" w:sz="2" w:space="0"/>
              <w:bottom w:val="single" w:color="000000" w:sz="8" w:space="0"/>
              <w:right w:val="single" w:color="000000" w:sz="8" w:space="0"/>
            </w:tcBorders>
            <w:vAlign w:val="center"/>
          </w:tcPr>
          <w:p w14:paraId="236498CA">
            <w:pPr>
              <w:spacing w:line="264"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D488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B86B3AD">
            <w:pPr>
              <w:spacing w:line="264"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61CA5BC">
            <w:pPr>
              <w:spacing w:line="264"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7133" w:type="dxa"/>
            <w:tcBorders>
              <w:top w:val="single" w:color="000000" w:sz="8" w:space="0"/>
              <w:left w:val="single" w:color="000000" w:sz="2" w:space="0"/>
              <w:bottom w:val="single" w:color="000000" w:sz="8" w:space="0"/>
              <w:right w:val="single" w:color="000000" w:sz="8" w:space="0"/>
            </w:tcBorders>
            <w:vAlign w:val="center"/>
          </w:tcPr>
          <w:p w14:paraId="54B62135">
            <w:pPr>
              <w:spacing w:line="264"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5B64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7FCFE31">
            <w:pPr>
              <w:spacing w:line="264"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715D2C1">
            <w:pPr>
              <w:spacing w:line="264"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7133" w:type="dxa"/>
            <w:tcBorders>
              <w:top w:val="single" w:color="000000" w:sz="8" w:space="0"/>
              <w:left w:val="single" w:color="000000" w:sz="2" w:space="0"/>
              <w:bottom w:val="single" w:color="000000" w:sz="8" w:space="0"/>
              <w:right w:val="single" w:color="000000" w:sz="8" w:space="0"/>
            </w:tcBorders>
            <w:vAlign w:val="center"/>
          </w:tcPr>
          <w:p w14:paraId="5C511A17">
            <w:pPr>
              <w:spacing w:line="264" w:lineRule="auto"/>
              <w:jc w:val="left"/>
              <w:rPr>
                <w:rFonts w:ascii="宋体" w:hAnsi="宋体" w:cs="宋体"/>
                <w:b/>
                <w:bCs/>
                <w:color w:val="auto"/>
                <w:sz w:val="24"/>
                <w:highlight w:val="none"/>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开标一览表（报价表）是报价的唯一载体，如供应商在政府采购云平台填写的投标报价与投标文件报价文件中开标一览表（报价表）不一致的，以报价文件中开标一览表（报价表）为准。</w:t>
            </w:r>
          </w:p>
          <w:p w14:paraId="61391403">
            <w:pPr>
              <w:spacing w:line="264" w:lineRule="auto"/>
              <w:ind w:firstLine="240" w:firstLineChars="100"/>
              <w:jc w:val="left"/>
              <w:rPr>
                <w:rFonts w:ascii="宋体" w:hAnsi="宋体" w:cs="宋体"/>
                <w:color w:val="auto"/>
                <w:kern w:val="0"/>
                <w:sz w:val="24"/>
                <w:highlight w:val="none"/>
              </w:rPr>
            </w:pPr>
            <w:r>
              <w:rPr>
                <w:rFonts w:ascii="宋体" w:hAnsi="宋体" w:cs="宋体"/>
                <w:color w:val="auto"/>
                <w:kern w:val="0"/>
                <w:sz w:val="24"/>
                <w:highlight w:val="none"/>
              </w:rPr>
              <w:t>本项目投标报价包含不局限于以下内容：人员费、设备费、检测材料费、样本运输费、检验费、报告出具费、标本储藏费、平台及系统接入费、管理费、其他费用、上述部分的税金、招标代理服务费等全部费用。</w:t>
            </w:r>
          </w:p>
          <w:p w14:paraId="78771F52">
            <w:pPr>
              <w:spacing w:line="264" w:lineRule="auto"/>
              <w:ind w:firstLine="241" w:firstLineChars="1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1）</w:t>
            </w:r>
            <w:r>
              <w:rPr>
                <w:rFonts w:ascii="宋体" w:hAnsi="宋体" w:cs="宋体"/>
                <w:b/>
                <w:bCs/>
                <w:color w:val="auto"/>
                <w:kern w:val="0"/>
                <w:sz w:val="24"/>
                <w:highlight w:val="none"/>
              </w:rPr>
              <w:t>报价包括完成本项目服务所发生的全部费用以及</w:t>
            </w:r>
            <w:r>
              <w:rPr>
                <w:rFonts w:hint="eastAsia" w:ascii="宋体" w:hAnsi="宋体" w:cs="宋体"/>
                <w:b/>
                <w:bCs/>
                <w:color w:val="auto"/>
                <w:kern w:val="0"/>
                <w:sz w:val="24"/>
                <w:highlight w:val="none"/>
              </w:rPr>
              <w:t>供应商</w:t>
            </w:r>
            <w:r>
              <w:rPr>
                <w:rFonts w:ascii="宋体" w:hAnsi="宋体" w:cs="宋体"/>
                <w:b/>
                <w:bCs/>
                <w:color w:val="auto"/>
                <w:kern w:val="0"/>
                <w:sz w:val="24"/>
                <w:highlight w:val="none"/>
              </w:rPr>
              <w:t>利润、税金及合同包含的所有风险、责任等各项应有费用。</w:t>
            </w:r>
          </w:p>
          <w:p w14:paraId="70D20DEC">
            <w:pPr>
              <w:spacing w:line="264" w:lineRule="auto"/>
              <w:ind w:firstLine="241" w:firstLineChars="1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2）</w:t>
            </w:r>
            <w:r>
              <w:rPr>
                <w:rFonts w:ascii="宋体" w:hAnsi="宋体" w:cs="宋体"/>
                <w:b/>
                <w:bCs/>
                <w:color w:val="auto"/>
                <w:kern w:val="0"/>
                <w:sz w:val="24"/>
                <w:highlight w:val="none"/>
              </w:rPr>
              <w:t>本项目采用投标折扣系数进行报价（以“</w:t>
            </w:r>
            <w:r>
              <w:rPr>
                <w:rFonts w:hint="eastAsia" w:ascii="宋体" w:hAnsi="宋体" w:cs="宋体"/>
                <w:b/>
                <w:bCs/>
                <w:color w:val="auto"/>
                <w:kern w:val="0"/>
                <w:sz w:val="24"/>
                <w:highlight w:val="none"/>
              </w:rPr>
              <w:t>浙江省医疗服务价格</w:t>
            </w:r>
            <w:r>
              <w:rPr>
                <w:rFonts w:ascii="宋体" w:hAnsi="宋体" w:cs="宋体"/>
                <w:b/>
                <w:bCs/>
                <w:color w:val="auto"/>
                <w:kern w:val="0"/>
                <w:sz w:val="24"/>
                <w:highlight w:val="none"/>
              </w:rPr>
              <w:t>”为基准，清单内所有检测项目投标折扣系数应相同。）</w:t>
            </w:r>
          </w:p>
          <w:p w14:paraId="0EED940E">
            <w:pPr>
              <w:spacing w:line="264" w:lineRule="auto"/>
              <w:ind w:firstLine="241" w:firstLineChars="1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3）</w:t>
            </w:r>
            <w:r>
              <w:rPr>
                <w:rFonts w:ascii="宋体" w:hAnsi="宋体" w:cs="宋体"/>
                <w:b/>
                <w:bCs/>
                <w:color w:val="auto"/>
                <w:kern w:val="0"/>
                <w:sz w:val="24"/>
                <w:highlight w:val="none"/>
              </w:rPr>
              <w:t>常规检验项目最高限价：投标折扣系数最高限价为</w:t>
            </w:r>
            <w:r>
              <w:rPr>
                <w:rFonts w:hint="eastAsia" w:ascii="宋体" w:hAnsi="宋体" w:cs="宋体"/>
                <w:b/>
                <w:bCs/>
                <w:color w:val="auto"/>
                <w:kern w:val="0"/>
                <w:sz w:val="24"/>
                <w:highlight w:val="none"/>
                <w:lang w:val="en-US" w:eastAsia="zh-CN"/>
              </w:rPr>
              <w:t>18.00</w:t>
            </w:r>
            <w:r>
              <w:rPr>
                <w:rFonts w:ascii="宋体" w:hAnsi="宋体" w:cs="宋体"/>
                <w:b/>
                <w:bCs/>
                <w:color w:val="auto"/>
                <w:kern w:val="0"/>
                <w:sz w:val="24"/>
                <w:highlight w:val="none"/>
              </w:rPr>
              <w:t>%（含），投标折扣系数超过最高限价的作无效标处理，报价保留两位小数（例：XX.XX%）。</w:t>
            </w:r>
          </w:p>
          <w:p w14:paraId="0E849E0D">
            <w:pPr>
              <w:spacing w:line="264" w:lineRule="auto"/>
              <w:ind w:firstLine="241" w:firstLineChars="100"/>
              <w:jc w:val="left"/>
              <w:rPr>
                <w:rFonts w:ascii="宋体" w:hAnsi="宋体" w:cs="宋体"/>
                <w:color w:val="auto"/>
                <w:kern w:val="0"/>
                <w:sz w:val="24"/>
                <w:highlight w:val="none"/>
              </w:rPr>
            </w:pPr>
            <w:r>
              <w:rPr>
                <w:rFonts w:hint="eastAsia" w:ascii="宋体" w:hAnsi="宋体" w:cs="宋体"/>
                <w:b/>
                <w:bCs/>
                <w:color w:val="auto"/>
                <w:kern w:val="0"/>
                <w:sz w:val="24"/>
                <w:highlight w:val="none"/>
              </w:rPr>
              <w:t>4）</w:t>
            </w:r>
            <w:r>
              <w:rPr>
                <w:rFonts w:ascii="宋体" w:hAnsi="宋体" w:cs="宋体"/>
                <w:b/>
                <w:bCs/>
                <w:color w:val="auto"/>
                <w:kern w:val="0"/>
                <w:sz w:val="24"/>
                <w:highlight w:val="none"/>
              </w:rPr>
              <w:t>特殊检验项目最高限价：投标折扣系数最高限价为</w:t>
            </w:r>
            <w:r>
              <w:rPr>
                <w:rFonts w:hint="eastAsia" w:ascii="宋体" w:hAnsi="宋体" w:cs="宋体"/>
                <w:b/>
                <w:bCs/>
                <w:color w:val="auto"/>
                <w:kern w:val="0"/>
                <w:sz w:val="24"/>
                <w:highlight w:val="none"/>
                <w:lang w:val="en-US" w:eastAsia="zh-CN"/>
              </w:rPr>
              <w:t>55.50</w:t>
            </w:r>
            <w:r>
              <w:rPr>
                <w:rFonts w:ascii="宋体" w:hAnsi="宋体" w:cs="宋体"/>
                <w:b/>
                <w:bCs/>
                <w:color w:val="auto"/>
                <w:kern w:val="0"/>
                <w:sz w:val="24"/>
                <w:highlight w:val="none"/>
              </w:rPr>
              <w:t>%（含），投标折扣系数超过最高限价的作无效标处理，报价保留两位小数（例：XX.XX%）。</w:t>
            </w:r>
          </w:p>
          <w:p w14:paraId="280AB9E2">
            <w:pPr>
              <w:spacing w:line="264" w:lineRule="auto"/>
              <w:ind w:firstLine="241" w:firstLineChars="100"/>
              <w:jc w:val="left"/>
              <w:rPr>
                <w:rFonts w:ascii="宋体" w:hAnsi="宋体" w:cs="宋体"/>
                <w:color w:val="auto"/>
                <w:kern w:val="0"/>
                <w:sz w:val="24"/>
                <w:highlight w:val="none"/>
              </w:rPr>
            </w:pPr>
            <w:r>
              <w:rPr>
                <w:rFonts w:hint="eastAsia" w:ascii="宋体" w:hAnsi="宋体" w:cs="宋体"/>
                <w:b/>
                <w:bCs/>
                <w:color w:val="auto"/>
                <w:kern w:val="0"/>
                <w:sz w:val="24"/>
                <w:highlight w:val="none"/>
              </w:rPr>
              <w:t>5）</w:t>
            </w:r>
            <w:r>
              <w:rPr>
                <w:rFonts w:ascii="宋体" w:hAnsi="宋体" w:cs="宋体"/>
                <w:b/>
                <w:bCs/>
                <w:color w:val="auto"/>
                <w:kern w:val="0"/>
                <w:sz w:val="24"/>
                <w:highlight w:val="none"/>
              </w:rPr>
              <w:t>维生素检测项目最高限价：投标折扣系数最高限价为</w:t>
            </w:r>
            <w:r>
              <w:rPr>
                <w:rFonts w:hint="eastAsia" w:ascii="宋体" w:hAnsi="宋体" w:cs="宋体"/>
                <w:b/>
                <w:bCs/>
                <w:color w:val="auto"/>
                <w:kern w:val="0"/>
                <w:sz w:val="24"/>
                <w:highlight w:val="none"/>
                <w:lang w:val="en-US" w:eastAsia="zh-CN"/>
              </w:rPr>
              <w:t>50.50</w:t>
            </w:r>
            <w:r>
              <w:rPr>
                <w:rFonts w:ascii="宋体" w:hAnsi="宋体" w:cs="宋体"/>
                <w:b/>
                <w:bCs/>
                <w:color w:val="auto"/>
                <w:kern w:val="0"/>
                <w:sz w:val="24"/>
                <w:highlight w:val="none"/>
              </w:rPr>
              <w:t>%（含），投标折扣系数超过最高限价的作无效标处理，报价保留两位小数（例：XX.XX%）。</w:t>
            </w:r>
          </w:p>
          <w:p w14:paraId="6BB05F90">
            <w:pPr>
              <w:spacing w:line="264" w:lineRule="auto"/>
              <w:ind w:firstLine="241" w:firstLineChars="1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6）</w:t>
            </w:r>
            <w:r>
              <w:rPr>
                <w:rFonts w:ascii="宋体" w:hAnsi="宋体" w:cs="宋体"/>
                <w:b/>
                <w:bCs/>
                <w:color w:val="auto"/>
                <w:kern w:val="0"/>
                <w:sz w:val="24"/>
                <w:highlight w:val="none"/>
              </w:rPr>
              <w:t>病理标本诊断最高限价：投标折扣系数最高限价为</w:t>
            </w:r>
            <w:r>
              <w:rPr>
                <w:rFonts w:hint="eastAsia" w:ascii="宋体" w:hAnsi="宋体" w:cs="宋体"/>
                <w:b/>
                <w:bCs/>
                <w:color w:val="auto"/>
                <w:kern w:val="0"/>
                <w:sz w:val="24"/>
                <w:highlight w:val="none"/>
                <w:lang w:val="en-US" w:eastAsia="zh-CN"/>
              </w:rPr>
              <w:t>40.50</w:t>
            </w:r>
            <w:r>
              <w:rPr>
                <w:rFonts w:ascii="宋体" w:hAnsi="宋体" w:cs="宋体"/>
                <w:b/>
                <w:bCs/>
                <w:color w:val="auto"/>
                <w:kern w:val="0"/>
                <w:sz w:val="24"/>
                <w:highlight w:val="none"/>
              </w:rPr>
              <w:t>%（含），投标折扣系数超过最高限价的作无效标处理，报价保留两位小数（例：XX.XX%）。</w:t>
            </w:r>
          </w:p>
          <w:p w14:paraId="30CFBB81">
            <w:pPr>
              <w:spacing w:line="264" w:lineRule="auto"/>
              <w:ind w:firstLine="241" w:firstLineChars="1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7）血清淀粉样蛋白A项目</w:t>
            </w:r>
            <w:r>
              <w:rPr>
                <w:rFonts w:ascii="宋体" w:hAnsi="宋体" w:cs="宋体"/>
                <w:b/>
                <w:bCs/>
                <w:color w:val="auto"/>
                <w:kern w:val="0"/>
                <w:sz w:val="24"/>
                <w:highlight w:val="none"/>
              </w:rPr>
              <w:t>最高限价：投标折扣系数最高限价为</w:t>
            </w:r>
            <w:r>
              <w:rPr>
                <w:rFonts w:hint="eastAsia" w:ascii="宋体" w:hAnsi="宋体" w:cs="宋体"/>
                <w:b/>
                <w:bCs/>
                <w:color w:val="auto"/>
                <w:kern w:val="0"/>
                <w:sz w:val="24"/>
                <w:highlight w:val="none"/>
                <w:lang w:val="en-US" w:eastAsia="zh-CN"/>
              </w:rPr>
              <w:t>30.50</w:t>
            </w:r>
            <w:r>
              <w:rPr>
                <w:rFonts w:ascii="宋体" w:hAnsi="宋体" w:cs="宋体"/>
                <w:b/>
                <w:bCs/>
                <w:color w:val="auto"/>
                <w:kern w:val="0"/>
                <w:sz w:val="24"/>
                <w:highlight w:val="none"/>
              </w:rPr>
              <w:t>%（含），投标折扣系数超过最高限价的作无效标处理，报价保留两位小数（例：XX.XX%）。</w:t>
            </w:r>
          </w:p>
          <w:p w14:paraId="41DF87DF">
            <w:pPr>
              <w:spacing w:line="264"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474221C">
            <w:pPr>
              <w:spacing w:line="264"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7EC4A3A">
            <w:pPr>
              <w:spacing w:line="264"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55A19CF">
            <w:pPr>
              <w:spacing w:line="264"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lang w:eastAsia="zh-CN"/>
              </w:rPr>
              <w:t>报价明显低于其他通过符合性审查供应商的报价（</w:t>
            </w:r>
            <w:r>
              <w:rPr>
                <w:rFonts w:hint="eastAsia" w:ascii="宋体" w:hAnsi="宋体" w:cs="宋体"/>
                <w:b/>
                <w:color w:val="auto"/>
                <w:kern w:val="0"/>
                <w:sz w:val="24"/>
                <w:highlight w:val="none"/>
                <w:lang w:val="en-US" w:eastAsia="zh-CN"/>
              </w:rPr>
              <w:t>低于项目预算50%的）</w:t>
            </w:r>
            <w:r>
              <w:rPr>
                <w:rFonts w:hint="eastAsia" w:ascii="宋体" w:hAnsi="宋体" w:cs="宋体"/>
                <w:b/>
                <w:color w:val="auto"/>
                <w:kern w:val="0"/>
                <w:sz w:val="24"/>
                <w:highlight w:val="none"/>
                <w:lang w:eastAsia="zh-CN"/>
              </w:rPr>
              <w:t>，有可能影响产品质量或者不能诚信履约的，未能按要求提供书面说明或者提交相关证明材料，不能证明其报价合理性的</w:t>
            </w:r>
            <w:r>
              <w:rPr>
                <w:rFonts w:hint="eastAsia" w:ascii="宋体" w:hAnsi="宋体" w:cs="宋体"/>
                <w:b/>
                <w:color w:val="auto"/>
                <w:sz w:val="24"/>
                <w:szCs w:val="21"/>
                <w:highlight w:val="none"/>
              </w:rPr>
              <w:t>；</w:t>
            </w:r>
          </w:p>
          <w:p w14:paraId="20AE2286">
            <w:pPr>
              <w:spacing w:line="264"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3BDE5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right w:val="single" w:color="000000" w:sz="2" w:space="0"/>
            </w:tcBorders>
            <w:vAlign w:val="center"/>
          </w:tcPr>
          <w:p w14:paraId="6CFB0AE1">
            <w:pPr>
              <w:spacing w:line="264"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E7566EC">
            <w:pPr>
              <w:spacing w:line="264"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7133" w:type="dxa"/>
            <w:tcBorders>
              <w:top w:val="single" w:color="000000" w:sz="8" w:space="0"/>
              <w:left w:val="single" w:color="000000" w:sz="2" w:space="0"/>
              <w:right w:val="single" w:color="000000" w:sz="8" w:space="0"/>
            </w:tcBorders>
            <w:vAlign w:val="center"/>
          </w:tcPr>
          <w:p w14:paraId="593B3873">
            <w:pPr>
              <w:spacing w:line="264" w:lineRule="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8913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4A757B0">
            <w:pPr>
              <w:spacing w:line="264"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3890549F">
            <w:pPr>
              <w:spacing w:line="264"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备份投标文件送达时间、地点和签收人员</w:t>
            </w:r>
          </w:p>
        </w:tc>
        <w:tc>
          <w:tcPr>
            <w:tcW w:w="7133" w:type="dxa"/>
            <w:tcBorders>
              <w:top w:val="single" w:color="000000" w:sz="8" w:space="0"/>
              <w:left w:val="single" w:color="000000" w:sz="2" w:space="0"/>
              <w:bottom w:val="single" w:color="000000" w:sz="8" w:space="0"/>
              <w:right w:val="single" w:color="000000" w:sz="8" w:space="0"/>
            </w:tcBorders>
            <w:vAlign w:val="center"/>
          </w:tcPr>
          <w:p w14:paraId="4A5A666B">
            <w:pPr>
              <w:spacing w:line="264" w:lineRule="auto"/>
              <w:rPr>
                <w:rFonts w:ascii="宋体" w:hAnsi="宋体" w:cs="宋体"/>
                <w:snapToGrid w:val="0"/>
                <w:color w:val="auto"/>
                <w:sz w:val="24"/>
                <w:highlight w:val="none"/>
              </w:rPr>
            </w:pPr>
            <w:r>
              <w:rPr>
                <w:rFonts w:hint="eastAsia" w:ascii="宋体" w:hAnsi="宋体" w:cs="宋体"/>
                <w:snapToGrid w:val="0"/>
                <w:color w:val="auto"/>
                <w:sz w:val="24"/>
                <w:szCs w:val="21"/>
                <w:highlight w:val="none"/>
              </w:rPr>
              <w:t>（1）</w:t>
            </w:r>
            <w:r>
              <w:rPr>
                <w:rFonts w:hint="eastAsia" w:ascii="宋体" w:hAnsi="宋体" w:cs="宋体"/>
                <w:snapToGrid w:val="0"/>
                <w:color w:val="auto"/>
                <w:sz w:val="24"/>
                <w:highlight w:val="none"/>
              </w:rPr>
              <w:t>直接提交备份投标文件的：</w:t>
            </w:r>
          </w:p>
          <w:p w14:paraId="22C14D94">
            <w:pPr>
              <w:spacing w:line="264" w:lineRule="auto"/>
              <w:rPr>
                <w:rFonts w:ascii="宋体" w:hAnsi="宋体" w:cs="宋体"/>
                <w:snapToGrid w:val="0"/>
                <w:color w:val="auto"/>
                <w:sz w:val="24"/>
                <w:highlight w:val="none"/>
              </w:rPr>
            </w:pPr>
            <w:r>
              <w:rPr>
                <w:rFonts w:hint="eastAsia" w:ascii="宋体" w:hAnsi="宋体" w:cs="宋体"/>
                <w:snapToGrid w:val="0"/>
                <w:color w:val="auto"/>
                <w:kern w:val="28"/>
                <w:sz w:val="24"/>
                <w:highlight w:val="none"/>
              </w:rPr>
              <w:t>备份投标文件送达地点：</w:t>
            </w:r>
            <w:r>
              <w:rPr>
                <w:rFonts w:hint="eastAsia" w:ascii="宋体" w:hAnsi="宋体" w:cs="宋体"/>
                <w:snapToGrid w:val="0"/>
                <w:color w:val="auto"/>
                <w:kern w:val="28"/>
                <w:sz w:val="24"/>
                <w:highlight w:val="none"/>
                <w:u w:val="single"/>
              </w:rPr>
              <w:t>宁波市江北区政务服务中心开标室（江北区育才路138号北投大厦南楼7楼）。</w:t>
            </w:r>
          </w:p>
          <w:p w14:paraId="52A75FA0">
            <w:pPr>
              <w:spacing w:line="264" w:lineRule="auto"/>
              <w:rPr>
                <w:rFonts w:ascii="宋体" w:hAnsi="宋体" w:cs="宋体"/>
                <w:snapToGrid w:val="0"/>
                <w:color w:val="auto"/>
                <w:sz w:val="24"/>
                <w:highlight w:val="none"/>
              </w:rPr>
            </w:pPr>
            <w:r>
              <w:rPr>
                <w:rFonts w:hint="eastAsia" w:ascii="宋体" w:hAnsi="宋体" w:cs="宋体"/>
                <w:snapToGrid w:val="0"/>
                <w:color w:val="auto"/>
                <w:kern w:val="28"/>
                <w:sz w:val="24"/>
                <w:highlight w:val="none"/>
              </w:rPr>
              <w:t>（2）</w:t>
            </w:r>
            <w:r>
              <w:rPr>
                <w:rFonts w:hint="eastAsia" w:ascii="宋体" w:hAnsi="宋体" w:cs="宋体"/>
                <w:snapToGrid w:val="0"/>
                <w:color w:val="auto"/>
                <w:sz w:val="24"/>
                <w:highlight w:val="none"/>
              </w:rPr>
              <w:t>以快递方式递交备份投标文件的：</w:t>
            </w:r>
          </w:p>
          <w:p w14:paraId="32E2E223">
            <w:pPr>
              <w:spacing w:line="264" w:lineRule="auto"/>
              <w:rPr>
                <w:rFonts w:ascii="宋体" w:hAnsi="宋体" w:cs="宋体"/>
                <w:snapToGrid w:val="0"/>
                <w:color w:val="auto"/>
                <w:kern w:val="28"/>
                <w:sz w:val="24"/>
                <w:highlight w:val="none"/>
              </w:rPr>
            </w:pPr>
            <w:r>
              <w:rPr>
                <w:rFonts w:hint="eastAsia" w:ascii="宋体" w:hAnsi="宋体" w:cs="宋体"/>
                <w:color w:val="auto"/>
                <w:sz w:val="24"/>
                <w:highlight w:val="none"/>
              </w:rPr>
              <w:t>备份投标文件送达</w:t>
            </w:r>
            <w:r>
              <w:rPr>
                <w:rFonts w:hint="eastAsia" w:ascii="宋体" w:hAnsi="宋体" w:cs="宋体"/>
                <w:snapToGrid w:val="0"/>
                <w:color w:val="auto"/>
                <w:sz w:val="24"/>
                <w:highlight w:val="none"/>
              </w:rPr>
              <w:t>截止时间：</w:t>
            </w:r>
            <w:r>
              <w:rPr>
                <w:rFonts w:hint="eastAsia" w:ascii="宋体" w:hAnsi="宋体" w:cs="宋体"/>
                <w:snapToGrid w:val="0"/>
                <w:color w:val="auto"/>
                <w:sz w:val="24"/>
                <w:highlight w:val="none"/>
                <w:u w:val="single"/>
              </w:rPr>
              <w:t>开标时间前一个工作日的16:00止。</w:t>
            </w:r>
          </w:p>
          <w:p w14:paraId="4ADD5ED2">
            <w:pPr>
              <w:pStyle w:val="33"/>
              <w:spacing w:line="264"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宁波市鄞州区天童南路666号中基大厦19楼业务六部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朱贤东0574-87425380</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采购人、采购代理机构不强制或变相强制供应商提交备份投标文件。</w:t>
            </w:r>
          </w:p>
        </w:tc>
      </w:tr>
      <w:tr w14:paraId="10687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6D5C17D3">
            <w:pPr>
              <w:spacing w:line="264"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47C41C8">
            <w:pPr>
              <w:spacing w:line="264"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7133" w:type="dxa"/>
            <w:tcBorders>
              <w:top w:val="single" w:color="000000" w:sz="8" w:space="0"/>
              <w:left w:val="single" w:color="auto" w:sz="4" w:space="0"/>
              <w:bottom w:val="single" w:color="000000" w:sz="8" w:space="0"/>
              <w:right w:val="single" w:color="000000" w:sz="8" w:space="0"/>
            </w:tcBorders>
            <w:vAlign w:val="center"/>
          </w:tcPr>
          <w:p w14:paraId="26F3A5B1">
            <w:pPr>
              <w:spacing w:line="264"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24B7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08657694">
            <w:pPr>
              <w:spacing w:line="264"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59F23E70">
            <w:pPr>
              <w:spacing w:line="264" w:lineRule="auto"/>
              <w:jc w:val="center"/>
              <w:rPr>
                <w:rFonts w:ascii="宋体" w:hAnsi="宋体" w:cs="宋体"/>
                <w:b/>
                <w:color w:val="auto"/>
                <w:sz w:val="24"/>
                <w:highlight w:val="none"/>
              </w:rPr>
            </w:pPr>
          </w:p>
        </w:tc>
        <w:tc>
          <w:tcPr>
            <w:tcW w:w="7133" w:type="dxa"/>
            <w:tcBorders>
              <w:top w:val="single" w:color="000000" w:sz="8" w:space="0"/>
              <w:left w:val="single" w:color="auto" w:sz="4" w:space="0"/>
              <w:bottom w:val="single" w:color="000000" w:sz="8" w:space="0"/>
              <w:right w:val="single" w:color="000000" w:sz="8" w:space="0"/>
            </w:tcBorders>
            <w:vAlign w:val="center"/>
          </w:tcPr>
          <w:p w14:paraId="44D4FF72">
            <w:pPr>
              <w:spacing w:line="264"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507916539"/>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7BAEAD36">
            <w:pPr>
              <w:spacing w:line="264"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65711126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highlight w:val="none"/>
                  </w:rPr>
                  <w:t>þ</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5742F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9B6037D">
            <w:pPr>
              <w:spacing w:line="264"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1F21D76">
            <w:pPr>
              <w:spacing w:line="264" w:lineRule="auto"/>
              <w:jc w:val="center"/>
              <w:rPr>
                <w:rFonts w:ascii="宋体" w:hAnsi="宋体" w:cs="宋体"/>
                <w:b/>
                <w:color w:val="auto"/>
                <w:sz w:val="24"/>
                <w:highlight w:val="none"/>
              </w:rPr>
            </w:pPr>
            <w:r>
              <w:rPr>
                <w:rFonts w:hint="eastAsia" w:ascii="宋体" w:hAnsi="宋体" w:cs="宋体"/>
                <w:b/>
                <w:color w:val="auto"/>
                <w:sz w:val="24"/>
                <w:highlight w:val="none"/>
              </w:rPr>
              <w:t>中标服务费</w:t>
            </w:r>
          </w:p>
        </w:tc>
        <w:tc>
          <w:tcPr>
            <w:tcW w:w="7133" w:type="dxa"/>
            <w:tcBorders>
              <w:top w:val="single" w:color="000000" w:sz="8" w:space="0"/>
              <w:left w:val="single" w:color="auto" w:sz="4" w:space="0"/>
              <w:bottom w:val="single" w:color="000000" w:sz="8" w:space="0"/>
              <w:right w:val="single" w:color="000000" w:sz="8" w:space="0"/>
            </w:tcBorders>
            <w:vAlign w:val="center"/>
          </w:tcPr>
          <w:p w14:paraId="3497989D">
            <w:pPr>
              <w:spacing w:line="264" w:lineRule="auto"/>
              <w:rPr>
                <w:rFonts w:ascii="宋体" w:hAnsi="宋体" w:cs="宋体"/>
                <w:snapToGrid w:val="0"/>
                <w:color w:val="auto"/>
                <w:kern w:val="28"/>
                <w:sz w:val="24"/>
                <w:highlight w:val="none"/>
              </w:rPr>
            </w:pPr>
            <w:r>
              <w:rPr>
                <w:rFonts w:ascii="宋体" w:hAnsi="宋体" w:cs="宋体"/>
                <w:snapToGrid w:val="0"/>
                <w:color w:val="auto"/>
                <w:kern w:val="28"/>
                <w:sz w:val="24"/>
                <w:highlight w:val="none"/>
              </w:rPr>
              <w:t>招标代理公司向中标人收取人民币</w:t>
            </w:r>
            <w:r>
              <w:rPr>
                <w:rFonts w:hint="eastAsia" w:ascii="宋体" w:hAnsi="宋体" w:cs="宋体"/>
                <w:snapToGrid w:val="0"/>
                <w:color w:val="auto"/>
                <w:kern w:val="28"/>
                <w:sz w:val="24"/>
                <w:highlight w:val="none"/>
                <w:lang w:val="en-US" w:eastAsia="zh-CN"/>
              </w:rPr>
              <w:t>60000.00</w:t>
            </w:r>
            <w:r>
              <w:rPr>
                <w:rFonts w:ascii="宋体" w:hAnsi="宋体" w:cs="宋体"/>
                <w:snapToGrid w:val="0"/>
                <w:color w:val="auto"/>
                <w:kern w:val="28"/>
                <w:sz w:val="24"/>
                <w:highlight w:val="none"/>
              </w:rPr>
              <w:t>元整</w:t>
            </w:r>
            <w:r>
              <w:rPr>
                <w:rFonts w:hint="eastAsia" w:ascii="宋体" w:hAnsi="宋体" w:cs="宋体"/>
                <w:snapToGrid w:val="0"/>
                <w:color w:val="auto"/>
                <w:kern w:val="28"/>
                <w:sz w:val="24"/>
                <w:highlight w:val="none"/>
              </w:rPr>
              <w:t>。</w:t>
            </w:r>
          </w:p>
          <w:p w14:paraId="7269312C">
            <w:pPr>
              <w:spacing w:line="264" w:lineRule="auto"/>
              <w:rPr>
                <w:rFonts w:ascii="宋体" w:hAnsi="宋体" w:cs="宋体"/>
                <w:snapToGrid w:val="0"/>
                <w:color w:val="auto"/>
                <w:kern w:val="28"/>
                <w:sz w:val="24"/>
                <w:highlight w:val="none"/>
              </w:rPr>
            </w:pPr>
            <w:r>
              <w:rPr>
                <w:rFonts w:ascii="宋体" w:hAnsi="宋体" w:cs="宋体"/>
                <w:snapToGrid w:val="0"/>
                <w:color w:val="auto"/>
                <w:kern w:val="28"/>
                <w:sz w:val="24"/>
                <w:highlight w:val="none"/>
              </w:rPr>
              <w:t>中标服务费只收现金、银行票汇款、电汇款。汇入以下账户：</w:t>
            </w:r>
          </w:p>
          <w:p w14:paraId="1B27B839">
            <w:pPr>
              <w:spacing w:line="264" w:lineRule="auto"/>
              <w:rPr>
                <w:rFonts w:ascii="宋体" w:hAnsi="宋体" w:cs="宋体"/>
                <w:snapToGrid w:val="0"/>
                <w:color w:val="auto"/>
                <w:kern w:val="28"/>
                <w:sz w:val="24"/>
                <w:highlight w:val="none"/>
              </w:rPr>
            </w:pPr>
            <w:r>
              <w:rPr>
                <w:rFonts w:ascii="宋体" w:hAnsi="宋体" w:cs="宋体"/>
                <w:snapToGrid w:val="0"/>
                <w:color w:val="auto"/>
                <w:kern w:val="28"/>
                <w:sz w:val="24"/>
                <w:highlight w:val="none"/>
              </w:rPr>
              <w:t>开户银行： 宁波银行科技支行</w:t>
            </w:r>
          </w:p>
          <w:p w14:paraId="550A6335">
            <w:pPr>
              <w:spacing w:line="264" w:lineRule="auto"/>
              <w:rPr>
                <w:rFonts w:ascii="宋体" w:hAnsi="宋体" w:cs="宋体"/>
                <w:snapToGrid w:val="0"/>
                <w:color w:val="auto"/>
                <w:kern w:val="28"/>
                <w:sz w:val="24"/>
                <w:highlight w:val="none"/>
              </w:rPr>
            </w:pPr>
            <w:r>
              <w:rPr>
                <w:rFonts w:ascii="宋体" w:hAnsi="宋体" w:cs="宋体"/>
                <w:snapToGrid w:val="0"/>
                <w:color w:val="auto"/>
                <w:kern w:val="28"/>
                <w:sz w:val="24"/>
                <w:highlight w:val="none"/>
              </w:rPr>
              <w:t>账    号： 31010122000005488</w:t>
            </w:r>
          </w:p>
          <w:p w14:paraId="1C9F8238">
            <w:pPr>
              <w:spacing w:line="264" w:lineRule="auto"/>
              <w:rPr>
                <w:rFonts w:ascii="宋体" w:hAnsi="宋体" w:cs="宋体"/>
                <w:snapToGrid w:val="0"/>
                <w:color w:val="auto"/>
                <w:kern w:val="28"/>
                <w:sz w:val="24"/>
                <w:highlight w:val="none"/>
              </w:rPr>
            </w:pPr>
            <w:r>
              <w:rPr>
                <w:rFonts w:ascii="宋体" w:hAnsi="宋体" w:cs="宋体"/>
                <w:snapToGrid w:val="0"/>
                <w:color w:val="auto"/>
                <w:kern w:val="28"/>
                <w:sz w:val="24"/>
                <w:highlight w:val="none"/>
              </w:rPr>
              <w:t>户    名： 宁波中基国际招标有限公司</w:t>
            </w:r>
          </w:p>
          <w:p w14:paraId="0FA52E68">
            <w:pPr>
              <w:spacing w:line="264" w:lineRule="auto"/>
              <w:rPr>
                <w:rFonts w:ascii="宋体" w:hAnsi="宋体" w:cs="宋体"/>
                <w:snapToGrid w:val="0"/>
                <w:color w:val="auto"/>
                <w:kern w:val="28"/>
                <w:sz w:val="24"/>
                <w:highlight w:val="none"/>
              </w:rPr>
            </w:pPr>
            <w:r>
              <w:rPr>
                <w:rFonts w:ascii="宋体" w:hAnsi="宋体" w:cs="宋体"/>
                <w:snapToGrid w:val="0"/>
                <w:color w:val="auto"/>
                <w:kern w:val="28"/>
                <w:sz w:val="24"/>
                <w:highlight w:val="none"/>
              </w:rPr>
              <w:t>注：中标人接到本公司通知后5个工作日内向本采购代理机构领取成交通知书（根据中标人需求可采用邮寄或到采购代理机构现场领取）。</w:t>
            </w:r>
          </w:p>
        </w:tc>
      </w:tr>
      <w:tr w14:paraId="48311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291909E">
            <w:pPr>
              <w:spacing w:line="264"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auto" w:sz="4" w:space="0"/>
              <w:left w:val="single" w:color="auto" w:sz="4" w:space="0"/>
              <w:bottom w:val="single" w:color="auto" w:sz="4" w:space="0"/>
              <w:right w:val="single" w:color="auto" w:sz="4" w:space="0"/>
            </w:tcBorders>
            <w:vAlign w:val="center"/>
          </w:tcPr>
          <w:p w14:paraId="7946162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其他说明</w:t>
            </w:r>
          </w:p>
        </w:tc>
        <w:tc>
          <w:tcPr>
            <w:tcW w:w="7133" w:type="dxa"/>
            <w:tcBorders>
              <w:top w:val="single" w:color="000000" w:sz="8" w:space="0"/>
              <w:left w:val="single" w:color="auto" w:sz="4" w:space="0"/>
              <w:bottom w:val="single" w:color="000000" w:sz="8" w:space="0"/>
              <w:right w:val="single" w:color="000000" w:sz="8" w:space="0"/>
            </w:tcBorders>
            <w:vAlign w:val="center"/>
          </w:tcPr>
          <w:p w14:paraId="5CD50F50">
            <w:pPr>
              <w:rPr>
                <w:rFonts w:ascii="宋体" w:hAnsi="宋体" w:cs="Arial"/>
                <w:color w:val="auto"/>
                <w:kern w:val="0"/>
                <w:sz w:val="24"/>
                <w:highlight w:val="none"/>
              </w:rPr>
            </w:pPr>
            <w:r>
              <w:rPr>
                <w:rFonts w:hint="eastAsia" w:ascii="宋体" w:hAnsi="宋体" w:cs="宋体"/>
                <w:snapToGrid w:val="0"/>
                <w:color w:val="auto"/>
                <w:kern w:val="28"/>
                <w:sz w:val="24"/>
                <w:highlight w:val="none"/>
              </w:rPr>
              <w:t>关于分公司投标：除银行、保险、石油石化、电力、电信移动、联通等行业外不允许分公司参与本项目投标。银行、保险石油石化、电力、电信、移动、联通等行业分公司投标的：（1）需提供具有法人资格的总公司的营业执照及授权书，授权书须加盖总公司公章。分公司参加投标的，分公司负责人签署的相关投标资料与本招标文件规定由法定代表人签署的文件材料具有同等效力。（2）已由总公司授权的总公司取得的相关资质证书对分公司有效。</w:t>
            </w:r>
          </w:p>
        </w:tc>
      </w:tr>
    </w:tbl>
    <w:p w14:paraId="1623E911">
      <w:pPr>
        <w:snapToGrid w:val="0"/>
        <w:spacing w:line="360" w:lineRule="auto"/>
        <w:jc w:val="center"/>
        <w:rPr>
          <w:rFonts w:ascii="宋体" w:hAnsi="宋体" w:cs="宋体"/>
          <w:b/>
          <w:color w:val="auto"/>
          <w:sz w:val="32"/>
          <w:szCs w:val="20"/>
          <w:highlight w:val="none"/>
        </w:rPr>
      </w:pPr>
    </w:p>
    <w:bookmarkEnd w:id="11"/>
    <w:p w14:paraId="3CB9344A">
      <w:pPr>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br w:type="page"/>
      </w:r>
    </w:p>
    <w:p w14:paraId="433DACE1">
      <w:pPr>
        <w:adjustRightInd/>
        <w:spacing w:line="348" w:lineRule="auto"/>
        <w:ind w:firstLine="3845" w:firstLineChars="1197"/>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659F41F6">
      <w:pPr>
        <w:snapToGrid w:val="0"/>
        <w:spacing w:line="348" w:lineRule="auto"/>
        <w:ind w:firstLine="361" w:firstLineChars="150"/>
        <w:jc w:val="left"/>
        <w:rPr>
          <w:rFonts w:ascii="宋体" w:hAnsi="宋体" w:cs="宋体"/>
          <w:b/>
          <w:color w:val="auto"/>
          <w:sz w:val="24"/>
          <w:highlight w:val="none"/>
        </w:rPr>
      </w:pPr>
      <w:r>
        <w:rPr>
          <w:rFonts w:hint="eastAsia" w:ascii="宋体" w:hAnsi="宋体" w:cs="宋体"/>
          <w:b/>
          <w:color w:val="auto"/>
          <w:sz w:val="24"/>
          <w:highlight w:val="none"/>
        </w:rPr>
        <w:t>1. 适用范围</w:t>
      </w:r>
    </w:p>
    <w:p w14:paraId="57DD6E1C">
      <w:pPr>
        <w:snapToGrid w:val="0"/>
        <w:spacing w:line="348"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85F77CB">
      <w:pPr>
        <w:snapToGrid w:val="0"/>
        <w:spacing w:line="348" w:lineRule="auto"/>
        <w:ind w:firstLine="361" w:firstLineChars="150"/>
        <w:jc w:val="left"/>
        <w:rPr>
          <w:rFonts w:ascii="宋体" w:hAnsi="宋体" w:cs="宋体"/>
          <w:b/>
          <w:color w:val="auto"/>
          <w:sz w:val="24"/>
          <w:highlight w:val="none"/>
        </w:rPr>
      </w:pPr>
      <w:r>
        <w:rPr>
          <w:rFonts w:hint="eastAsia" w:ascii="宋体" w:hAnsi="宋体" w:cs="宋体"/>
          <w:b/>
          <w:color w:val="auto"/>
          <w:sz w:val="24"/>
          <w:highlight w:val="none"/>
        </w:rPr>
        <w:t>2.定义</w:t>
      </w:r>
    </w:p>
    <w:p w14:paraId="203CD97A">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34D5066">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74DA73E4">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“供应商”系指是指响应招标、参加投标竞争的法人、其他组织或者自然人。</w:t>
      </w:r>
    </w:p>
    <w:p w14:paraId="77FB3E1E">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8D74680">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4E45500">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3875A655">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2977231">
      <w:pPr>
        <w:spacing w:line="348"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AE38D3A">
      <w:pPr>
        <w:spacing w:line="348"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404C31B">
      <w:pPr>
        <w:spacing w:line="348"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13B0533F">
      <w:pPr>
        <w:spacing w:line="348"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w:t>
      </w:r>
      <w:r>
        <w:rPr>
          <w:rFonts w:hint="eastAsia" w:ascii="宋体" w:hAnsi="宋体" w:cs="宋体"/>
          <w:b/>
          <w:color w:val="auto"/>
          <w:sz w:val="24"/>
          <w:highlight w:val="none"/>
        </w:rPr>
        <w:t>★采购人拟采购的产品属于政府强制采购的节能产品品目清单范围的，供应商相应的投标产品未获得国家确定的认证机构出具的、处于有效期之内的节能产品认证证书的，投标无效。</w:t>
      </w:r>
    </w:p>
    <w:p w14:paraId="09CB389A">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5AA50252">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6D51584">
      <w:pPr>
        <w:spacing w:line="348" w:lineRule="auto"/>
        <w:ind w:firstLine="480" w:firstLineChars="200"/>
        <w:rPr>
          <w:rFonts w:ascii="宋体" w:hAnsi="宋体" w:cs="宋体"/>
          <w:color w:val="auto"/>
          <w:sz w:val="24"/>
          <w:highlight w:val="none"/>
        </w:rPr>
      </w:pPr>
      <w:r>
        <w:rPr>
          <w:rFonts w:ascii="宋体" w:hAnsi="宋体" w:cs="宋体"/>
          <w:color w:val="auto"/>
          <w:sz w:val="24"/>
          <w:highlight w:val="none"/>
        </w:rPr>
        <w:t>3.2.4</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78BF319">
      <w:pPr>
        <w:spacing w:line="348"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5D77E4C">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14C1A98">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6DEE873">
      <w:pPr>
        <w:widowControl/>
        <w:spacing w:line="348"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供应商提供的货物、工程或者服务符合下列情形的，享受中小企业扶持政策：在服务采购项目中，服务由中小企业承接，即提供服务的人员为中小企业依照《中华人民共和国劳动合同法》订立劳动合同的从业人员。</w:t>
      </w:r>
    </w:p>
    <w:p w14:paraId="2B64AF0B">
      <w:pPr>
        <w:widowControl/>
        <w:spacing w:line="348"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236EF3B">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68F1433">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0353064">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F7FC5BA">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招标文件格式要求提供《中小企业声明函》，供应商提供的《中小企业声明函》与实际情况不符的，不享受中小企业扶持政策。声明内容不实的，属于提供虚假材料谋取中标、成交的，依法承担法律责任。</w:t>
      </w:r>
    </w:p>
    <w:p w14:paraId="43CE0846">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1D3D192">
      <w:pPr>
        <w:spacing w:line="348"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CAE4D83">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3.4.1采购人优先采购被认定为首台套产品和“制造精品”的自主创新产品。</w:t>
      </w:r>
    </w:p>
    <w:p w14:paraId="611015E4">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10F832D7">
      <w:pPr>
        <w:spacing w:line="348"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727DEA0">
      <w:pPr>
        <w:spacing w:line="348"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5B6254AA">
      <w:pPr>
        <w:autoSpaceDE w:val="0"/>
        <w:autoSpaceDN w:val="0"/>
        <w:spacing w:line="348"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68B3E1">
      <w:pPr>
        <w:autoSpaceDE w:val="0"/>
        <w:autoSpaceDN w:val="0"/>
        <w:spacing w:line="348"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477F02F">
      <w:pPr>
        <w:autoSpaceDE w:val="0"/>
        <w:autoSpaceDN w:val="0"/>
        <w:spacing w:line="348"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61B5060">
      <w:pPr>
        <w:autoSpaceDE w:val="0"/>
        <w:autoSpaceDN w:val="0"/>
        <w:spacing w:line="348"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10734BE">
      <w:pPr>
        <w:pStyle w:val="33"/>
        <w:spacing w:line="348"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D0EA0A2">
      <w:pPr>
        <w:pStyle w:val="33"/>
        <w:spacing w:line="348"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F60554D">
      <w:pPr>
        <w:pStyle w:val="5"/>
        <w:spacing w:line="348"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A922423">
      <w:pPr>
        <w:pStyle w:val="33"/>
        <w:spacing w:line="348"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F2BCD45">
      <w:pPr>
        <w:pStyle w:val="33"/>
        <w:spacing w:line="348"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BF76AE9">
      <w:pPr>
        <w:pStyle w:val="33"/>
        <w:spacing w:line="348"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594FBAC">
      <w:pPr>
        <w:pStyle w:val="33"/>
        <w:spacing w:line="348"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BF90D32">
      <w:pPr>
        <w:pStyle w:val="33"/>
        <w:spacing w:line="348"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E36AEA2">
      <w:pPr>
        <w:pStyle w:val="33"/>
        <w:spacing w:line="348"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EC3A062">
      <w:pPr>
        <w:pStyle w:val="33"/>
        <w:spacing w:line="348"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7EA9BE8E">
      <w:pPr>
        <w:pStyle w:val="33"/>
        <w:spacing w:line="348"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6DB4EB7">
      <w:pPr>
        <w:pStyle w:val="890"/>
        <w:spacing w:before="0" w:beforeAutospacing="0" w:after="0" w:afterAutospacing="0" w:line="348" w:lineRule="auto"/>
        <w:ind w:firstLine="403"/>
        <w:contextualSpacing/>
        <w:rPr>
          <w:color w:val="auto"/>
          <w:highlight w:val="none"/>
        </w:rPr>
      </w:pPr>
      <w:r>
        <w:rPr>
          <w:rFonts w:hint="eastAsia"/>
          <w:color w:val="auto"/>
          <w:highlight w:val="none"/>
          <w:lang w:val="zh-CN"/>
        </w:rPr>
        <w:t>供应商</w:t>
      </w:r>
      <w:r>
        <w:rPr>
          <w:rFonts w:hint="eastAsia"/>
          <w:color w:val="auto"/>
          <w:highlight w:val="none"/>
        </w:rPr>
        <w:t>提交的质疑函需一式三份。供应商为自然人的，应当由本人签字；供应商为法人或者其他组织的，应当由法定代表人、主要负责人，或者其授权代表签字或者盖章，并加盖公章。</w:t>
      </w:r>
    </w:p>
    <w:p w14:paraId="41BC31B9">
      <w:pPr>
        <w:pStyle w:val="890"/>
        <w:snapToGrid w:val="0"/>
        <w:spacing w:after="240" w:afterAutospacing="0" w:line="348" w:lineRule="auto"/>
        <w:ind w:firstLine="400"/>
        <w:contextualSpacing/>
        <w:rPr>
          <w:color w:val="auto"/>
          <w:highlight w:val="none"/>
        </w:rPr>
      </w:pPr>
      <w:r>
        <w:rPr>
          <w:rFonts w:hint="eastAsia"/>
          <w:color w:val="auto"/>
          <w:highlight w:val="none"/>
        </w:rPr>
        <w:t>质疑函范本及制作说明详见附件2。</w:t>
      </w:r>
    </w:p>
    <w:p w14:paraId="35AAE55A">
      <w:pPr>
        <w:pStyle w:val="890"/>
        <w:snapToGrid w:val="0"/>
        <w:spacing w:after="240" w:afterAutospacing="0" w:line="348"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217E4DE9">
      <w:pPr>
        <w:pStyle w:val="890"/>
        <w:snapToGrid w:val="0"/>
        <w:spacing w:after="240" w:afterAutospacing="0" w:line="348"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highlight w:val="none"/>
        </w:rPr>
        <w:t>根据《浙江省财政厅关于进一步加强政府采购公平竞争打造最优营商环境的通知》（浙财采监〔</w:t>
      </w:r>
      <w:r>
        <w:rPr>
          <w:rFonts w:asciiTheme="minorEastAsia" w:hAnsiTheme="minorEastAsia" w:eastAsiaTheme="minorEastAsia"/>
          <w:color w:val="auto"/>
          <w:highlight w:val="none"/>
        </w:rPr>
        <w:t>2021〕</w:t>
      </w:r>
      <w:r>
        <w:rPr>
          <w:rFonts w:hint="eastAsia" w:asciiTheme="minorEastAsia" w:hAnsiTheme="minorEastAsia" w:eastAsiaTheme="minorEastAsia"/>
          <w:color w:val="auto"/>
          <w:highlight w:val="none"/>
        </w:rPr>
        <w:t>22</w:t>
      </w:r>
      <w:r>
        <w:rPr>
          <w:rFonts w:asciiTheme="minorEastAsia" w:hAnsiTheme="minorEastAsia" w:eastAsiaTheme="minorEastAsia"/>
          <w:color w:val="auto"/>
          <w:highlight w:val="none"/>
        </w:rPr>
        <w:t>号）</w:t>
      </w:r>
      <w:r>
        <w:rPr>
          <w:rFonts w:hint="eastAsia" w:asciiTheme="minorEastAsia" w:hAnsiTheme="minorEastAsia" w:eastAsiaTheme="minorEastAsia"/>
          <w:color w:val="auto"/>
          <w:highlight w:val="none"/>
        </w:rPr>
        <w:t>，</w:t>
      </w:r>
      <w:r>
        <w:rPr>
          <w:rFonts w:hint="eastAsia"/>
          <w:color w:val="auto"/>
          <w:highlight w:val="none"/>
        </w:rPr>
        <w:t>采购人或者采购代理机构在质疑回复后5个工作日内，在浙江政府采购网的“其他公告”栏目公开质疑答复，答复内容应当完整。质疑函作为附件上传。</w:t>
      </w:r>
    </w:p>
    <w:p w14:paraId="4CE0C5A0">
      <w:pPr>
        <w:pStyle w:val="890"/>
        <w:snapToGrid w:val="0"/>
        <w:spacing w:after="240" w:afterAutospacing="0" w:line="348"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19E10C7">
      <w:pPr>
        <w:pStyle w:val="890"/>
        <w:snapToGrid w:val="0"/>
        <w:spacing w:after="240" w:afterAutospacing="0" w:line="348" w:lineRule="auto"/>
        <w:ind w:firstLine="480" w:firstLineChars="200"/>
        <w:contextualSpacing/>
        <w:rPr>
          <w:color w:val="auto"/>
          <w:highlight w:val="none"/>
          <w:lang w:val="zh-CN"/>
        </w:rPr>
      </w:pPr>
      <w:r>
        <w:rPr>
          <w:rFonts w:hint="eastAsia"/>
          <w:color w:val="auto"/>
          <w:highlight w:val="none"/>
          <w:lang w:val="zh-CN"/>
        </w:rPr>
        <w:t>4.4供应商投诉</w:t>
      </w:r>
    </w:p>
    <w:p w14:paraId="739504C2">
      <w:pPr>
        <w:pStyle w:val="890"/>
        <w:snapToGrid w:val="0"/>
        <w:spacing w:after="240" w:afterAutospacing="0" w:line="348"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66E3CBC">
      <w:pPr>
        <w:pStyle w:val="890"/>
        <w:snapToGrid w:val="0"/>
        <w:spacing w:after="240" w:afterAutospacing="0" w:line="348"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9414815">
      <w:pPr>
        <w:pStyle w:val="890"/>
        <w:snapToGrid w:val="0"/>
        <w:spacing w:after="240" w:afterAutospacing="0" w:line="348" w:lineRule="auto"/>
        <w:ind w:firstLine="400"/>
        <w:contextualSpacing/>
        <w:rPr>
          <w:color w:val="auto"/>
          <w:highlight w:val="none"/>
        </w:rPr>
      </w:pPr>
      <w:r>
        <w:rPr>
          <w:rFonts w:hint="eastAsia"/>
          <w:color w:val="auto"/>
          <w:highlight w:val="none"/>
        </w:rPr>
        <w:t>4.4.3供应商投诉应当有明确的请求和必要的证明材料。</w:t>
      </w:r>
    </w:p>
    <w:p w14:paraId="53839043">
      <w:pPr>
        <w:pStyle w:val="890"/>
        <w:snapToGrid w:val="0"/>
        <w:spacing w:after="240" w:afterAutospacing="0" w:line="348"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226E3308">
      <w:pPr>
        <w:pStyle w:val="890"/>
        <w:snapToGrid w:val="0"/>
        <w:spacing w:after="240" w:afterAutospacing="0" w:line="348" w:lineRule="auto"/>
        <w:ind w:firstLine="400"/>
        <w:contextualSpacing/>
        <w:rPr>
          <w:color w:val="auto"/>
          <w:highlight w:val="none"/>
        </w:rPr>
      </w:pPr>
      <w:r>
        <w:rPr>
          <w:rFonts w:hint="eastAsia"/>
          <w:color w:val="auto"/>
          <w:highlight w:val="none"/>
        </w:rPr>
        <w:t>4.4.5投诉材料寄送</w:t>
      </w:r>
      <w:r>
        <w:rPr>
          <w:rFonts w:hint="eastAsia"/>
          <w:color w:val="auto"/>
          <w:highlight w:val="none"/>
          <w:lang w:val="en-US" w:eastAsia="zh-CN"/>
        </w:rPr>
        <w:t>相关信息详见《第一部分  招标公告》</w:t>
      </w:r>
      <w:r>
        <w:rPr>
          <w:rFonts w:hint="eastAsia"/>
          <w:color w:val="auto"/>
          <w:highlight w:val="none"/>
        </w:rPr>
        <w:t>。</w:t>
      </w:r>
    </w:p>
    <w:p w14:paraId="1F02379B">
      <w:pPr>
        <w:pStyle w:val="890"/>
        <w:snapToGrid w:val="0"/>
        <w:spacing w:after="240" w:afterAutospacing="0" w:line="348" w:lineRule="auto"/>
        <w:ind w:firstLine="400"/>
        <w:contextualSpacing/>
        <w:rPr>
          <w:color w:val="auto"/>
          <w:highlight w:val="none"/>
        </w:rPr>
      </w:pPr>
      <w:r>
        <w:rPr>
          <w:rFonts w:hint="eastAsia"/>
          <w:color w:val="auto"/>
          <w:highlight w:val="none"/>
        </w:rPr>
        <w:t>投诉书范本及制作说明详见附件3。</w:t>
      </w:r>
    </w:p>
    <w:p w14:paraId="5116EBE7">
      <w:pPr>
        <w:adjustRightInd/>
        <w:spacing w:line="348" w:lineRule="auto"/>
        <w:jc w:val="center"/>
        <w:rPr>
          <w:rFonts w:hint="eastAsia" w:ascii="宋体" w:hAnsi="宋体" w:cs="宋体"/>
          <w:b/>
          <w:color w:val="auto"/>
          <w:sz w:val="32"/>
          <w:szCs w:val="20"/>
          <w:highlight w:val="none"/>
        </w:rPr>
      </w:pPr>
    </w:p>
    <w:p w14:paraId="364A4850">
      <w:pPr>
        <w:adjustRightInd/>
        <w:spacing w:line="348"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6B2048DB">
      <w:pPr>
        <w:pStyle w:val="33"/>
        <w:spacing w:line="348"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FDBC45C">
      <w:pPr>
        <w:pStyle w:val="33"/>
        <w:spacing w:line="34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125D256">
      <w:pPr>
        <w:pStyle w:val="33"/>
        <w:tabs>
          <w:tab w:val="left" w:pos="840"/>
        </w:tabs>
        <w:spacing w:line="348"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C918AEA">
      <w:pPr>
        <w:pStyle w:val="33"/>
        <w:tabs>
          <w:tab w:val="left" w:pos="840"/>
        </w:tabs>
        <w:spacing w:line="348"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38B2ECE2">
      <w:pPr>
        <w:pStyle w:val="33"/>
        <w:tabs>
          <w:tab w:val="left" w:pos="840"/>
        </w:tabs>
        <w:spacing w:line="348"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0C4679C">
      <w:pPr>
        <w:pStyle w:val="33"/>
        <w:tabs>
          <w:tab w:val="left" w:pos="840"/>
        </w:tabs>
        <w:spacing w:line="348"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4A28098">
      <w:pPr>
        <w:pStyle w:val="33"/>
        <w:tabs>
          <w:tab w:val="left" w:pos="840"/>
        </w:tabs>
        <w:spacing w:line="348"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DD69564">
      <w:pPr>
        <w:pStyle w:val="33"/>
        <w:tabs>
          <w:tab w:val="left" w:pos="840"/>
        </w:tabs>
        <w:spacing w:line="348"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01BC45E">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83D05EE">
      <w:pPr>
        <w:pStyle w:val="33"/>
        <w:spacing w:line="348" w:lineRule="auto"/>
        <w:rPr>
          <w:rFonts w:hAnsi="宋体" w:cs="宋体"/>
          <w:b/>
          <w:color w:val="auto"/>
          <w:sz w:val="24"/>
          <w:szCs w:val="24"/>
          <w:highlight w:val="none"/>
        </w:rPr>
      </w:pPr>
      <w:r>
        <w:rPr>
          <w:rFonts w:hint="eastAsia" w:hAnsi="宋体" w:cs="宋体"/>
          <w:b/>
          <w:color w:val="auto"/>
          <w:sz w:val="24"/>
          <w:szCs w:val="24"/>
          <w:highlight w:val="none"/>
        </w:rPr>
        <w:t>6.招标文件的澄清、修改</w:t>
      </w:r>
    </w:p>
    <w:p w14:paraId="2DBA0024">
      <w:pPr>
        <w:pStyle w:val="133"/>
        <w:snapToGrid w:val="0"/>
        <w:spacing w:before="0" w:line="348" w:lineRule="auto"/>
        <w:ind w:firstLine="480"/>
        <w:rPr>
          <w:rFonts w:ascii="宋体" w:hAnsi="宋体" w:cs="宋体"/>
          <w:color w:val="auto"/>
          <w:highlight w:val="none"/>
        </w:rPr>
      </w:pPr>
      <w:r>
        <w:rPr>
          <w:rFonts w:hint="eastAsia" w:ascii="宋体" w:hAnsi="宋体" w:cs="宋体"/>
          <w:color w:val="auto"/>
          <w:highlight w:val="none"/>
        </w:rPr>
        <w:t>6.1已获取招标文件的潜在供应商，若有问题需要澄清，应于投标截止时间前，以书面形式向采购代理机构提出。</w:t>
      </w:r>
    </w:p>
    <w:p w14:paraId="367DC7BD">
      <w:pPr>
        <w:pStyle w:val="133"/>
        <w:snapToGrid w:val="0"/>
        <w:spacing w:before="0" w:line="348" w:lineRule="auto"/>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供应商。依法应当公告的，将按规定公告，同时视情况延长投标截止时间和开标时间。该澄清或者修改的内容为招标文件的组成部分。</w:t>
      </w:r>
    </w:p>
    <w:p w14:paraId="1631C419">
      <w:pPr>
        <w:pStyle w:val="24"/>
        <w:spacing w:line="348" w:lineRule="auto"/>
        <w:rPr>
          <w:rFonts w:hAnsi="宋体" w:cs="宋体"/>
          <w:color w:val="auto"/>
          <w:sz w:val="18"/>
          <w:szCs w:val="18"/>
          <w:highlight w:val="none"/>
          <w:lang w:val="en-US"/>
        </w:rPr>
      </w:pPr>
    </w:p>
    <w:p w14:paraId="614C947A">
      <w:pPr>
        <w:adjustRightInd/>
        <w:spacing w:line="348" w:lineRule="auto"/>
        <w:jc w:val="center"/>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9B84E28">
      <w:pPr>
        <w:pStyle w:val="33"/>
        <w:spacing w:line="348" w:lineRule="auto"/>
        <w:rPr>
          <w:rFonts w:hAnsi="宋体" w:cs="宋体"/>
          <w:b/>
          <w:color w:val="auto"/>
          <w:sz w:val="24"/>
          <w:szCs w:val="24"/>
          <w:highlight w:val="none"/>
        </w:rPr>
      </w:pPr>
      <w:r>
        <w:rPr>
          <w:rFonts w:hint="eastAsia" w:hAnsi="宋体" w:cs="宋体"/>
          <w:b/>
          <w:color w:val="auto"/>
          <w:sz w:val="24"/>
          <w:szCs w:val="24"/>
          <w:highlight w:val="none"/>
        </w:rPr>
        <w:t>7.招标文件的获取</w:t>
      </w:r>
    </w:p>
    <w:p w14:paraId="1DC717E2">
      <w:pPr>
        <w:spacing w:line="348"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CC24A81">
      <w:pPr>
        <w:pStyle w:val="33"/>
        <w:spacing w:line="348"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6473413">
      <w:pPr>
        <w:pStyle w:val="33"/>
        <w:spacing w:line="348"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采购人组织潜在供应商现场考察或者召开开标前答疑会的，潜在供应商按第二部分供应商须知前附表的规定参加现场考察或者开标前答疑会。</w:t>
      </w:r>
    </w:p>
    <w:p w14:paraId="0A9342B8">
      <w:pPr>
        <w:pStyle w:val="33"/>
        <w:spacing w:line="348"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3A78614F">
      <w:pPr>
        <w:pStyle w:val="5"/>
        <w:spacing w:line="348"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78A74E8">
      <w:pPr>
        <w:pStyle w:val="33"/>
        <w:spacing w:line="348"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EEC0EFC">
      <w:pPr>
        <w:autoSpaceDE w:val="0"/>
        <w:autoSpaceDN w:val="0"/>
        <w:spacing w:line="348"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投标文件及供应商与采购有关的来往通知、函件和文件均应使用中文。</w:t>
      </w:r>
    </w:p>
    <w:p w14:paraId="6FB0584B">
      <w:pPr>
        <w:pStyle w:val="33"/>
        <w:spacing w:line="348"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AED7F28">
      <w:pPr>
        <w:snapToGrid w:val="0"/>
        <w:spacing w:line="348"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11.1资格文件：</w:t>
      </w:r>
    </w:p>
    <w:p w14:paraId="1326604D">
      <w:pPr>
        <w:snapToGrid w:val="0"/>
        <w:spacing w:line="348"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CDEC7D3">
      <w:pPr>
        <w:snapToGrid w:val="0"/>
        <w:spacing w:line="348"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7ADB9075">
      <w:pPr>
        <w:snapToGrid w:val="0"/>
        <w:spacing w:line="348"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F425D8C">
      <w:pPr>
        <w:snapToGrid w:val="0"/>
        <w:spacing w:line="348"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B0A9462">
      <w:pPr>
        <w:snapToGrid w:val="0"/>
        <w:spacing w:line="348"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5EC624D6">
      <w:pPr>
        <w:snapToGrid w:val="0"/>
        <w:spacing w:line="348"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134F72D">
      <w:pPr>
        <w:snapToGrid w:val="0"/>
        <w:spacing w:line="348"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8A9F79B">
      <w:pPr>
        <w:snapToGrid w:val="0"/>
        <w:spacing w:line="348"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B30BDCF">
      <w:pPr>
        <w:snapToGrid w:val="0"/>
        <w:spacing w:line="348"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0F82DBC">
      <w:pPr>
        <w:snapToGrid w:val="0"/>
        <w:spacing w:line="348"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FC50709">
      <w:pPr>
        <w:snapToGrid w:val="0"/>
        <w:spacing w:line="348"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59D7A774">
      <w:pPr>
        <w:snapToGrid w:val="0"/>
        <w:spacing w:line="348"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13A233A2">
      <w:pPr>
        <w:snapToGrid w:val="0"/>
        <w:spacing w:line="348" w:lineRule="auto"/>
        <w:ind w:firstLine="482"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3ABCB68D">
      <w:pPr>
        <w:snapToGrid w:val="0"/>
        <w:spacing w:line="348"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03F5DF56">
      <w:pPr>
        <w:snapToGrid w:val="0"/>
        <w:spacing w:line="348"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5FCB8A8E">
      <w:pPr>
        <w:snapToGrid w:val="0"/>
        <w:spacing w:line="348"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11.3.3投标报价明细表。</w:t>
      </w:r>
    </w:p>
    <w:p w14:paraId="4BCD8820">
      <w:pPr>
        <w:spacing w:line="348"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lang w:eastAsia="zh-CN"/>
        </w:rPr>
        <w:t>报价明显低于其他通过符合性审查供应商的报价（</w:t>
      </w:r>
      <w:r>
        <w:rPr>
          <w:rFonts w:hint="eastAsia" w:ascii="宋体" w:hAnsi="宋体" w:cs="宋体"/>
          <w:b/>
          <w:color w:val="auto"/>
          <w:sz w:val="24"/>
          <w:highlight w:val="none"/>
          <w:lang w:val="en-US" w:eastAsia="zh-CN"/>
        </w:rPr>
        <w:t>低于项目预算50%的）</w:t>
      </w:r>
      <w:r>
        <w:rPr>
          <w:rFonts w:hint="eastAsia" w:ascii="宋体" w:hAnsi="宋体" w:cs="宋体"/>
          <w:b/>
          <w:color w:val="auto"/>
          <w:sz w:val="24"/>
          <w:highlight w:val="none"/>
          <w:lang w:eastAsia="zh-CN"/>
        </w:rPr>
        <w:t>，有可能影响产品质量或者不能诚信履约的，未能按要求提供书面说明或者提交相关证明材料，不能证明其报价合理性的，</w:t>
      </w:r>
      <w:r>
        <w:rPr>
          <w:rFonts w:hint="eastAsia" w:ascii="宋体" w:hAnsi="宋体" w:cs="宋体"/>
          <w:b/>
          <w:color w:val="auto"/>
          <w:sz w:val="24"/>
          <w:highlight w:val="none"/>
          <w:lang w:val="en-US" w:eastAsia="zh-CN"/>
        </w:rPr>
        <w:t>其投标无效</w:t>
      </w:r>
      <w:r>
        <w:rPr>
          <w:rFonts w:hint="eastAsia" w:ascii="宋体" w:hAnsi="宋体" w:cs="宋体"/>
          <w:b/>
          <w:color w:val="auto"/>
          <w:sz w:val="24"/>
          <w:highlight w:val="none"/>
        </w:rPr>
        <w:t>。</w:t>
      </w:r>
    </w:p>
    <w:p w14:paraId="27D34E44">
      <w:pPr>
        <w:pStyle w:val="133"/>
        <w:snapToGrid w:val="0"/>
        <w:spacing w:before="0" w:line="348" w:lineRule="auto"/>
        <w:ind w:firstLine="0" w:firstLineChars="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3638187">
      <w:pPr>
        <w:spacing w:line="348"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05F52BAC">
      <w:pPr>
        <w:spacing w:line="348"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12.2供应商进行电子投标应安装客户端软件—“政采云电子交易客户端”，并按照招标文件和电子交易平台的要求编制并加密投标文件。供应商未按规定加密的投标文件，电子交易平台将拒收并提示。</w:t>
      </w:r>
    </w:p>
    <w:p w14:paraId="386D1E11">
      <w:pPr>
        <w:spacing w:line="348"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EC708E9">
      <w:pPr>
        <w:snapToGrid w:val="0"/>
        <w:spacing w:line="348" w:lineRule="auto"/>
        <w:rPr>
          <w:rFonts w:hint="eastAsia" w:ascii="宋体" w:hAnsi="宋体" w:cs="宋体"/>
          <w:b/>
          <w:color w:val="auto"/>
          <w:sz w:val="24"/>
          <w:highlight w:val="none"/>
        </w:rPr>
      </w:pPr>
    </w:p>
    <w:p w14:paraId="29DC63DE">
      <w:pPr>
        <w:snapToGrid w:val="0"/>
        <w:spacing w:line="348"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15411AB">
      <w:pPr>
        <w:pStyle w:val="133"/>
        <w:snapToGrid w:val="0"/>
        <w:spacing w:before="0" w:line="348" w:lineRule="auto"/>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★供应商的投标文件未按照招标文件要求签署、盖章的，其投标无效</w:t>
      </w:r>
      <w:r>
        <w:rPr>
          <w:rFonts w:hint="eastAsia" w:ascii="宋体" w:hAnsi="宋体" w:cs="宋体"/>
          <w:color w:val="auto"/>
          <w:szCs w:val="24"/>
          <w:highlight w:val="none"/>
        </w:rPr>
        <w:t>。</w:t>
      </w:r>
    </w:p>
    <w:p w14:paraId="593F0E55">
      <w:pPr>
        <w:pStyle w:val="133"/>
        <w:snapToGrid w:val="0"/>
        <w:spacing w:before="0" w:line="348" w:lineRule="auto"/>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13.2为确保网上操作合法、有效和安全，供应商应当在投标截止时间前完成在“政府采购云平台”的身份认证，确保在电子投标过程中能够对相关数据电文进行加密和使用电子签名。</w:t>
      </w:r>
    </w:p>
    <w:p w14:paraId="490F9C33">
      <w:pPr>
        <w:pStyle w:val="133"/>
        <w:snapToGrid w:val="0"/>
        <w:spacing w:before="0" w:line="348" w:lineRule="auto"/>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F5F4732">
      <w:pPr>
        <w:snapToGrid w:val="0"/>
        <w:spacing w:line="348" w:lineRule="auto"/>
        <w:rPr>
          <w:rFonts w:ascii="宋体" w:hAnsi="宋体" w:cs="宋体"/>
          <w:b/>
          <w:color w:val="auto"/>
          <w:sz w:val="24"/>
          <w:highlight w:val="none"/>
        </w:rPr>
      </w:pPr>
      <w:r>
        <w:rPr>
          <w:rFonts w:hint="eastAsia" w:ascii="宋体" w:hAnsi="宋体" w:cs="宋体"/>
          <w:b/>
          <w:color w:val="auto"/>
          <w:sz w:val="24"/>
          <w:highlight w:val="none"/>
        </w:rPr>
        <w:t>14. 投标文件的提交、补充、修改、撤回</w:t>
      </w:r>
    </w:p>
    <w:p w14:paraId="14F91C1C">
      <w:pPr>
        <w:pStyle w:val="133"/>
        <w:spacing w:before="0" w:line="348" w:lineRule="auto"/>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DBABE56">
      <w:pPr>
        <w:pStyle w:val="133"/>
        <w:spacing w:before="0" w:line="348" w:lineRule="auto"/>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98489E4">
      <w:pPr>
        <w:pStyle w:val="133"/>
        <w:spacing w:before="0" w:line="348" w:lineRule="auto"/>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14.3采购人、采购代理机构可以视情况延长投标文件提交的截止时间。在上述情况下，采购代理机构与供应商以前在投标截止期方面的全部权利、责任和义务，将适用于延长至新的投标截止期。</w:t>
      </w:r>
    </w:p>
    <w:p w14:paraId="4F60ADBC">
      <w:pPr>
        <w:pStyle w:val="33"/>
        <w:spacing w:line="348" w:lineRule="auto"/>
        <w:rPr>
          <w:rFonts w:hAnsi="宋体" w:cs="宋体"/>
          <w:b/>
          <w:color w:val="auto"/>
          <w:sz w:val="24"/>
          <w:szCs w:val="24"/>
          <w:highlight w:val="none"/>
        </w:rPr>
      </w:pPr>
      <w:r>
        <w:rPr>
          <w:rFonts w:hint="eastAsia" w:hAnsi="宋体" w:cs="宋体"/>
          <w:b/>
          <w:color w:val="auto"/>
          <w:sz w:val="24"/>
          <w:szCs w:val="24"/>
          <w:highlight w:val="none"/>
        </w:rPr>
        <w:t>15.备份投标文件（文件后缀为：bfbs）</w:t>
      </w:r>
    </w:p>
    <w:p w14:paraId="36F97AF9">
      <w:pPr>
        <w:pStyle w:val="33"/>
        <w:spacing w:line="348"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15.1供应商在电子交易平台传输递交投标文件后，还可以在投标截止时间前直接提交或者以邮政快递方式递交备份投标文件1份，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但采购人、采购代理机构不强制或变相强制供应商提交备份投标文件。</w:t>
      </w:r>
    </w:p>
    <w:p w14:paraId="7ABD6C20">
      <w:pPr>
        <w:spacing w:line="348" w:lineRule="auto"/>
        <w:ind w:firstLine="480" w:firstLineChars="200"/>
        <w:rPr>
          <w:rFonts w:ascii="宋体" w:hAnsi="宋体" w:cs="宋体"/>
          <w:b/>
          <w:snapToGrid w:val="0"/>
          <w:color w:val="auto"/>
          <w:sz w:val="24"/>
          <w:highlight w:val="none"/>
        </w:rPr>
      </w:pPr>
      <w:r>
        <w:rPr>
          <w:rFonts w:hint="eastAsia" w:ascii="宋体" w:hAnsi="宋体" w:cs="宋体"/>
          <w:snapToGrid w:val="0"/>
          <w:color w:val="auto"/>
          <w:sz w:val="24"/>
          <w:highlight w:val="none"/>
        </w:rPr>
        <w:t>15.2备份投标文件须在“政采云投标客户端”制作生成，并储存在</w:t>
      </w:r>
      <w:r>
        <w:rPr>
          <w:rFonts w:hint="eastAsia" w:ascii="宋体" w:hAnsi="宋体" w:cs="宋体"/>
          <w:snapToGrid w:val="0"/>
          <w:color w:val="auto"/>
          <w:sz w:val="24"/>
          <w:szCs w:val="21"/>
          <w:highlight w:val="none"/>
        </w:rPr>
        <w:t>U盘</w:t>
      </w:r>
      <w:r>
        <w:rPr>
          <w:rFonts w:hint="eastAsia" w:ascii="宋体" w:hAnsi="宋体" w:cs="宋体"/>
          <w:snapToGrid w:val="0"/>
          <w:color w:val="auto"/>
          <w:sz w:val="24"/>
          <w:highlight w:val="none"/>
        </w:rPr>
        <w:t>中。备份投标文件应当密封包装并在包装上加盖公章并注明投标项目名称，供应商名称（联合体投标的，包装物封面需注明联合体投标，并注明联合体成员各方的名称和联合协议中约定的牵头人的名称）。</w:t>
      </w:r>
      <w:r>
        <w:rPr>
          <w:rFonts w:hint="eastAsia" w:ascii="宋体" w:hAnsi="宋体" w:cs="宋体"/>
          <w:b/>
          <w:snapToGrid w:val="0"/>
          <w:color w:val="auto"/>
          <w:sz w:val="24"/>
          <w:szCs w:val="21"/>
          <w:highlight w:val="none"/>
        </w:rPr>
        <w:t>不符合上述制作、</w:t>
      </w:r>
      <w:r>
        <w:rPr>
          <w:rFonts w:hint="eastAsia" w:ascii="宋体" w:hAnsi="宋体" w:cs="宋体"/>
          <w:b/>
          <w:snapToGrid w:val="0"/>
          <w:color w:val="auto"/>
          <w:sz w:val="24"/>
          <w:highlight w:val="none"/>
        </w:rPr>
        <w:t>存储、密封规定的备份投标文件将被视为无效或者被拒绝接收。</w:t>
      </w:r>
    </w:p>
    <w:p w14:paraId="4813A481">
      <w:pPr>
        <w:spacing w:line="348" w:lineRule="auto"/>
        <w:ind w:firstLine="480" w:firstLineChars="200"/>
        <w:rPr>
          <w:rFonts w:ascii="宋体" w:hAnsi="宋体" w:cs="宋体"/>
          <w:snapToGrid w:val="0"/>
          <w:color w:val="auto"/>
          <w:sz w:val="24"/>
          <w:highlight w:val="none"/>
        </w:rPr>
      </w:pPr>
      <w:r>
        <w:rPr>
          <w:rFonts w:hint="eastAsia" w:ascii="宋体" w:hAnsi="宋体" w:cs="宋体"/>
          <w:snapToGrid w:val="0"/>
          <w:color w:val="auto"/>
          <w:sz w:val="24"/>
          <w:highlight w:val="none"/>
        </w:rPr>
        <w:t>15.3直接提交备份投标文件的，供应商应于投标截止时间前在</w:t>
      </w:r>
      <w:r>
        <w:rPr>
          <w:rFonts w:hint="eastAsia" w:ascii="宋体" w:hAnsi="宋体" w:cs="宋体"/>
          <w:color w:val="auto"/>
          <w:sz w:val="24"/>
          <w:highlight w:val="none"/>
        </w:rPr>
        <w:t>招标文件第二部分供应商须知前附表规定的备份投标文件送达地点</w:t>
      </w:r>
      <w:r>
        <w:rPr>
          <w:rFonts w:hint="eastAsia" w:ascii="宋体" w:hAnsi="宋体" w:cs="宋体"/>
          <w:snapToGrid w:val="0"/>
          <w:color w:val="auto"/>
          <w:sz w:val="24"/>
          <w:highlight w:val="none"/>
        </w:rPr>
        <w:t>将备份投标文件提交给采购代理机构，采购代理机构将拒绝接受逾期送达的备份投标文件。</w:t>
      </w:r>
    </w:p>
    <w:p w14:paraId="6A885769">
      <w:pPr>
        <w:spacing w:line="348" w:lineRule="auto"/>
        <w:ind w:firstLine="480" w:firstLineChars="200"/>
        <w:rPr>
          <w:rFonts w:ascii="宋体" w:hAnsi="宋体" w:cs="宋体"/>
          <w:snapToGrid w:val="0"/>
          <w:color w:val="auto"/>
          <w:sz w:val="24"/>
          <w:highlight w:val="none"/>
        </w:rPr>
      </w:pPr>
      <w:r>
        <w:rPr>
          <w:rFonts w:hint="eastAsia" w:ascii="宋体" w:hAnsi="宋体" w:cs="宋体"/>
          <w:snapToGrid w:val="0"/>
          <w:color w:val="auto"/>
          <w:sz w:val="24"/>
          <w:highlight w:val="none"/>
        </w:rPr>
        <w:t>15.4以邮政快递方式递交备份投标文件的，供应商应先将备份投标文件按要求密封和标记，再进行邮政快递包装后邮寄。备份投标文件须在</w:t>
      </w:r>
      <w:r>
        <w:rPr>
          <w:rFonts w:hint="eastAsia" w:ascii="宋体" w:hAnsi="宋体" w:cs="宋体"/>
          <w:color w:val="auto"/>
          <w:sz w:val="24"/>
          <w:highlight w:val="none"/>
        </w:rPr>
        <w:t>第二部分供应商须知前附表规定的备份投标文件送达</w:t>
      </w:r>
      <w:r>
        <w:rPr>
          <w:rFonts w:hint="eastAsia" w:ascii="宋体" w:hAnsi="宋体" w:cs="宋体"/>
          <w:snapToGrid w:val="0"/>
          <w:color w:val="auto"/>
          <w:sz w:val="24"/>
          <w:highlight w:val="none"/>
        </w:rPr>
        <w:t>截止时间之前送达</w:t>
      </w:r>
      <w:r>
        <w:rPr>
          <w:rFonts w:hint="eastAsia" w:ascii="宋体" w:hAnsi="宋体" w:cs="宋体"/>
          <w:color w:val="auto"/>
          <w:sz w:val="24"/>
          <w:highlight w:val="none"/>
        </w:rPr>
        <w:t>招标文件第二部分供应商须知前附表规定的备份投标文件送达地点；</w:t>
      </w:r>
      <w:r>
        <w:rPr>
          <w:rFonts w:hint="eastAsia" w:ascii="宋体" w:hAnsi="宋体" w:cs="宋体"/>
          <w:snapToGrid w:val="0"/>
          <w:color w:val="auto"/>
          <w:sz w:val="24"/>
          <w:highlight w:val="none"/>
        </w:rPr>
        <w:t>送达时间以签收人签收时间为准。采购代理机构将拒绝接受逾期送达的备份投标文件。邮寄过程中，电子备份投标文件发生泄露、遗失、损坏或延期送达等情况的，由供应商自行负责。</w:t>
      </w:r>
    </w:p>
    <w:p w14:paraId="15AF70EA">
      <w:pPr>
        <w:pStyle w:val="33"/>
        <w:spacing w:line="348"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★15.5供应商仅提交备份投标文件，未在电子交易平台传输递交投标文件的，投标无效。</w:t>
      </w:r>
    </w:p>
    <w:p w14:paraId="0CC52681">
      <w:pPr>
        <w:pStyle w:val="133"/>
        <w:spacing w:before="0" w:line="348" w:lineRule="auto"/>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11F9ACDC">
      <w:pPr>
        <w:pStyle w:val="25"/>
        <w:spacing w:line="348"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795D5C5">
      <w:pPr>
        <w:pStyle w:val="133"/>
        <w:spacing w:before="0" w:line="348" w:lineRule="auto"/>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6143B91C">
      <w:pPr>
        <w:spacing w:line="348"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供应商的投标文件中承</w:t>
      </w:r>
      <w:r>
        <w:rPr>
          <w:rFonts w:hint="eastAsia" w:ascii="宋体" w:hAnsi="宋体" w:cs="宋体"/>
          <w:b/>
          <w:color w:val="auto"/>
          <w:sz w:val="24"/>
          <w:szCs w:val="21"/>
          <w:highlight w:val="none"/>
        </w:rPr>
        <w:t>诺的投标有效期少于招标文件中载明的投标有效期的，投标无效。</w:t>
      </w:r>
    </w:p>
    <w:p w14:paraId="1BB74988">
      <w:pPr>
        <w:pStyle w:val="133"/>
        <w:spacing w:before="0" w:line="348" w:lineRule="auto"/>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BA7CF2E">
      <w:pPr>
        <w:pStyle w:val="133"/>
        <w:spacing w:before="0" w:line="348" w:lineRule="auto"/>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17.3在原定投标有效期满之前，如果出现特殊情况，采购代理机构可以以书面形式通知供应商延长投标有效期。供应商同意延长的，不得要求或被允许修改其投标文件，供应商拒绝延长的，其投标无效。</w:t>
      </w:r>
    </w:p>
    <w:p w14:paraId="4009E03D">
      <w:pPr>
        <w:pStyle w:val="133"/>
        <w:spacing w:before="0" w:line="348" w:lineRule="auto"/>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627231F">
      <w:pPr>
        <w:pStyle w:val="558"/>
        <w:spacing w:before="0" w:line="348"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E248818">
      <w:pPr>
        <w:pStyle w:val="558"/>
        <w:spacing w:before="0" w:line="348"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18.1采购代理机构按照招标文件规定的时间通过电子交易平台组织开标，所有供应商均应当准时在线参加。供应商不足3家的，不得开标。</w:t>
      </w:r>
    </w:p>
    <w:p w14:paraId="433417E4">
      <w:pPr>
        <w:pStyle w:val="558"/>
        <w:spacing w:before="0" w:line="348"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18.2开标时，电子交易平台按开标时间自动提取所有投标文件。采购代理机构依托电子交易平台发起开始解密指令，供应商按照平台提示和招标文件的规定在半小时内完成在线解密。</w:t>
      </w:r>
    </w:p>
    <w:p w14:paraId="535A02AB">
      <w:pPr>
        <w:pStyle w:val="558"/>
        <w:spacing w:before="0" w:line="348"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18.2.1具体开标程序：</w:t>
      </w:r>
    </w:p>
    <w:p w14:paraId="0D79FA4E">
      <w:pPr>
        <w:pStyle w:val="558"/>
        <w:spacing w:before="0" w:line="348"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第一阶段：</w:t>
      </w:r>
    </w:p>
    <w:p w14:paraId="37A9519B">
      <w:pPr>
        <w:pStyle w:val="558"/>
        <w:spacing w:before="0" w:line="348"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投标截止时间后，供应商登录政府采购云平台，用“项目采购-开标评标”功能对电子投标文件进行在线解密，在线解密电子投标文件时间为开标时间后30分钟内。</w:t>
      </w:r>
    </w:p>
    <w:p w14:paraId="31357E0B">
      <w:pPr>
        <w:pStyle w:val="558"/>
        <w:spacing w:before="0" w:line="348"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在政府采购云平台开启已解密供应商的“资格文件、商务技术文件”，并做开标记录；</w:t>
      </w:r>
    </w:p>
    <w:p w14:paraId="0DDBB658">
      <w:pPr>
        <w:pStyle w:val="558"/>
        <w:spacing w:before="0" w:line="348"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第二阶段：</w:t>
      </w:r>
    </w:p>
    <w:p w14:paraId="1B3A96E5">
      <w:pPr>
        <w:pStyle w:val="558"/>
        <w:spacing w:before="0" w:line="348"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（1）在政府采购云平台宣告第一阶段评审无效供应商名单及理由；</w:t>
      </w:r>
    </w:p>
    <w:p w14:paraId="44A4256B">
      <w:pPr>
        <w:pStyle w:val="558"/>
        <w:spacing w:before="0" w:line="348"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（2）公布经第一阶段评审符合招标文件要求的供应商的商务技术得分情况；</w:t>
      </w:r>
    </w:p>
    <w:p w14:paraId="59602C12">
      <w:pPr>
        <w:pStyle w:val="558"/>
        <w:spacing w:before="0" w:line="348"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（3）在政府采购云平台开启除第一阶段无效标外的供应商的“报价文件”，并做开标记录；</w:t>
      </w:r>
    </w:p>
    <w:p w14:paraId="50D94D0F">
      <w:pPr>
        <w:pStyle w:val="558"/>
        <w:spacing w:before="0" w:line="348"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（4）在政府采购云平台公布评审结果。</w:t>
      </w:r>
    </w:p>
    <w:p w14:paraId="5D574DFE">
      <w:pPr>
        <w:pStyle w:val="558"/>
        <w:spacing w:before="0" w:line="348"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（5）开标会议结束。</w:t>
      </w:r>
    </w:p>
    <w:p w14:paraId="2043CD3E">
      <w:pPr>
        <w:pStyle w:val="558"/>
        <w:spacing w:before="0" w:line="348"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投标文件未按时解密，供应商提供了备份投标文件的，以备份投标文件作为依据，否则视为投标文件撤回。投标文件已按时解密的，备份投标文件自动失效。</w:t>
      </w:r>
    </w:p>
    <w:p w14:paraId="105966A6">
      <w:pPr>
        <w:pStyle w:val="133"/>
        <w:spacing w:before="0" w:line="348" w:lineRule="auto"/>
        <w:ind w:firstLine="0" w:firstLineChars="0"/>
        <w:rPr>
          <w:rFonts w:ascii="宋体" w:hAnsi="宋体" w:cs="宋体"/>
          <w:b/>
          <w:color w:val="auto"/>
          <w:szCs w:val="24"/>
          <w:highlight w:val="none"/>
        </w:rPr>
      </w:pPr>
      <w:r>
        <w:rPr>
          <w:rFonts w:hint="eastAsia" w:ascii="宋体" w:hAnsi="宋体" w:cs="宋体"/>
          <w:b/>
          <w:color w:val="auto"/>
          <w:szCs w:val="24"/>
          <w:highlight w:val="none"/>
        </w:rPr>
        <w:t>19、资格审查</w:t>
      </w:r>
    </w:p>
    <w:p w14:paraId="15785B10">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采购人或采购代理机构依据法律法规和招标文件的规定，对供应商的资格进行审查。</w:t>
      </w:r>
    </w:p>
    <w:p w14:paraId="2ED2410E">
      <w:pPr>
        <w:pStyle w:val="133"/>
        <w:spacing w:before="0" w:line="348" w:lineRule="auto"/>
        <w:ind w:firstLine="480"/>
        <w:rPr>
          <w:rFonts w:ascii="宋体" w:hAnsi="宋体" w:cs="宋体"/>
          <w:color w:val="auto"/>
          <w:highlight w:val="none"/>
        </w:rPr>
      </w:pPr>
      <w:r>
        <w:rPr>
          <w:rFonts w:hint="eastAsia" w:ascii="宋体" w:hAnsi="宋体" w:cs="宋体"/>
          <w:color w:val="auto"/>
          <w:kern w:val="0"/>
          <w:szCs w:val="24"/>
          <w:highlight w:val="none"/>
        </w:rPr>
        <w:t>19.2供应商未按照招标文件要求提供与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供应商不具备招标文件中规定的资格要求，其投标无效。</w:t>
      </w:r>
    </w:p>
    <w:p w14:paraId="4B67FFD2">
      <w:pPr>
        <w:pStyle w:val="133"/>
        <w:spacing w:before="0" w:line="348" w:lineRule="auto"/>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3对未通过资格审查的供应商，采购人或采购代理机构告知其未通过的原因。</w:t>
      </w:r>
    </w:p>
    <w:p w14:paraId="44356F70">
      <w:pPr>
        <w:pStyle w:val="133"/>
        <w:spacing w:before="0" w:line="348" w:lineRule="auto"/>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4合格供应商不足3家的，不再评标。</w:t>
      </w:r>
    </w:p>
    <w:p w14:paraId="4197BEB9">
      <w:pPr>
        <w:pStyle w:val="133"/>
        <w:spacing w:before="0" w:line="348" w:lineRule="auto"/>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00A57203">
      <w:pPr>
        <w:pStyle w:val="133"/>
        <w:spacing w:before="0" w:line="348" w:lineRule="auto"/>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20.1信用信息查询渠道及截止时间：采购代理机构将在资格审查时通过“信用中国”网站（www.creditchina.gov.cn)、中国政府采购网（www.ccgp.gov.cn）渠道查询供应商接受资格时的信用记录。</w:t>
      </w:r>
    </w:p>
    <w:p w14:paraId="3E760F6B">
      <w:pPr>
        <w:pStyle w:val="133"/>
        <w:spacing w:before="0" w:line="348" w:lineRule="auto"/>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20.2信用信息查询记录和证据留存的具体方式：现场查询的供应商的信用记录、查询结果经确认后将与招标文件一起存档。</w:t>
      </w:r>
    </w:p>
    <w:p w14:paraId="605ADE4D">
      <w:pPr>
        <w:pStyle w:val="133"/>
        <w:spacing w:before="0" w:line="348" w:lineRule="auto"/>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20.3信用信息的使用规则：经查询列入失信被执行人名单、重大税收违法案件当事人名单（重大税收违法失信主体）、政府采购严重违法失信行为记录名单的供应商将被拒绝参与政府采购活动。</w:t>
      </w:r>
    </w:p>
    <w:p w14:paraId="1A6B2F1A">
      <w:pPr>
        <w:pStyle w:val="133"/>
        <w:spacing w:before="0" w:line="348" w:lineRule="auto"/>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D9CAFB1">
      <w:pPr>
        <w:snapToGrid w:val="0"/>
        <w:spacing w:line="348" w:lineRule="auto"/>
        <w:jc w:val="center"/>
        <w:rPr>
          <w:rFonts w:ascii="宋体" w:hAnsi="宋体" w:cs="宋体"/>
          <w:b/>
          <w:color w:val="auto"/>
          <w:sz w:val="36"/>
          <w:szCs w:val="36"/>
          <w:highlight w:val="none"/>
        </w:rPr>
      </w:pPr>
    </w:p>
    <w:p w14:paraId="379E68E0">
      <w:pPr>
        <w:snapToGrid w:val="0"/>
        <w:spacing w:line="348"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5FD3675">
      <w:pPr>
        <w:spacing w:line="348" w:lineRule="auto"/>
        <w:rPr>
          <w:rFonts w:ascii="宋体" w:hAnsi="宋体" w:cs="宋体"/>
          <w:b/>
          <w:color w:val="auto"/>
          <w:sz w:val="24"/>
          <w:highlight w:val="none"/>
        </w:rPr>
      </w:pPr>
      <w:bookmarkStart w:id="15"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供应商对招标文件的响应情况。对实质上响应招标文件的供应商，按照评审因素的量化指标排出推荐中标的供应商的先后顺序，并按顺序提出授标建议。</w:t>
      </w:r>
      <w:r>
        <w:rPr>
          <w:rFonts w:hint="eastAsia" w:ascii="宋体" w:hAnsi="宋体" w:cs="宋体"/>
          <w:b/>
          <w:color w:val="auto"/>
          <w:sz w:val="24"/>
          <w:highlight w:val="none"/>
        </w:rPr>
        <w:t>详见招标文件第四部分评标办法。</w:t>
      </w:r>
    </w:p>
    <w:p w14:paraId="472D7750">
      <w:pPr>
        <w:spacing w:line="348" w:lineRule="auto"/>
        <w:rPr>
          <w:rFonts w:ascii="宋体" w:hAnsi="宋体" w:cs="宋体"/>
          <w:b/>
          <w:color w:val="auto"/>
          <w:sz w:val="24"/>
          <w:highlight w:val="none"/>
        </w:rPr>
      </w:pPr>
    </w:p>
    <w:p w14:paraId="79DE8DF3">
      <w:pPr>
        <w:snapToGrid w:val="0"/>
        <w:spacing w:line="348" w:lineRule="auto"/>
        <w:jc w:val="center"/>
        <w:rPr>
          <w:rFonts w:ascii="宋体" w:hAnsi="宋体" w:cs="宋体"/>
          <w:b/>
          <w:color w:val="auto"/>
          <w:sz w:val="36"/>
          <w:szCs w:val="36"/>
          <w:highlight w:val="none"/>
        </w:rPr>
      </w:pPr>
    </w:p>
    <w:p w14:paraId="13789B10">
      <w:pPr>
        <w:snapToGrid w:val="0"/>
        <w:spacing w:line="348"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2EA5AB5">
      <w:pPr>
        <w:pStyle w:val="25"/>
        <w:spacing w:line="348" w:lineRule="auto"/>
        <w:ind w:left="479" w:hanging="479" w:hangingChars="199"/>
        <w:rPr>
          <w:rFonts w:cs="宋体"/>
          <w:b/>
          <w:color w:val="auto"/>
          <w:highlight w:val="none"/>
        </w:rPr>
      </w:pPr>
      <w:r>
        <w:rPr>
          <w:rFonts w:hint="eastAsia" w:cs="宋体"/>
          <w:b/>
          <w:color w:val="auto"/>
          <w:highlight w:val="none"/>
        </w:rPr>
        <w:t>22. 确定中标人</w:t>
      </w:r>
    </w:p>
    <w:p w14:paraId="1B3F5F6E">
      <w:pPr>
        <w:pStyle w:val="133"/>
        <w:snapToGrid w:val="0"/>
        <w:spacing w:before="0" w:line="348" w:lineRule="auto"/>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6FB02A5C">
      <w:pPr>
        <w:pStyle w:val="133"/>
        <w:snapToGrid w:val="0"/>
        <w:spacing w:before="0" w:line="348" w:lineRule="auto"/>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4D290F">
      <w:pPr>
        <w:widowControl/>
        <w:spacing w:line="348"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w:t>
      </w:r>
    </w:p>
    <w:p w14:paraId="453FBFA3">
      <w:pPr>
        <w:widowControl/>
        <w:spacing w:line="348"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16" w:name="_Hlk101184471"/>
      <w:r>
        <w:rPr>
          <w:rFonts w:hint="eastAsia" w:ascii="宋体" w:hAnsi="宋体" w:cs="宋体"/>
          <w:color w:val="auto"/>
          <w:sz w:val="24"/>
          <w:highlight w:val="none"/>
        </w:rPr>
        <w:t>资格审查情况、评审专家抽取规则、符合性审查情况、</w:t>
      </w:r>
      <w:bookmarkEnd w:id="16"/>
      <w:r>
        <w:rPr>
          <w:rFonts w:hint="eastAsia" w:ascii="宋体" w:hAnsi="宋体" w:cs="宋体"/>
          <w:color w:val="auto"/>
          <w:sz w:val="24"/>
          <w:highlight w:val="none"/>
        </w:rPr>
        <w:t>未中标情况说明、中标公告期限以及评审专家名单、评分汇总及明细。</w:t>
      </w:r>
    </w:p>
    <w:p w14:paraId="646A5210">
      <w:pPr>
        <w:widowControl/>
        <w:spacing w:line="348"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5281F3D4">
      <w:pPr>
        <w:snapToGrid w:val="0"/>
        <w:spacing w:line="348" w:lineRule="auto"/>
        <w:ind w:left="120" w:leftChars="57" w:firstLine="482" w:firstLineChars="150"/>
        <w:jc w:val="center"/>
        <w:rPr>
          <w:rFonts w:ascii="宋体" w:hAnsi="宋体" w:cs="宋体"/>
          <w:b/>
          <w:color w:val="auto"/>
          <w:sz w:val="32"/>
          <w:highlight w:val="none"/>
        </w:rPr>
      </w:pPr>
    </w:p>
    <w:p w14:paraId="43961C68">
      <w:pPr>
        <w:snapToGrid w:val="0"/>
        <w:spacing w:line="348"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70562EBD">
      <w:pPr>
        <w:pStyle w:val="25"/>
        <w:spacing w:line="348"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4536134">
      <w:pPr>
        <w:pStyle w:val="25"/>
        <w:spacing w:line="348" w:lineRule="auto"/>
        <w:ind w:left="479" w:hanging="479" w:hangingChars="199"/>
        <w:rPr>
          <w:rFonts w:cs="宋体"/>
          <w:b/>
          <w:color w:val="auto"/>
          <w:highlight w:val="none"/>
        </w:rPr>
      </w:pPr>
      <w:r>
        <w:rPr>
          <w:rFonts w:hint="eastAsia" w:cs="宋体"/>
          <w:b/>
          <w:color w:val="auto"/>
          <w:highlight w:val="none"/>
        </w:rPr>
        <w:t>25. 合同的签订</w:t>
      </w:r>
    </w:p>
    <w:p w14:paraId="7513E4F4">
      <w:pPr>
        <w:widowControl/>
        <w:spacing w:line="348"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16022919">
      <w:pPr>
        <w:pStyle w:val="133"/>
        <w:snapToGrid w:val="0"/>
        <w:spacing w:before="0" w:line="348" w:lineRule="auto"/>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EA6CEF1">
      <w:pPr>
        <w:pStyle w:val="133"/>
        <w:snapToGrid w:val="0"/>
        <w:spacing w:before="0" w:line="348" w:lineRule="auto"/>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C1D9004">
      <w:pPr>
        <w:pStyle w:val="133"/>
        <w:snapToGrid w:val="0"/>
        <w:spacing w:before="0" w:line="348" w:lineRule="auto"/>
        <w:ind w:firstLine="480"/>
        <w:rPr>
          <w:rFonts w:ascii="宋体" w:hAnsi="宋体" w:cs="宋体"/>
          <w:color w:val="auto"/>
          <w:highlight w:val="none"/>
        </w:rPr>
      </w:pPr>
      <w:r>
        <w:rPr>
          <w:rFonts w:hint="eastAsia" w:ascii="宋体" w:hAnsi="宋体" w:cs="宋体"/>
          <w:color w:val="auto"/>
          <w:highlight w:val="none"/>
        </w:rPr>
        <w:t>25.4中标人拒绝与采购人签订合同的，采购人可以按照评审报告推荐的中标或者成交候选人名单排序，确定下一候选人为中标人，也可以重新开展政府采购活动。</w:t>
      </w:r>
    </w:p>
    <w:p w14:paraId="75928FFA">
      <w:pPr>
        <w:pStyle w:val="133"/>
        <w:snapToGrid w:val="0"/>
        <w:spacing w:before="0" w:line="348" w:lineRule="auto"/>
        <w:ind w:firstLine="480"/>
        <w:rPr>
          <w:rFonts w:ascii="宋体" w:hAnsi="宋体" w:cs="宋体"/>
          <w:color w:val="auto"/>
          <w:highlight w:val="none"/>
        </w:rPr>
      </w:pPr>
      <w:r>
        <w:rPr>
          <w:rFonts w:hint="eastAsia" w:ascii="宋体" w:hAnsi="宋体" w:cs="宋体"/>
          <w:color w:val="auto"/>
          <w:highlight w:val="none"/>
        </w:rPr>
        <w:t>25.5采购合同由采购人与中标人根据招标文件、投标文件等内容通过政府采购电子交易平台在线签订，自动备案。（由采购人自行选择线上签订或线下签订）</w:t>
      </w:r>
    </w:p>
    <w:p w14:paraId="21CCEB2B">
      <w:pPr>
        <w:pStyle w:val="25"/>
        <w:spacing w:line="348" w:lineRule="auto"/>
        <w:ind w:left="479" w:hanging="479" w:hangingChars="199"/>
        <w:rPr>
          <w:rFonts w:cs="宋体"/>
          <w:b/>
          <w:color w:val="auto"/>
          <w:highlight w:val="none"/>
        </w:rPr>
      </w:pPr>
      <w:r>
        <w:rPr>
          <w:rFonts w:hint="eastAsia" w:cs="宋体"/>
          <w:b/>
          <w:color w:val="auto"/>
          <w:highlight w:val="none"/>
        </w:rPr>
        <w:t>26. 履约保证金</w:t>
      </w:r>
    </w:p>
    <w:p w14:paraId="73A5011B">
      <w:pPr>
        <w:tabs>
          <w:tab w:val="left" w:pos="0"/>
        </w:tabs>
        <w:spacing w:line="348"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拟签订的合同文本要求中标人提交履约保证金的，供应商应当以支票、汇票、本票或者金融机构、担保机构出具的保函等非现金形式提交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3A6922E">
      <w:pPr>
        <w:tabs>
          <w:tab w:val="left" w:pos="0"/>
        </w:tabs>
        <w:spacing w:line="348" w:lineRule="auto"/>
        <w:ind w:firstLine="482"/>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902F722">
      <w:pPr>
        <w:pStyle w:val="25"/>
        <w:spacing w:line="348" w:lineRule="auto"/>
        <w:ind w:left="479" w:hanging="479" w:hangingChars="199"/>
        <w:rPr>
          <w:rFonts w:cs="宋体"/>
          <w:b/>
          <w:color w:val="auto"/>
          <w:highlight w:val="none"/>
        </w:rPr>
      </w:pPr>
      <w:r>
        <w:rPr>
          <w:rFonts w:cs="宋体"/>
          <w:b/>
          <w:color w:val="auto"/>
          <w:highlight w:val="none"/>
        </w:rPr>
        <w:t>27.预付款</w:t>
      </w:r>
    </w:p>
    <w:p w14:paraId="055E0B84">
      <w:pPr>
        <w:adjustRightInd/>
        <w:spacing w:line="348"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7个工作日内</w:t>
      </w:r>
      <w:r>
        <w:rPr>
          <w:rFonts w:ascii="宋体" w:hAnsi="宋体"/>
          <w:color w:val="auto"/>
          <w:sz w:val="24"/>
          <w:highlight w:val="none"/>
        </w:rPr>
        <w:t>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2C6CBB7A">
      <w:pPr>
        <w:snapToGrid w:val="0"/>
        <w:spacing w:line="348" w:lineRule="auto"/>
        <w:ind w:firstLine="3357" w:firstLineChars="1045"/>
        <w:rPr>
          <w:rFonts w:ascii="宋体" w:hAnsi="宋体" w:cs="宋体"/>
          <w:b/>
          <w:color w:val="auto"/>
          <w:sz w:val="32"/>
          <w:highlight w:val="none"/>
        </w:rPr>
      </w:pPr>
    </w:p>
    <w:p w14:paraId="0377E62E">
      <w:pPr>
        <w:snapToGrid w:val="0"/>
        <w:spacing w:line="348"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CECFC52">
      <w:pPr>
        <w:pStyle w:val="133"/>
        <w:snapToGrid w:val="0"/>
        <w:spacing w:before="0" w:line="348" w:lineRule="auto"/>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0AA37C01">
      <w:pPr>
        <w:pStyle w:val="133"/>
        <w:snapToGrid w:val="0"/>
        <w:spacing w:before="0" w:line="348" w:lineRule="auto"/>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752143A">
      <w:pPr>
        <w:pStyle w:val="133"/>
        <w:snapToGrid w:val="0"/>
        <w:spacing w:before="0" w:line="348" w:lineRule="auto"/>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A5A5BAD">
      <w:pPr>
        <w:pStyle w:val="133"/>
        <w:snapToGrid w:val="0"/>
        <w:spacing w:before="0" w:line="348" w:lineRule="auto"/>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069B495">
      <w:pPr>
        <w:pStyle w:val="133"/>
        <w:snapToGrid w:val="0"/>
        <w:spacing w:before="0" w:line="348" w:lineRule="auto"/>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CC6DA8F">
      <w:pPr>
        <w:pStyle w:val="133"/>
        <w:snapToGrid w:val="0"/>
        <w:spacing w:before="0" w:line="348" w:lineRule="auto"/>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1C85584">
      <w:pPr>
        <w:pStyle w:val="133"/>
        <w:snapToGrid w:val="0"/>
        <w:spacing w:before="0" w:line="348" w:lineRule="auto"/>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46A93FF">
      <w:pPr>
        <w:tabs>
          <w:tab w:val="left" w:pos="0"/>
        </w:tabs>
        <w:spacing w:line="348" w:lineRule="auto"/>
        <w:ind w:firstLine="480"/>
        <w:rPr>
          <w:rFonts w:ascii="宋体" w:hAnsi="宋体" w:cs="宋体"/>
          <w:color w:val="auto"/>
          <w:sz w:val="24"/>
          <w:highlight w:val="none"/>
        </w:rPr>
      </w:pPr>
    </w:p>
    <w:p w14:paraId="767F1F8B">
      <w:pPr>
        <w:snapToGrid w:val="0"/>
        <w:spacing w:line="348"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43C4BC87">
      <w:pPr>
        <w:pStyle w:val="25"/>
        <w:spacing w:line="348" w:lineRule="auto"/>
        <w:ind w:firstLine="0" w:firstLineChars="0"/>
        <w:rPr>
          <w:rFonts w:cs="宋体"/>
          <w:b/>
          <w:color w:val="auto"/>
          <w:highlight w:val="none"/>
        </w:rPr>
      </w:pPr>
      <w:r>
        <w:rPr>
          <w:rFonts w:hint="eastAsia" w:cs="宋体"/>
          <w:b/>
          <w:color w:val="auto"/>
          <w:highlight w:val="none"/>
        </w:rPr>
        <w:t>30.验收</w:t>
      </w:r>
    </w:p>
    <w:p w14:paraId="6FE7CC7C">
      <w:pPr>
        <w:tabs>
          <w:tab w:val="left" w:pos="0"/>
        </w:tabs>
        <w:spacing w:line="348"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0257F07">
      <w:pPr>
        <w:tabs>
          <w:tab w:val="left" w:pos="0"/>
        </w:tabs>
        <w:spacing w:line="348"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4B31F3A0">
      <w:pPr>
        <w:tabs>
          <w:tab w:val="left" w:pos="0"/>
        </w:tabs>
        <w:spacing w:line="348"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3E66E84">
      <w:pPr>
        <w:tabs>
          <w:tab w:val="left" w:pos="0"/>
        </w:tabs>
        <w:spacing w:line="348"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56F6339E">
      <w:pPr>
        <w:pStyle w:val="80"/>
        <w:spacing w:before="240"/>
        <w:rPr>
          <w:rFonts w:hAnsi="宋体" w:cs="宋体"/>
          <w:color w:val="auto"/>
          <w:kern w:val="0"/>
          <w:sz w:val="24"/>
          <w:highlight w:val="none"/>
        </w:rPr>
      </w:pPr>
      <w:bookmarkStart w:id="17" w:name="_Hlt68072998"/>
      <w:bookmarkEnd w:id="17"/>
      <w:bookmarkStart w:id="18" w:name="_Hlt75236011"/>
      <w:bookmarkEnd w:id="18"/>
      <w:bookmarkStart w:id="19" w:name="_Hlt74707468"/>
      <w:bookmarkEnd w:id="19"/>
      <w:bookmarkStart w:id="20" w:name="_Hlt74729768"/>
      <w:bookmarkEnd w:id="20"/>
      <w:bookmarkStart w:id="21" w:name="_Hlt68073093"/>
      <w:bookmarkEnd w:id="21"/>
      <w:bookmarkStart w:id="22" w:name="_Hlt68072990"/>
      <w:bookmarkEnd w:id="22"/>
      <w:bookmarkStart w:id="23" w:name="_Hlt75236101"/>
      <w:bookmarkEnd w:id="23"/>
      <w:bookmarkStart w:id="24" w:name="_Hlt68057669"/>
      <w:bookmarkEnd w:id="24"/>
      <w:bookmarkStart w:id="25" w:name="_Hlt74730295"/>
      <w:bookmarkEnd w:id="25"/>
      <w:bookmarkStart w:id="26" w:name="_Hlt68403820"/>
      <w:bookmarkEnd w:id="26"/>
      <w:bookmarkStart w:id="27" w:name="_Hlt74714665"/>
      <w:bookmarkEnd w:id="27"/>
      <w:bookmarkStart w:id="28" w:name="_Hlt75236290"/>
      <w:bookmarkEnd w:id="28"/>
    </w:p>
    <w:p w14:paraId="727DCF04">
      <w:pPr>
        <w:pStyle w:val="80"/>
        <w:spacing w:before="240"/>
        <w:rPr>
          <w:color w:val="auto"/>
          <w:highlight w:val="none"/>
        </w:rPr>
        <w:sectPr>
          <w:footerReference r:id="rId6" w:type="first"/>
          <w:footerReference r:id="rId5" w:type="default"/>
          <w:pgSz w:w="11906" w:h="16838"/>
          <w:pgMar w:top="680" w:right="1304" w:bottom="468" w:left="1304" w:header="851" w:footer="992" w:gutter="0"/>
          <w:pgBorders>
            <w:top w:val="none" w:sz="0" w:space="0"/>
            <w:left w:val="none" w:sz="0" w:space="0"/>
            <w:bottom w:val="none" w:sz="0" w:space="0"/>
            <w:right w:val="none" w:sz="0" w:space="0"/>
          </w:pgBorders>
          <w:pgNumType w:start="1"/>
          <w:cols w:space="720" w:num="1"/>
          <w:titlePg/>
          <w:docGrid w:linePitch="312" w:charSpace="0"/>
        </w:sectPr>
      </w:pPr>
    </w:p>
    <w:bookmarkEnd w:id="13"/>
    <w:bookmarkEnd w:id="14"/>
    <w:p w14:paraId="2C1656F9">
      <w:pPr>
        <w:spacing w:line="360" w:lineRule="auto"/>
        <w:jc w:val="center"/>
        <w:outlineLvl w:val="0"/>
        <w:rPr>
          <w:rFonts w:ascii="宋体" w:hAnsi="宋体" w:cs="宋体"/>
          <w:b/>
          <w:color w:val="auto"/>
          <w:sz w:val="36"/>
          <w:szCs w:val="36"/>
          <w:highlight w:val="none"/>
        </w:rPr>
      </w:pPr>
      <w:bookmarkStart w:id="29" w:name="_Toc7512"/>
      <w:bookmarkStart w:id="30" w:name="第四部分"/>
      <w:r>
        <w:rPr>
          <w:rFonts w:hint="eastAsia" w:ascii="宋体" w:hAnsi="宋体" w:cs="宋体"/>
          <w:b/>
          <w:color w:val="auto"/>
          <w:sz w:val="36"/>
          <w:szCs w:val="36"/>
          <w:highlight w:val="none"/>
        </w:rPr>
        <w:t>第三部分   采购需求</w:t>
      </w:r>
      <w:bookmarkEnd w:id="29"/>
    </w:p>
    <w:p w14:paraId="7BA5E5A6">
      <w:pPr>
        <w:widowControl/>
        <w:adjustRightInd/>
        <w:spacing w:line="360" w:lineRule="auto"/>
        <w:jc w:val="left"/>
        <w:rPr>
          <w:rFonts w:ascii="宋体" w:hAnsi="宋体" w:cs="宋体"/>
          <w:b/>
          <w:color w:val="auto"/>
          <w:kern w:val="0"/>
          <w:sz w:val="24"/>
          <w:highlight w:val="none"/>
        </w:rPr>
      </w:pPr>
      <w:bookmarkStart w:id="31" w:name="_Toc317685548"/>
      <w:bookmarkStart w:id="32" w:name="_Toc329697494"/>
      <w:r>
        <w:rPr>
          <w:rFonts w:hint="eastAsia" w:ascii="宋体" w:hAnsi="宋体" w:cs="宋体"/>
          <w:b/>
          <w:color w:val="auto"/>
          <w:kern w:val="0"/>
          <w:sz w:val="24"/>
          <w:highlight w:val="none"/>
        </w:rPr>
        <w:t>一、重要商务要求一览表</w:t>
      </w:r>
    </w:p>
    <w:bookmarkEnd w:id="31"/>
    <w:bookmarkEnd w:id="32"/>
    <w:tbl>
      <w:tblPr>
        <w:tblStyle w:val="63"/>
        <w:tblW w:w="86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1"/>
        <w:gridCol w:w="6674"/>
      </w:tblGrid>
      <w:tr w14:paraId="322A1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11" w:type="dxa"/>
            <w:tcBorders>
              <w:top w:val="single" w:color="auto" w:sz="4" w:space="0"/>
              <w:left w:val="single" w:color="auto" w:sz="4" w:space="0"/>
              <w:bottom w:val="single" w:color="auto" w:sz="4" w:space="0"/>
              <w:right w:val="single" w:color="auto" w:sz="4" w:space="0"/>
            </w:tcBorders>
            <w:vAlign w:val="center"/>
          </w:tcPr>
          <w:p w14:paraId="05280182">
            <w:pPr>
              <w:adjustRightInd/>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w:t>
            </w:r>
          </w:p>
        </w:tc>
        <w:tc>
          <w:tcPr>
            <w:tcW w:w="6674" w:type="dxa"/>
            <w:tcBorders>
              <w:top w:val="single" w:color="auto" w:sz="4" w:space="0"/>
              <w:left w:val="single" w:color="auto" w:sz="4" w:space="0"/>
              <w:bottom w:val="single" w:color="auto" w:sz="4" w:space="0"/>
              <w:right w:val="single" w:color="auto" w:sz="4" w:space="0"/>
            </w:tcBorders>
            <w:vAlign w:val="center"/>
          </w:tcPr>
          <w:p w14:paraId="50A676C8">
            <w:pPr>
              <w:adjustRightInd/>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 xml:space="preserve">要 求 </w:t>
            </w:r>
          </w:p>
        </w:tc>
      </w:tr>
      <w:tr w14:paraId="394D9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11" w:type="dxa"/>
            <w:tcBorders>
              <w:top w:val="single" w:color="auto" w:sz="4" w:space="0"/>
              <w:left w:val="single" w:color="auto" w:sz="4" w:space="0"/>
              <w:bottom w:val="single" w:color="auto" w:sz="4" w:space="0"/>
              <w:right w:val="single" w:color="auto" w:sz="4" w:space="0"/>
            </w:tcBorders>
            <w:vAlign w:val="center"/>
          </w:tcPr>
          <w:p w14:paraId="213F7084">
            <w:pPr>
              <w:adjustRightInd/>
              <w:spacing w:line="360" w:lineRule="auto"/>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★1、合同履约期限及地点</w:t>
            </w:r>
          </w:p>
        </w:tc>
        <w:tc>
          <w:tcPr>
            <w:tcW w:w="6674" w:type="dxa"/>
            <w:tcBorders>
              <w:top w:val="single" w:color="auto" w:sz="4" w:space="0"/>
              <w:left w:val="single" w:color="auto" w:sz="4" w:space="0"/>
              <w:bottom w:val="single" w:color="auto" w:sz="4" w:space="0"/>
              <w:right w:val="single" w:color="auto" w:sz="4" w:space="0"/>
            </w:tcBorders>
            <w:vAlign w:val="center"/>
          </w:tcPr>
          <w:p w14:paraId="2C56443D">
            <w:pPr>
              <w:spacing w:line="360" w:lineRule="auto"/>
              <w:rPr>
                <w:rFonts w:ascii="宋体" w:hAnsi="宋体" w:cs="宋体"/>
                <w:color w:val="auto"/>
                <w:sz w:val="24"/>
                <w:highlight w:val="none"/>
              </w:rPr>
            </w:pPr>
            <w:r>
              <w:rPr>
                <w:rFonts w:hint="eastAsia" w:ascii="宋体" w:hAnsi="宋体" w:cs="宋体"/>
                <w:color w:val="auto"/>
                <w:sz w:val="24"/>
                <w:highlight w:val="none"/>
              </w:rPr>
              <w:t>（1）合同履约期限：详见第一部分 《招标公告》。</w:t>
            </w:r>
          </w:p>
          <w:p w14:paraId="1217C248">
            <w:pPr>
              <w:spacing w:line="360" w:lineRule="auto"/>
              <w:rPr>
                <w:rFonts w:ascii="宋体" w:hAnsi="宋体" w:cs="宋体"/>
                <w:color w:val="auto"/>
                <w:sz w:val="24"/>
                <w:highlight w:val="none"/>
              </w:rPr>
            </w:pPr>
            <w:r>
              <w:rPr>
                <w:rFonts w:hint="eastAsia" w:ascii="宋体" w:hAnsi="宋体" w:cs="宋体"/>
                <w:color w:val="auto"/>
                <w:sz w:val="24"/>
                <w:highlight w:val="none"/>
              </w:rPr>
              <w:t>（2）实施地点：</w:t>
            </w:r>
          </w:p>
          <w:tbl>
            <w:tblPr>
              <w:tblStyle w:val="64"/>
              <w:tblW w:w="6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5370"/>
            </w:tblGrid>
            <w:tr w14:paraId="2162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8" w:type="dxa"/>
                  <w:vAlign w:val="center"/>
                </w:tcPr>
                <w:p w14:paraId="7A07AE36">
                  <w:pPr>
                    <w:snapToGrid w:val="0"/>
                    <w:jc w:val="center"/>
                    <w:rPr>
                      <w:rFonts w:ascii="宋体" w:hAnsi="宋体" w:cs="宋体"/>
                      <w:color w:val="auto"/>
                      <w:sz w:val="24"/>
                      <w:highlight w:val="none"/>
                    </w:rPr>
                  </w:pPr>
                  <w:r>
                    <w:rPr>
                      <w:rFonts w:hint="eastAsia" w:ascii="宋体" w:hAnsi="宋体" w:cs="宋体"/>
                      <w:color w:val="auto"/>
                      <w:sz w:val="24"/>
                      <w:highlight w:val="none"/>
                    </w:rPr>
                    <w:t>序号</w:t>
                  </w:r>
                </w:p>
              </w:tc>
              <w:tc>
                <w:tcPr>
                  <w:tcW w:w="5370" w:type="dxa"/>
                  <w:vAlign w:val="center"/>
                </w:tcPr>
                <w:p w14:paraId="5692FBE7">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服务单位</w:t>
                  </w:r>
                </w:p>
              </w:tc>
            </w:tr>
            <w:tr w14:paraId="13F8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8" w:type="dxa"/>
                  <w:vAlign w:val="center"/>
                </w:tcPr>
                <w:p w14:paraId="73BC617A">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5370" w:type="dxa"/>
                  <w:vAlign w:val="center"/>
                </w:tcPr>
                <w:p w14:paraId="3EECF42D">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宁波市江北区慈城镇中心卫生院</w:t>
                  </w:r>
                </w:p>
                <w:p w14:paraId="429CDF61">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(宁波市江北区慈城镇社区卫生服务中心)</w:t>
                  </w:r>
                </w:p>
              </w:tc>
            </w:tr>
            <w:tr w14:paraId="612D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8" w:type="dxa"/>
                  <w:vAlign w:val="center"/>
                </w:tcPr>
                <w:p w14:paraId="66DCA171">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5370" w:type="dxa"/>
                  <w:vAlign w:val="center"/>
                </w:tcPr>
                <w:p w14:paraId="6CCC48D1">
                  <w:pPr>
                    <w:snapToGrid w:val="0"/>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宁波市</w:t>
                  </w:r>
                  <w:r>
                    <w:rPr>
                      <w:rFonts w:hint="eastAsia" w:ascii="宋体" w:hAnsi="宋体" w:eastAsia="宋体" w:cs="宋体"/>
                      <w:color w:val="auto"/>
                      <w:sz w:val="24"/>
                      <w:highlight w:val="none"/>
                    </w:rPr>
                    <w:t>江北区儿童医院</w:t>
                  </w:r>
                </w:p>
              </w:tc>
            </w:tr>
            <w:tr w14:paraId="0731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8" w:type="dxa"/>
                  <w:vAlign w:val="center"/>
                </w:tcPr>
                <w:p w14:paraId="1806DD85">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5370" w:type="dxa"/>
                  <w:vAlign w:val="center"/>
                </w:tcPr>
                <w:p w14:paraId="73E37540">
                  <w:pPr>
                    <w:snapToGrid w:val="0"/>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宁波市</w:t>
                  </w:r>
                  <w:r>
                    <w:rPr>
                      <w:rFonts w:hint="eastAsia" w:ascii="宋体" w:hAnsi="宋体" w:eastAsia="宋体" w:cs="宋体"/>
                      <w:color w:val="auto"/>
                      <w:sz w:val="24"/>
                      <w:highlight w:val="none"/>
                    </w:rPr>
                    <w:t>江北区妇幼保健计划生育服务中心</w:t>
                  </w:r>
                </w:p>
              </w:tc>
            </w:tr>
            <w:tr w14:paraId="7CF8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8" w:type="dxa"/>
                  <w:vAlign w:val="center"/>
                </w:tcPr>
                <w:p w14:paraId="44B8155B">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5370" w:type="dxa"/>
                  <w:vAlign w:val="center"/>
                </w:tcPr>
                <w:p w14:paraId="00D25924">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宁波市</w:t>
                  </w:r>
                  <w:r>
                    <w:rPr>
                      <w:rFonts w:hint="eastAsia" w:ascii="宋体" w:hAnsi="宋体" w:eastAsia="宋体" w:cs="宋体"/>
                      <w:color w:val="auto"/>
                      <w:sz w:val="24"/>
                      <w:highlight w:val="none"/>
                    </w:rPr>
                    <w:t>江北区洪塘街道社区卫生服务中心</w:t>
                  </w:r>
                </w:p>
              </w:tc>
            </w:tr>
            <w:tr w14:paraId="32B2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8" w:type="dxa"/>
                  <w:vAlign w:val="center"/>
                </w:tcPr>
                <w:p w14:paraId="493C77E1">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5370" w:type="dxa"/>
                  <w:vAlign w:val="center"/>
                </w:tcPr>
                <w:p w14:paraId="43F4C0E6">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宁波市</w:t>
                  </w:r>
                  <w:r>
                    <w:rPr>
                      <w:rFonts w:hint="eastAsia" w:ascii="宋体" w:hAnsi="宋体" w:eastAsia="宋体" w:cs="宋体"/>
                      <w:color w:val="auto"/>
                      <w:sz w:val="24"/>
                      <w:highlight w:val="none"/>
                    </w:rPr>
                    <w:t>江北区孔浦街道社区卫生服务中心</w:t>
                  </w:r>
                </w:p>
              </w:tc>
            </w:tr>
            <w:tr w14:paraId="315A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8" w:type="dxa"/>
                  <w:vAlign w:val="center"/>
                </w:tcPr>
                <w:p w14:paraId="7D957F41">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5370" w:type="dxa"/>
                  <w:vAlign w:val="center"/>
                </w:tcPr>
                <w:p w14:paraId="37E2C66D">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宁波市</w:t>
                  </w:r>
                  <w:r>
                    <w:rPr>
                      <w:rFonts w:hint="eastAsia" w:ascii="宋体" w:hAnsi="宋体" w:eastAsia="宋体" w:cs="宋体"/>
                      <w:color w:val="auto"/>
                      <w:sz w:val="24"/>
                      <w:highlight w:val="none"/>
                    </w:rPr>
                    <w:t>江北区外滩街道社区卫生服务中心</w:t>
                  </w:r>
                </w:p>
              </w:tc>
            </w:tr>
            <w:tr w14:paraId="6848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8" w:type="dxa"/>
                  <w:vAlign w:val="center"/>
                </w:tcPr>
                <w:p w14:paraId="6AE18504">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5370" w:type="dxa"/>
                  <w:vAlign w:val="center"/>
                </w:tcPr>
                <w:p w14:paraId="2E5B8648">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宁波市</w:t>
                  </w:r>
                  <w:r>
                    <w:rPr>
                      <w:rFonts w:hint="eastAsia" w:ascii="宋体" w:hAnsi="宋体" w:eastAsia="宋体" w:cs="宋体"/>
                      <w:color w:val="auto"/>
                      <w:sz w:val="24"/>
                      <w:highlight w:val="none"/>
                    </w:rPr>
                    <w:t>江北区文教街道社区卫生服务中心</w:t>
                  </w:r>
                </w:p>
              </w:tc>
            </w:tr>
            <w:tr w14:paraId="46C7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8" w:type="dxa"/>
                  <w:vAlign w:val="center"/>
                </w:tcPr>
                <w:p w14:paraId="4F2D4CF2">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5370" w:type="dxa"/>
                  <w:vAlign w:val="center"/>
                </w:tcPr>
                <w:p w14:paraId="7C1F0030">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宁波市江北区姚江社区卫生服务中心</w:t>
                  </w:r>
                </w:p>
              </w:tc>
            </w:tr>
            <w:tr w14:paraId="18AC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8" w:type="dxa"/>
                  <w:vAlign w:val="center"/>
                </w:tcPr>
                <w:p w14:paraId="2B2B1B09">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5370" w:type="dxa"/>
                  <w:vAlign w:val="center"/>
                </w:tcPr>
                <w:p w14:paraId="2F93B42C">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宁波市江北区甬江街道社区卫生服务中心</w:t>
                  </w:r>
                </w:p>
              </w:tc>
            </w:tr>
            <w:tr w14:paraId="2FB8D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8" w:type="dxa"/>
                  <w:vAlign w:val="center"/>
                </w:tcPr>
                <w:p w14:paraId="44632D0D">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5370" w:type="dxa"/>
                  <w:vAlign w:val="center"/>
                </w:tcPr>
                <w:p w14:paraId="36085895">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宁波市江北区</w:t>
                  </w:r>
                  <w:r>
                    <w:rPr>
                      <w:rFonts w:hint="eastAsia" w:ascii="宋体" w:hAnsi="宋体" w:cs="宋体"/>
                      <w:color w:val="auto"/>
                      <w:sz w:val="24"/>
                      <w:highlight w:val="none"/>
                      <w:lang w:val="en-US" w:eastAsia="zh-CN"/>
                    </w:rPr>
                    <w:t>庄桥</w:t>
                  </w:r>
                  <w:r>
                    <w:rPr>
                      <w:rFonts w:hint="eastAsia" w:ascii="宋体" w:hAnsi="宋体" w:eastAsia="宋体" w:cs="宋体"/>
                      <w:color w:val="auto"/>
                      <w:sz w:val="24"/>
                      <w:highlight w:val="none"/>
                    </w:rPr>
                    <w:t>街道社区卫生服务中心</w:t>
                  </w:r>
                </w:p>
              </w:tc>
            </w:tr>
            <w:tr w14:paraId="59C3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8" w:type="dxa"/>
                  <w:vAlign w:val="center"/>
                </w:tcPr>
                <w:p w14:paraId="73E0F07B">
                  <w:pPr>
                    <w:snapToGrid w:val="0"/>
                    <w:jc w:val="center"/>
                    <w:rPr>
                      <w:rFonts w:ascii="宋体" w:hAnsi="宋体" w:cs="宋体"/>
                      <w:color w:val="auto"/>
                      <w:sz w:val="24"/>
                      <w:highlight w:val="none"/>
                    </w:rPr>
                  </w:pPr>
                  <w:r>
                    <w:rPr>
                      <w:rFonts w:hint="eastAsia" w:ascii="宋体" w:hAnsi="宋体" w:cs="宋体"/>
                      <w:color w:val="auto"/>
                      <w:sz w:val="24"/>
                      <w:highlight w:val="none"/>
                    </w:rPr>
                    <w:t>11</w:t>
                  </w:r>
                </w:p>
              </w:tc>
              <w:tc>
                <w:tcPr>
                  <w:tcW w:w="5370" w:type="dxa"/>
                  <w:vAlign w:val="center"/>
                </w:tcPr>
                <w:p w14:paraId="3190AE3A">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履约期内江北区新成立或合并的街道社区卫生</w:t>
                  </w:r>
                </w:p>
                <w:p w14:paraId="36AC49BF">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服务中心</w:t>
                  </w:r>
                </w:p>
              </w:tc>
            </w:tr>
          </w:tbl>
          <w:p w14:paraId="61E1EF0B">
            <w:pPr>
              <w:spacing w:line="360" w:lineRule="auto"/>
              <w:rPr>
                <w:rFonts w:ascii="宋体" w:hAnsi="宋体" w:cs="宋体"/>
                <w:color w:val="auto"/>
                <w:sz w:val="24"/>
                <w:highlight w:val="none"/>
              </w:rPr>
            </w:pPr>
          </w:p>
        </w:tc>
      </w:tr>
      <w:tr w14:paraId="31D97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11" w:type="dxa"/>
            <w:tcBorders>
              <w:top w:val="single" w:color="auto" w:sz="4" w:space="0"/>
              <w:left w:val="single" w:color="auto" w:sz="4" w:space="0"/>
              <w:bottom w:val="single" w:color="auto" w:sz="4" w:space="0"/>
              <w:right w:val="single" w:color="auto" w:sz="4" w:space="0"/>
            </w:tcBorders>
            <w:vAlign w:val="center"/>
          </w:tcPr>
          <w:p w14:paraId="1FFEFD45">
            <w:pPr>
              <w:adjustRightInd/>
              <w:spacing w:line="360" w:lineRule="auto"/>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★2、付款方式</w:t>
            </w:r>
          </w:p>
        </w:tc>
        <w:tc>
          <w:tcPr>
            <w:tcW w:w="6674" w:type="dxa"/>
            <w:tcBorders>
              <w:top w:val="single" w:color="auto" w:sz="4" w:space="0"/>
              <w:left w:val="single" w:color="auto" w:sz="4" w:space="0"/>
              <w:bottom w:val="single" w:color="auto" w:sz="4" w:space="0"/>
              <w:right w:val="single" w:color="auto" w:sz="4" w:space="0"/>
            </w:tcBorders>
            <w:vAlign w:val="center"/>
          </w:tcPr>
          <w:p w14:paraId="21C7D219">
            <w:pPr>
              <w:spacing w:line="360" w:lineRule="auto"/>
              <w:rPr>
                <w:rFonts w:ascii="宋体" w:hAnsi="宋体" w:cs="宋体"/>
                <w:color w:val="auto"/>
                <w:sz w:val="24"/>
                <w:highlight w:val="none"/>
              </w:rPr>
            </w:pPr>
            <w:r>
              <w:rPr>
                <w:rFonts w:hint="eastAsia" w:ascii="宋体" w:hAnsi="宋体" w:cs="宋体"/>
                <w:color w:val="auto"/>
                <w:sz w:val="24"/>
                <w:highlight w:val="none"/>
              </w:rPr>
              <w:t>（1）合同生效以及具备实施条件后7个工作日内支付合同价的20%作为预付款（若在签订合同时，供应商明确表示无需预付款或降低预付款比例的，采购人可不予支付预付款或降低比例支付。预付款支付约定以合同中约定为准。）；</w:t>
            </w:r>
          </w:p>
          <w:p w14:paraId="29705791">
            <w:pPr>
              <w:spacing w:line="360" w:lineRule="auto"/>
              <w:rPr>
                <w:rFonts w:ascii="宋体" w:hAnsi="宋体" w:cs="宋体"/>
                <w:color w:val="auto"/>
                <w:sz w:val="24"/>
                <w:highlight w:val="none"/>
              </w:rPr>
            </w:pPr>
            <w:r>
              <w:rPr>
                <w:rFonts w:hint="eastAsia" w:ascii="宋体" w:hAnsi="宋体" w:cs="宋体"/>
                <w:color w:val="auto"/>
                <w:sz w:val="24"/>
                <w:highlight w:val="none"/>
              </w:rPr>
              <w:t>（2）按月结算，按季支付费用。每月月初核对上个月的实际检测标本数量（结算统计日期以每月1日零时起到本月最后一天24时结束），每月结算金额=浙江省医疗服务价格×成交折扣系数（此公式计算结果以“元”为单位，保留到整数位）。（先从预付款中扣除，预付款扣除完毕后再按实结算）</w:t>
            </w:r>
          </w:p>
          <w:p w14:paraId="4C2596F2">
            <w:pPr>
              <w:spacing w:line="360" w:lineRule="auto"/>
              <w:rPr>
                <w:rFonts w:ascii="宋体" w:hAnsi="宋体" w:cs="宋体"/>
                <w:color w:val="auto"/>
                <w:sz w:val="24"/>
                <w:highlight w:val="none"/>
              </w:rPr>
            </w:pPr>
            <w:r>
              <w:rPr>
                <w:rFonts w:hint="eastAsia" w:ascii="宋体" w:hAnsi="宋体" w:cs="宋体"/>
                <w:color w:val="auto"/>
                <w:sz w:val="24"/>
                <w:highlight w:val="none"/>
              </w:rPr>
              <w:t>（3）中标人应在采购人付款前，向采购人提供等额增值税普通发票、每个月检测清单，经采购人核准后7个工作日内支付。</w:t>
            </w:r>
          </w:p>
        </w:tc>
      </w:tr>
      <w:tr w14:paraId="68332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11" w:type="dxa"/>
            <w:tcBorders>
              <w:top w:val="single" w:color="auto" w:sz="4" w:space="0"/>
              <w:left w:val="single" w:color="auto" w:sz="4" w:space="0"/>
              <w:bottom w:val="single" w:color="auto" w:sz="4" w:space="0"/>
              <w:right w:val="single" w:color="auto" w:sz="4" w:space="0"/>
            </w:tcBorders>
            <w:vAlign w:val="center"/>
          </w:tcPr>
          <w:p w14:paraId="781B61A2">
            <w:pPr>
              <w:adjustRightInd/>
              <w:spacing w:line="360" w:lineRule="auto"/>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3、履约保证金</w:t>
            </w:r>
          </w:p>
        </w:tc>
        <w:tc>
          <w:tcPr>
            <w:tcW w:w="6674" w:type="dxa"/>
            <w:tcBorders>
              <w:top w:val="single" w:color="auto" w:sz="4" w:space="0"/>
              <w:left w:val="single" w:color="auto" w:sz="4" w:space="0"/>
              <w:bottom w:val="single" w:color="auto" w:sz="4" w:space="0"/>
              <w:right w:val="single" w:color="auto" w:sz="4" w:space="0"/>
            </w:tcBorders>
            <w:vAlign w:val="center"/>
          </w:tcPr>
          <w:p w14:paraId="22926390">
            <w:pPr>
              <w:adjustRightInd/>
              <w:spacing w:line="360" w:lineRule="auto"/>
              <w:contextualSpacing/>
              <w:rPr>
                <w:rFonts w:ascii="宋体" w:hAnsi="宋体" w:cs="宋体"/>
                <w:color w:val="auto"/>
                <w:sz w:val="24"/>
                <w:highlight w:val="none"/>
              </w:rPr>
            </w:pPr>
            <w:r>
              <w:rPr>
                <w:rFonts w:hint="eastAsia" w:ascii="宋体" w:hAnsi="宋体" w:cs="宋体"/>
                <w:color w:val="auto"/>
                <w:sz w:val="24"/>
                <w:highlight w:val="none"/>
              </w:rPr>
              <w:t>本项目不适用。</w:t>
            </w:r>
          </w:p>
        </w:tc>
      </w:tr>
      <w:tr w14:paraId="2E405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11" w:type="dxa"/>
            <w:tcBorders>
              <w:top w:val="single" w:color="auto" w:sz="4" w:space="0"/>
              <w:left w:val="single" w:color="auto" w:sz="4" w:space="0"/>
              <w:bottom w:val="single" w:color="auto" w:sz="4" w:space="0"/>
              <w:right w:val="single" w:color="auto" w:sz="4" w:space="0"/>
            </w:tcBorders>
            <w:vAlign w:val="center"/>
          </w:tcPr>
          <w:p w14:paraId="6C935033">
            <w:pPr>
              <w:adjustRightInd/>
              <w:spacing w:line="360" w:lineRule="auto"/>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4、验收标准</w:t>
            </w:r>
          </w:p>
        </w:tc>
        <w:tc>
          <w:tcPr>
            <w:tcW w:w="6674" w:type="dxa"/>
            <w:tcBorders>
              <w:top w:val="single" w:color="auto" w:sz="4" w:space="0"/>
              <w:left w:val="single" w:color="auto" w:sz="4" w:space="0"/>
              <w:bottom w:val="single" w:color="auto" w:sz="4" w:space="0"/>
              <w:right w:val="single" w:color="auto" w:sz="4" w:space="0"/>
            </w:tcBorders>
            <w:vAlign w:val="center"/>
          </w:tcPr>
          <w:p w14:paraId="1DEC44D8">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根据招标文件要求、供应商承诺及国家、浙江省、宁波市有关规定（以其中最高要求的标准为准），由采购人及相关部门进行验收。</w:t>
            </w:r>
          </w:p>
        </w:tc>
      </w:tr>
      <w:tr w14:paraId="32398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11" w:type="dxa"/>
            <w:tcBorders>
              <w:top w:val="single" w:color="auto" w:sz="4" w:space="0"/>
              <w:left w:val="single" w:color="auto" w:sz="4" w:space="0"/>
              <w:bottom w:val="single" w:color="auto" w:sz="4" w:space="0"/>
              <w:right w:val="single" w:color="auto" w:sz="4" w:space="0"/>
            </w:tcBorders>
            <w:vAlign w:val="center"/>
          </w:tcPr>
          <w:p w14:paraId="02E6B6F7">
            <w:pPr>
              <w:adjustRightInd/>
              <w:spacing w:line="360" w:lineRule="auto"/>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5、合同签订</w:t>
            </w:r>
          </w:p>
        </w:tc>
        <w:tc>
          <w:tcPr>
            <w:tcW w:w="6674" w:type="dxa"/>
            <w:tcBorders>
              <w:top w:val="single" w:color="auto" w:sz="4" w:space="0"/>
              <w:left w:val="single" w:color="auto" w:sz="4" w:space="0"/>
              <w:bottom w:val="single" w:color="auto" w:sz="4" w:space="0"/>
              <w:right w:val="single" w:color="auto" w:sz="4" w:space="0"/>
            </w:tcBorders>
            <w:vAlign w:val="center"/>
          </w:tcPr>
          <w:p w14:paraId="1B4D77CF">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自中标通知书发出之日起30天内与10家服务单位签订合同。</w:t>
            </w:r>
          </w:p>
        </w:tc>
      </w:tr>
      <w:tr w14:paraId="7B182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11" w:type="dxa"/>
            <w:tcBorders>
              <w:top w:val="single" w:color="auto" w:sz="4" w:space="0"/>
              <w:left w:val="single" w:color="auto" w:sz="4" w:space="0"/>
              <w:bottom w:val="single" w:color="auto" w:sz="4" w:space="0"/>
              <w:right w:val="single" w:color="auto" w:sz="4" w:space="0"/>
            </w:tcBorders>
            <w:vAlign w:val="center"/>
          </w:tcPr>
          <w:p w14:paraId="0F15AD88">
            <w:pPr>
              <w:tabs>
                <w:tab w:val="left" w:pos="3234"/>
              </w:tabs>
              <w:adjustRightInd/>
              <w:spacing w:line="360" w:lineRule="auto"/>
              <w:jc w:val="left"/>
              <w:rPr>
                <w:rFonts w:ascii="宋体" w:hAnsi="宋体" w:cs="宋体"/>
                <w:b/>
                <w:bCs/>
                <w:color w:val="auto"/>
                <w:sz w:val="24"/>
                <w:highlight w:val="none"/>
              </w:rPr>
            </w:pPr>
            <w:r>
              <w:rPr>
                <w:rFonts w:hint="eastAsia" w:ascii="宋体" w:hAnsi="宋体" w:cs="宋体"/>
                <w:color w:val="auto"/>
                <w:kern w:val="0"/>
                <w:sz w:val="24"/>
                <w:highlight w:val="none"/>
              </w:rPr>
              <w:t>★</w:t>
            </w:r>
            <w:r>
              <w:rPr>
                <w:rFonts w:hint="eastAsia" w:ascii="宋体" w:hAnsi="宋体" w:cs="宋体"/>
                <w:b/>
                <w:bCs/>
                <w:color w:val="auto"/>
                <w:sz w:val="24"/>
                <w:highlight w:val="none"/>
              </w:rPr>
              <w:t>6、合同终止</w:t>
            </w:r>
          </w:p>
        </w:tc>
        <w:tc>
          <w:tcPr>
            <w:tcW w:w="6674" w:type="dxa"/>
            <w:tcBorders>
              <w:top w:val="single" w:color="auto" w:sz="4" w:space="0"/>
              <w:left w:val="single" w:color="auto" w:sz="4" w:space="0"/>
              <w:bottom w:val="single" w:color="auto" w:sz="4" w:space="0"/>
              <w:right w:val="single" w:color="auto" w:sz="4" w:space="0"/>
            </w:tcBorders>
            <w:vAlign w:val="center"/>
          </w:tcPr>
          <w:p w14:paraId="331705C7">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中标人在合同有效期内，不得无理由终止合同，确有特殊情况的，须提前向采购人提出书面申请，经采购人同意后，方可终止合同。因中标人不能保证工作质量，或发生重大差错事故的，采购人有权终止合同，并由中标人承担全部责任。涉及到采购人上级部门出台新政策或新的相关要求，采购人提前一个月通知中标人，可以终止合同。</w:t>
            </w:r>
          </w:p>
        </w:tc>
      </w:tr>
    </w:tbl>
    <w:p w14:paraId="02B29212">
      <w:pPr>
        <w:adjustRightInd/>
        <w:spacing w:line="360" w:lineRule="auto"/>
        <w:rPr>
          <w:rFonts w:ascii="宋体" w:hAnsi="宋体" w:cs="宋体"/>
          <w:b/>
          <w:bCs/>
          <w:color w:val="auto"/>
          <w:sz w:val="24"/>
          <w:highlight w:val="none"/>
          <w:lang w:bidi="ar"/>
        </w:rPr>
      </w:pPr>
    </w:p>
    <w:p w14:paraId="59C2C7D6">
      <w:pPr>
        <w:spacing w:line="360" w:lineRule="auto"/>
        <w:jc w:val="left"/>
        <w:rPr>
          <w:rFonts w:ascii="宋体" w:hAnsi="宋体" w:cs="宋体"/>
          <w:b/>
          <w:color w:val="auto"/>
          <w:kern w:val="44"/>
          <w:sz w:val="24"/>
          <w:highlight w:val="none"/>
        </w:rPr>
      </w:pPr>
    </w:p>
    <w:p w14:paraId="345B0E38">
      <w:pPr>
        <w:spacing w:line="360" w:lineRule="auto"/>
        <w:jc w:val="left"/>
        <w:rPr>
          <w:rFonts w:ascii="宋体" w:hAnsi="宋体" w:cs="宋体"/>
          <w:b/>
          <w:color w:val="auto"/>
          <w:kern w:val="44"/>
          <w:sz w:val="24"/>
          <w:highlight w:val="none"/>
        </w:rPr>
      </w:pPr>
    </w:p>
    <w:p w14:paraId="67877F77">
      <w:pPr>
        <w:spacing w:line="360" w:lineRule="auto"/>
        <w:jc w:val="left"/>
        <w:rPr>
          <w:rFonts w:ascii="宋体" w:hAnsi="宋体" w:cs="宋体"/>
          <w:b/>
          <w:color w:val="auto"/>
          <w:kern w:val="44"/>
          <w:sz w:val="24"/>
          <w:highlight w:val="none"/>
        </w:rPr>
      </w:pPr>
    </w:p>
    <w:p w14:paraId="0735108D">
      <w:pPr>
        <w:spacing w:line="360" w:lineRule="auto"/>
        <w:jc w:val="left"/>
        <w:rPr>
          <w:rFonts w:ascii="宋体" w:hAnsi="宋体" w:cs="宋体"/>
          <w:b/>
          <w:color w:val="auto"/>
          <w:kern w:val="44"/>
          <w:sz w:val="24"/>
          <w:highlight w:val="none"/>
        </w:rPr>
      </w:pPr>
    </w:p>
    <w:p w14:paraId="057E1E33">
      <w:pPr>
        <w:spacing w:line="360" w:lineRule="auto"/>
        <w:jc w:val="left"/>
        <w:rPr>
          <w:rFonts w:ascii="宋体" w:hAnsi="宋体" w:cs="宋体"/>
          <w:b/>
          <w:color w:val="auto"/>
          <w:kern w:val="44"/>
          <w:sz w:val="24"/>
          <w:highlight w:val="none"/>
        </w:rPr>
      </w:pPr>
    </w:p>
    <w:p w14:paraId="63F2E62F">
      <w:pPr>
        <w:spacing w:line="360" w:lineRule="auto"/>
        <w:jc w:val="left"/>
        <w:rPr>
          <w:rFonts w:ascii="宋体" w:hAnsi="宋体" w:cs="宋体"/>
          <w:b/>
          <w:color w:val="auto"/>
          <w:kern w:val="44"/>
          <w:sz w:val="24"/>
          <w:highlight w:val="none"/>
        </w:rPr>
      </w:pPr>
    </w:p>
    <w:p w14:paraId="3F43B52B">
      <w:pPr>
        <w:spacing w:line="360" w:lineRule="auto"/>
        <w:jc w:val="left"/>
        <w:rPr>
          <w:rFonts w:ascii="宋体" w:hAnsi="宋体" w:cs="宋体"/>
          <w:b/>
          <w:color w:val="auto"/>
          <w:kern w:val="44"/>
          <w:sz w:val="24"/>
          <w:highlight w:val="none"/>
        </w:rPr>
      </w:pPr>
    </w:p>
    <w:p w14:paraId="009F028E">
      <w:pPr>
        <w:spacing w:line="360" w:lineRule="auto"/>
        <w:jc w:val="left"/>
        <w:rPr>
          <w:rFonts w:ascii="宋体" w:hAnsi="宋体" w:cs="宋体"/>
          <w:b/>
          <w:color w:val="auto"/>
          <w:kern w:val="44"/>
          <w:sz w:val="24"/>
          <w:highlight w:val="none"/>
        </w:rPr>
      </w:pPr>
    </w:p>
    <w:p w14:paraId="7AA85C92">
      <w:pPr>
        <w:spacing w:line="360" w:lineRule="auto"/>
        <w:jc w:val="left"/>
        <w:rPr>
          <w:rFonts w:ascii="宋体" w:hAnsi="宋体" w:cs="宋体"/>
          <w:b/>
          <w:color w:val="auto"/>
          <w:kern w:val="44"/>
          <w:sz w:val="24"/>
          <w:highlight w:val="none"/>
        </w:rPr>
      </w:pPr>
    </w:p>
    <w:p w14:paraId="13F2F357">
      <w:pPr>
        <w:spacing w:line="360" w:lineRule="auto"/>
        <w:jc w:val="left"/>
        <w:rPr>
          <w:rFonts w:ascii="宋体" w:hAnsi="宋体" w:cs="宋体"/>
          <w:b/>
          <w:color w:val="auto"/>
          <w:kern w:val="44"/>
          <w:sz w:val="24"/>
          <w:highlight w:val="none"/>
        </w:rPr>
      </w:pPr>
    </w:p>
    <w:p w14:paraId="618D6EF6">
      <w:pPr>
        <w:spacing w:line="360" w:lineRule="auto"/>
        <w:jc w:val="left"/>
        <w:rPr>
          <w:rFonts w:ascii="宋体" w:hAnsi="宋体" w:cs="宋体"/>
          <w:b/>
          <w:color w:val="auto"/>
          <w:kern w:val="44"/>
          <w:sz w:val="24"/>
          <w:highlight w:val="none"/>
        </w:rPr>
      </w:pPr>
    </w:p>
    <w:p w14:paraId="5394F585">
      <w:pPr>
        <w:spacing w:line="360" w:lineRule="auto"/>
        <w:jc w:val="left"/>
        <w:rPr>
          <w:rFonts w:ascii="宋体" w:hAnsi="宋体" w:cs="宋体"/>
          <w:b/>
          <w:color w:val="auto"/>
          <w:kern w:val="44"/>
          <w:sz w:val="24"/>
          <w:highlight w:val="none"/>
        </w:rPr>
      </w:pPr>
    </w:p>
    <w:p w14:paraId="14B301C8">
      <w:pPr>
        <w:spacing w:line="360" w:lineRule="auto"/>
        <w:jc w:val="left"/>
        <w:rPr>
          <w:rFonts w:ascii="宋体" w:hAnsi="宋体" w:cs="宋体"/>
          <w:b/>
          <w:color w:val="auto"/>
          <w:kern w:val="44"/>
          <w:sz w:val="24"/>
          <w:highlight w:val="none"/>
        </w:rPr>
      </w:pPr>
    </w:p>
    <w:p w14:paraId="0B363134">
      <w:pPr>
        <w:spacing w:line="360" w:lineRule="auto"/>
        <w:jc w:val="left"/>
        <w:rPr>
          <w:rFonts w:ascii="宋体" w:hAnsi="宋体" w:cs="宋体"/>
          <w:b/>
          <w:color w:val="auto"/>
          <w:kern w:val="44"/>
          <w:sz w:val="24"/>
          <w:highlight w:val="none"/>
        </w:rPr>
      </w:pPr>
    </w:p>
    <w:p w14:paraId="72623763">
      <w:pPr>
        <w:spacing w:line="360" w:lineRule="auto"/>
        <w:jc w:val="left"/>
        <w:rPr>
          <w:rFonts w:ascii="宋体" w:hAnsi="宋体" w:cs="宋体"/>
          <w:b/>
          <w:color w:val="auto"/>
          <w:kern w:val="44"/>
          <w:sz w:val="24"/>
          <w:highlight w:val="none"/>
        </w:rPr>
      </w:pPr>
    </w:p>
    <w:p w14:paraId="71EDB7F3">
      <w:pPr>
        <w:spacing w:line="360" w:lineRule="auto"/>
        <w:jc w:val="left"/>
        <w:rPr>
          <w:rFonts w:ascii="宋体" w:hAnsi="宋体" w:cs="宋体"/>
          <w:b/>
          <w:color w:val="auto"/>
          <w:kern w:val="44"/>
          <w:sz w:val="24"/>
          <w:highlight w:val="none"/>
        </w:rPr>
      </w:pPr>
    </w:p>
    <w:p w14:paraId="7AC90E52">
      <w:pPr>
        <w:spacing w:line="360" w:lineRule="auto"/>
        <w:jc w:val="left"/>
        <w:rPr>
          <w:rFonts w:ascii="宋体" w:hAnsi="宋体" w:cs="宋体"/>
          <w:b/>
          <w:color w:val="auto"/>
          <w:kern w:val="44"/>
          <w:sz w:val="24"/>
          <w:highlight w:val="none"/>
        </w:rPr>
      </w:pPr>
    </w:p>
    <w:p w14:paraId="38E5ACFC">
      <w:pPr>
        <w:spacing w:line="360" w:lineRule="auto"/>
        <w:jc w:val="left"/>
        <w:rPr>
          <w:rFonts w:ascii="宋体" w:hAnsi="宋体" w:cs="宋体"/>
          <w:b/>
          <w:color w:val="auto"/>
          <w:kern w:val="44"/>
          <w:sz w:val="24"/>
          <w:highlight w:val="none"/>
        </w:rPr>
      </w:pPr>
      <w:r>
        <w:rPr>
          <w:rFonts w:hint="eastAsia" w:ascii="宋体" w:hAnsi="宋体" w:cs="宋体"/>
          <w:b/>
          <w:color w:val="auto"/>
          <w:kern w:val="44"/>
          <w:sz w:val="24"/>
          <w:highlight w:val="none"/>
        </w:rPr>
        <w:t>二、服务内容及要求</w:t>
      </w:r>
    </w:p>
    <w:tbl>
      <w:tblPr>
        <w:tblStyle w:val="63"/>
        <w:tblW w:w="8910" w:type="dxa"/>
        <w:tblInd w:w="-17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300"/>
        <w:gridCol w:w="7610"/>
      </w:tblGrid>
      <w:tr w14:paraId="578919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106DA31E">
            <w:pPr>
              <w:widowControl/>
              <w:adjustRightInd/>
              <w:spacing w:line="317" w:lineRule="auto"/>
              <w:jc w:val="center"/>
              <w:textAlignment w:val="center"/>
              <w:rPr>
                <w:rFonts w:hint="eastAsia" w:ascii="宋体" w:hAnsi="宋体" w:cs="宋体"/>
                <w:color w:val="auto"/>
                <w:kern w:val="0"/>
                <w:sz w:val="24"/>
                <w:highlight w:val="none"/>
                <w:lang w:bidi="ar"/>
              </w:rPr>
            </w:pPr>
            <w:r>
              <w:rPr>
                <w:rFonts w:hint="eastAsia" w:ascii="宋体" w:hAnsi="宋体" w:cs="宋体"/>
                <w:b/>
                <w:color w:val="auto"/>
                <w:kern w:val="0"/>
                <w:sz w:val="24"/>
                <w:highlight w:val="none"/>
                <w:lang w:bidi="ar"/>
              </w:rPr>
              <w:t>序号</w:t>
            </w:r>
          </w:p>
        </w:tc>
        <w:tc>
          <w:tcPr>
            <w:tcW w:w="7610" w:type="dxa"/>
            <w:tcBorders>
              <w:tl2br w:val="nil"/>
              <w:tr2bl w:val="nil"/>
            </w:tcBorders>
            <w:vAlign w:val="center"/>
          </w:tcPr>
          <w:p w14:paraId="15128524">
            <w:pPr>
              <w:widowControl/>
              <w:adjustRightInd/>
              <w:spacing w:line="317" w:lineRule="auto"/>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lang w:bidi="ar"/>
              </w:rPr>
              <w:t>招标要求</w:t>
            </w:r>
          </w:p>
        </w:tc>
      </w:tr>
      <w:tr w14:paraId="2042B2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299579F2">
            <w:pPr>
              <w:widowControl/>
              <w:adjustRightInd/>
              <w:spacing w:line="317"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一</w:t>
            </w:r>
          </w:p>
        </w:tc>
        <w:tc>
          <w:tcPr>
            <w:tcW w:w="7610" w:type="dxa"/>
            <w:tcBorders>
              <w:tl2br w:val="nil"/>
              <w:tr2bl w:val="nil"/>
            </w:tcBorders>
            <w:vAlign w:val="center"/>
          </w:tcPr>
          <w:p w14:paraId="78A9424A">
            <w:pPr>
              <w:widowControl/>
              <w:adjustRightInd/>
              <w:spacing w:line="317" w:lineRule="auto"/>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lang w:bidi="ar"/>
              </w:rPr>
              <w:t>总体要求</w:t>
            </w:r>
          </w:p>
        </w:tc>
      </w:tr>
      <w:tr w14:paraId="129DAD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530378C4">
            <w:pPr>
              <w:widowControl/>
              <w:adjustRightInd/>
              <w:spacing w:line="317"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1.1</w:t>
            </w:r>
          </w:p>
        </w:tc>
        <w:tc>
          <w:tcPr>
            <w:tcW w:w="7610" w:type="dxa"/>
            <w:tcBorders>
              <w:tl2br w:val="nil"/>
              <w:tr2bl w:val="nil"/>
            </w:tcBorders>
            <w:vAlign w:val="center"/>
          </w:tcPr>
          <w:p w14:paraId="4D1816D0">
            <w:pPr>
              <w:widowControl/>
              <w:adjustRightInd/>
              <w:spacing w:line="317" w:lineRule="auto"/>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适用范围：适用于医院检验科、病理科外送项目服务(详见后附清单附表），供应商须满足送检的所有检测项目。</w:t>
            </w:r>
          </w:p>
        </w:tc>
      </w:tr>
      <w:tr w14:paraId="5987C8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27E6589B">
            <w:pPr>
              <w:widowControl/>
              <w:adjustRightInd/>
              <w:spacing w:line="317"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二</w:t>
            </w:r>
          </w:p>
        </w:tc>
        <w:tc>
          <w:tcPr>
            <w:tcW w:w="7610" w:type="dxa"/>
            <w:tcBorders>
              <w:tl2br w:val="nil"/>
              <w:tr2bl w:val="nil"/>
            </w:tcBorders>
            <w:vAlign w:val="center"/>
          </w:tcPr>
          <w:p w14:paraId="7FD986C8">
            <w:pPr>
              <w:widowControl/>
              <w:adjustRightInd/>
              <w:spacing w:line="317" w:lineRule="auto"/>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lang w:bidi="ar"/>
              </w:rPr>
              <w:t>技术服务要求</w:t>
            </w:r>
          </w:p>
        </w:tc>
      </w:tr>
      <w:tr w14:paraId="65AA44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1B585E5F">
            <w:pPr>
              <w:widowControl/>
              <w:adjustRightInd/>
              <w:spacing w:line="317"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2.1</w:t>
            </w:r>
          </w:p>
        </w:tc>
        <w:tc>
          <w:tcPr>
            <w:tcW w:w="7610" w:type="dxa"/>
            <w:tcBorders>
              <w:tl2br w:val="nil"/>
              <w:tr2bl w:val="nil"/>
            </w:tcBorders>
            <w:vAlign w:val="center"/>
          </w:tcPr>
          <w:p w14:paraId="4829F274">
            <w:pPr>
              <w:widowControl/>
              <w:adjustRightInd/>
              <w:spacing w:line="317" w:lineRule="auto"/>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检测时间：</w:t>
            </w:r>
          </w:p>
        </w:tc>
      </w:tr>
      <w:tr w14:paraId="3BC785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31713ACA">
            <w:pPr>
              <w:widowControl/>
              <w:adjustRightInd/>
              <w:spacing w:line="317"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▲2.1.1</w:t>
            </w:r>
          </w:p>
        </w:tc>
        <w:tc>
          <w:tcPr>
            <w:tcW w:w="7610" w:type="dxa"/>
            <w:tcBorders>
              <w:tl2br w:val="nil"/>
              <w:tr2bl w:val="nil"/>
            </w:tcBorders>
            <w:vAlign w:val="center"/>
          </w:tcPr>
          <w:p w14:paraId="05093286">
            <w:pPr>
              <w:widowControl/>
              <w:adjustRightInd/>
              <w:spacing w:line="317" w:lineRule="auto"/>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bidi="ar"/>
              </w:rPr>
              <w:t>生化标本检测时间：当日11:00前接收的标本，当日15:30之前出报告</w:t>
            </w:r>
            <w:r>
              <w:rPr>
                <w:rFonts w:hint="eastAsia" w:ascii="宋体" w:hAnsi="宋体" w:cs="宋体"/>
                <w:color w:val="auto"/>
                <w:kern w:val="0"/>
                <w:sz w:val="24"/>
                <w:highlight w:val="none"/>
                <w:lang w:eastAsia="zh-CN" w:bidi="ar"/>
              </w:rPr>
              <w:t>；</w:t>
            </w:r>
          </w:p>
        </w:tc>
      </w:tr>
      <w:tr w14:paraId="715FA0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40D9C7F3">
            <w:pPr>
              <w:widowControl/>
              <w:adjustRightInd/>
              <w:spacing w:line="317"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▲2.1.2</w:t>
            </w:r>
          </w:p>
        </w:tc>
        <w:tc>
          <w:tcPr>
            <w:tcW w:w="7610" w:type="dxa"/>
            <w:tcBorders>
              <w:tl2br w:val="nil"/>
              <w:tr2bl w:val="nil"/>
            </w:tcBorders>
            <w:vAlign w:val="center"/>
          </w:tcPr>
          <w:p w14:paraId="2E89A08C">
            <w:pPr>
              <w:widowControl/>
              <w:adjustRightInd/>
              <w:spacing w:line="317" w:lineRule="auto"/>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免疫及其它血液类检验标本检测时间：≤24小时；</w:t>
            </w:r>
          </w:p>
        </w:tc>
      </w:tr>
      <w:tr w14:paraId="3C8073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2621362C">
            <w:pPr>
              <w:widowControl/>
              <w:adjustRightInd/>
              <w:spacing w:line="317"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▲2.1.3</w:t>
            </w:r>
          </w:p>
        </w:tc>
        <w:tc>
          <w:tcPr>
            <w:tcW w:w="7610" w:type="dxa"/>
            <w:tcBorders>
              <w:tl2br w:val="nil"/>
              <w:tr2bl w:val="nil"/>
            </w:tcBorders>
            <w:vAlign w:val="center"/>
          </w:tcPr>
          <w:p w14:paraId="0AEE2097">
            <w:pPr>
              <w:widowControl/>
              <w:adjustRightInd/>
              <w:spacing w:line="317" w:lineRule="auto"/>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病理标本检测时间：≤72小时（科研、特殊标本除外）。</w:t>
            </w:r>
          </w:p>
        </w:tc>
      </w:tr>
      <w:tr w14:paraId="709874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00" w:type="dxa"/>
            <w:tcBorders>
              <w:tl2br w:val="nil"/>
              <w:tr2bl w:val="nil"/>
            </w:tcBorders>
            <w:vAlign w:val="center"/>
          </w:tcPr>
          <w:p w14:paraId="30F2B7B1">
            <w:pPr>
              <w:widowControl/>
              <w:adjustRightInd/>
              <w:spacing w:line="317"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2.2</w:t>
            </w:r>
          </w:p>
        </w:tc>
        <w:tc>
          <w:tcPr>
            <w:tcW w:w="7610" w:type="dxa"/>
            <w:tcBorders>
              <w:tl2br w:val="nil"/>
              <w:tr2bl w:val="nil"/>
            </w:tcBorders>
            <w:vAlign w:val="center"/>
          </w:tcPr>
          <w:p w14:paraId="465702EF">
            <w:pPr>
              <w:widowControl/>
              <w:adjustRightInd/>
              <w:spacing w:line="317" w:lineRule="auto"/>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标本收取：</w:t>
            </w:r>
          </w:p>
        </w:tc>
      </w:tr>
      <w:tr w14:paraId="32832E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5D703F90">
            <w:pPr>
              <w:widowControl/>
              <w:adjustRightInd/>
              <w:spacing w:line="317"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2.2.1</w:t>
            </w:r>
          </w:p>
        </w:tc>
        <w:tc>
          <w:tcPr>
            <w:tcW w:w="7610" w:type="dxa"/>
            <w:tcBorders>
              <w:tl2br w:val="nil"/>
              <w:tr2bl w:val="nil"/>
            </w:tcBorders>
            <w:vAlign w:val="center"/>
          </w:tcPr>
          <w:p w14:paraId="04E5C6B6">
            <w:pPr>
              <w:widowControl/>
              <w:adjustRightInd/>
              <w:spacing w:line="317" w:lineRule="auto"/>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每天二次（上午下午各一次），特殊情况临时增加一次，响应时间≤1小时；</w:t>
            </w:r>
          </w:p>
        </w:tc>
      </w:tr>
      <w:tr w14:paraId="7A1145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402BE519">
            <w:pPr>
              <w:widowControl/>
              <w:adjustRightInd/>
              <w:spacing w:line="317"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▲2.2.2</w:t>
            </w:r>
          </w:p>
        </w:tc>
        <w:tc>
          <w:tcPr>
            <w:tcW w:w="7610" w:type="dxa"/>
            <w:tcBorders>
              <w:tl2br w:val="nil"/>
              <w:tr2bl w:val="nil"/>
            </w:tcBorders>
            <w:vAlign w:val="center"/>
          </w:tcPr>
          <w:p w14:paraId="25CB39D3">
            <w:pPr>
              <w:widowControl/>
              <w:adjustRightInd/>
              <w:spacing w:line="317" w:lineRule="auto"/>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本项目涉及的10家单位每日中午11:00前收取标本一次，当日下午15:30前须将常规生化检验报告数据LIS回传至医院；下午15:30前收取标本一次，检验报告数据在次日8:00前LIS回传至医院；</w:t>
            </w:r>
          </w:p>
        </w:tc>
      </w:tr>
      <w:tr w14:paraId="5F7F6F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06D1C3F2">
            <w:pPr>
              <w:widowControl/>
              <w:adjustRightInd/>
              <w:spacing w:line="317"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▲2.2.3</w:t>
            </w:r>
          </w:p>
        </w:tc>
        <w:tc>
          <w:tcPr>
            <w:tcW w:w="7610" w:type="dxa"/>
            <w:tcBorders>
              <w:tl2br w:val="nil"/>
              <w:tr2bl w:val="nil"/>
            </w:tcBorders>
            <w:vAlign w:val="center"/>
          </w:tcPr>
          <w:p w14:paraId="4488A255">
            <w:pPr>
              <w:widowControl/>
              <w:adjustRightInd/>
              <w:spacing w:line="317" w:lineRule="auto"/>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全年全天候上门收取标本（农历除夕、大年初一二三、不可抗力情况除外）；</w:t>
            </w:r>
          </w:p>
        </w:tc>
      </w:tr>
      <w:tr w14:paraId="6B67E8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02C97329">
            <w:pPr>
              <w:widowControl/>
              <w:adjustRightInd/>
              <w:spacing w:line="317" w:lineRule="auto"/>
              <w:jc w:val="center"/>
              <w:textAlignment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2.2.4</w:t>
            </w:r>
          </w:p>
        </w:tc>
        <w:tc>
          <w:tcPr>
            <w:tcW w:w="7610" w:type="dxa"/>
            <w:tcBorders>
              <w:tl2br w:val="nil"/>
              <w:tr2bl w:val="nil"/>
            </w:tcBorders>
            <w:vAlign w:val="center"/>
          </w:tcPr>
          <w:p w14:paraId="4B9C5DE1">
            <w:pPr>
              <w:widowControl/>
              <w:adjustRightInd/>
              <w:spacing w:line="317" w:lineRule="auto"/>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在慈城</w:t>
            </w:r>
            <w:r>
              <w:rPr>
                <w:rFonts w:hint="eastAsia" w:ascii="宋体" w:hAnsi="宋体" w:cs="宋体"/>
                <w:color w:val="auto"/>
                <w:kern w:val="0"/>
                <w:sz w:val="24"/>
                <w:highlight w:val="none"/>
                <w:lang w:bidi="ar"/>
              </w:rPr>
              <w:t>院区</w:t>
            </w:r>
            <w:r>
              <w:rPr>
                <w:rFonts w:hint="eastAsia" w:ascii="宋体" w:hAnsi="宋体" w:cs="宋体"/>
                <w:color w:val="auto"/>
                <w:kern w:val="0"/>
                <w:sz w:val="24"/>
                <w:highlight w:val="none"/>
                <w:lang w:val="en-US" w:eastAsia="zh-CN" w:bidi="ar"/>
              </w:rPr>
              <w:t>组织</w:t>
            </w:r>
            <w:r>
              <w:rPr>
                <w:rFonts w:hint="eastAsia" w:ascii="宋体" w:hAnsi="宋体" w:cs="宋体"/>
                <w:color w:val="auto"/>
                <w:kern w:val="0"/>
                <w:sz w:val="24"/>
                <w:highlight w:val="none"/>
                <w:lang w:bidi="ar"/>
              </w:rPr>
              <w:t>体检期间</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供应商须在上午增加一次标本收取</w:t>
            </w:r>
            <w:r>
              <w:rPr>
                <w:rFonts w:hint="eastAsia" w:ascii="宋体" w:hAnsi="宋体" w:cs="宋体"/>
                <w:color w:val="auto"/>
                <w:kern w:val="0"/>
                <w:sz w:val="24"/>
                <w:highlight w:val="none"/>
                <w:lang w:bidi="ar"/>
              </w:rPr>
              <w:t>,满足医院门诊</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体检</w:t>
            </w:r>
            <w:r>
              <w:rPr>
                <w:rFonts w:hint="eastAsia" w:ascii="宋体" w:hAnsi="宋体" w:cs="宋体"/>
                <w:color w:val="auto"/>
                <w:kern w:val="0"/>
                <w:sz w:val="24"/>
                <w:highlight w:val="none"/>
                <w:lang w:val="en-US" w:eastAsia="zh-CN" w:bidi="ar"/>
              </w:rPr>
              <w:t>生化</w:t>
            </w:r>
            <w:r>
              <w:rPr>
                <w:rFonts w:hint="eastAsia" w:ascii="宋体" w:hAnsi="宋体" w:cs="宋体"/>
                <w:color w:val="auto"/>
                <w:kern w:val="0"/>
                <w:sz w:val="24"/>
                <w:highlight w:val="none"/>
                <w:lang w:bidi="ar"/>
              </w:rPr>
              <w:t>标本</w:t>
            </w:r>
            <w:r>
              <w:rPr>
                <w:rFonts w:hint="eastAsia" w:ascii="宋体" w:hAnsi="宋体" w:cs="宋体"/>
                <w:color w:val="auto"/>
                <w:kern w:val="0"/>
                <w:sz w:val="24"/>
                <w:highlight w:val="none"/>
                <w:lang w:val="en-US" w:eastAsia="zh-CN" w:bidi="ar"/>
              </w:rPr>
              <w:t>收取需要，当日下午15:00前须将报告数据LIS回传至医院；</w:t>
            </w:r>
          </w:p>
        </w:tc>
      </w:tr>
      <w:tr w14:paraId="52B13D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65A5AC52">
            <w:pPr>
              <w:widowControl/>
              <w:adjustRightInd/>
              <w:spacing w:line="317" w:lineRule="auto"/>
              <w:jc w:val="center"/>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bidi="ar"/>
              </w:rPr>
              <w:t>2.2.</w:t>
            </w:r>
            <w:r>
              <w:rPr>
                <w:rFonts w:hint="eastAsia" w:ascii="宋体" w:hAnsi="宋体" w:cs="宋体"/>
                <w:color w:val="auto"/>
                <w:kern w:val="0"/>
                <w:sz w:val="24"/>
                <w:highlight w:val="none"/>
                <w:lang w:val="en-US" w:eastAsia="zh-CN" w:bidi="ar"/>
              </w:rPr>
              <w:t>5</w:t>
            </w:r>
          </w:p>
        </w:tc>
        <w:tc>
          <w:tcPr>
            <w:tcW w:w="7610" w:type="dxa"/>
            <w:tcBorders>
              <w:tl2br w:val="nil"/>
              <w:tr2bl w:val="nil"/>
            </w:tcBorders>
            <w:vAlign w:val="center"/>
          </w:tcPr>
          <w:p w14:paraId="30F6451F">
            <w:pPr>
              <w:widowControl/>
              <w:adjustRightInd/>
              <w:spacing w:line="317" w:lineRule="auto"/>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特殊标本（包括急诊标本、病理标本）：承诺临时配送服务，投标文件内提供具体响应时间。</w:t>
            </w:r>
          </w:p>
        </w:tc>
      </w:tr>
      <w:tr w14:paraId="1E7AE9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3BB75D0B">
            <w:pPr>
              <w:widowControl/>
              <w:adjustRightInd/>
              <w:spacing w:line="317"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2.3</w:t>
            </w:r>
          </w:p>
        </w:tc>
        <w:tc>
          <w:tcPr>
            <w:tcW w:w="7610" w:type="dxa"/>
            <w:tcBorders>
              <w:tl2br w:val="nil"/>
              <w:tr2bl w:val="nil"/>
            </w:tcBorders>
            <w:vAlign w:val="center"/>
          </w:tcPr>
          <w:p w14:paraId="5B7FC403">
            <w:pPr>
              <w:widowControl/>
              <w:adjustRightInd/>
              <w:spacing w:line="317" w:lineRule="auto"/>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标本运输：</w:t>
            </w:r>
          </w:p>
        </w:tc>
      </w:tr>
      <w:tr w14:paraId="0D917E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79474DDF">
            <w:pPr>
              <w:widowControl/>
              <w:adjustRightInd/>
              <w:spacing w:line="317"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▲2.3.1</w:t>
            </w:r>
          </w:p>
        </w:tc>
        <w:tc>
          <w:tcPr>
            <w:tcW w:w="7610" w:type="dxa"/>
            <w:tcBorders>
              <w:tl2br w:val="nil"/>
              <w:tr2bl w:val="nil"/>
            </w:tcBorders>
            <w:vAlign w:val="center"/>
          </w:tcPr>
          <w:p w14:paraId="09E37DEE">
            <w:pPr>
              <w:widowControl/>
              <w:adjustRightInd/>
              <w:spacing w:line="317" w:lineRule="auto"/>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bidi="ar"/>
              </w:rPr>
              <w:t>标本运输时间：要求≤90分钟，承接本次项目的医学检验实验室到各家医院所需时间须满足标本运输时间要求</w:t>
            </w:r>
            <w:r>
              <w:rPr>
                <w:rFonts w:hint="eastAsia" w:ascii="宋体" w:hAnsi="宋体" w:cs="宋体"/>
                <w:color w:val="auto"/>
                <w:kern w:val="0"/>
                <w:sz w:val="24"/>
                <w:highlight w:val="none"/>
                <w:lang w:eastAsia="zh-CN" w:bidi="ar"/>
              </w:rPr>
              <w:t>；</w:t>
            </w:r>
          </w:p>
          <w:p w14:paraId="3AA07C4B">
            <w:pPr>
              <w:widowControl/>
              <w:adjustRightInd/>
              <w:spacing w:line="317" w:lineRule="auto"/>
              <w:textAlignment w:val="center"/>
              <w:rPr>
                <w:rFonts w:hint="default" w:ascii="宋体" w:hAnsi="宋体" w:eastAsia="宋体" w:cs="宋体"/>
                <w:color w:val="auto"/>
                <w:kern w:val="0"/>
                <w:sz w:val="24"/>
                <w:highlight w:val="none"/>
                <w:lang w:val="en-US" w:eastAsia="zh-CN" w:bidi="ar"/>
              </w:rPr>
            </w:pPr>
            <w:r>
              <w:rPr>
                <w:rFonts w:hint="eastAsia" w:ascii="宋体" w:hAnsi="宋体" w:cs="宋体"/>
                <w:b/>
                <w:bCs/>
                <w:color w:val="auto"/>
                <w:kern w:val="0"/>
                <w:sz w:val="24"/>
                <w:highlight w:val="none"/>
                <w:lang w:val="en-US" w:eastAsia="zh-CN" w:bidi="ar"/>
              </w:rPr>
              <w:t>注：供应商须在</w:t>
            </w:r>
            <w:r>
              <w:rPr>
                <w:rFonts w:hint="eastAsia" w:ascii="宋体" w:hAnsi="宋体" w:cs="宋体"/>
                <w:b/>
                <w:bCs/>
                <w:color w:val="auto"/>
                <w:kern w:val="0"/>
                <w:sz w:val="24"/>
                <w:highlight w:val="none"/>
                <w:lang w:bidi="ar"/>
              </w:rPr>
              <w:t>投标文件</w:t>
            </w:r>
            <w:r>
              <w:rPr>
                <w:rFonts w:hint="eastAsia" w:ascii="宋体" w:hAnsi="宋体" w:cs="宋体"/>
                <w:b/>
                <w:bCs/>
                <w:color w:val="auto"/>
                <w:kern w:val="0"/>
                <w:sz w:val="24"/>
                <w:highlight w:val="none"/>
                <w:lang w:val="en-US" w:eastAsia="zh-CN" w:bidi="ar"/>
              </w:rPr>
              <w:t>中</w:t>
            </w:r>
            <w:r>
              <w:rPr>
                <w:rFonts w:hint="eastAsia" w:ascii="宋体" w:hAnsi="宋体" w:cs="宋体"/>
                <w:b/>
                <w:bCs/>
                <w:color w:val="auto"/>
                <w:kern w:val="0"/>
                <w:sz w:val="24"/>
                <w:highlight w:val="none"/>
                <w:lang w:bidi="ar"/>
              </w:rPr>
              <w:t>提供本次检验的实验室的营业执照和医疗机构许可证等相关证明</w:t>
            </w:r>
            <w:r>
              <w:rPr>
                <w:rFonts w:hint="eastAsia" w:ascii="宋体" w:hAnsi="宋体" w:cs="宋体"/>
                <w:b/>
                <w:bCs/>
                <w:color w:val="auto"/>
                <w:kern w:val="0"/>
                <w:sz w:val="24"/>
                <w:highlight w:val="none"/>
                <w:lang w:val="en-US" w:eastAsia="zh-CN" w:bidi="ar"/>
              </w:rPr>
              <w:t>材料作为佐证，未提供或无法证明的本项即为负偏离。</w:t>
            </w:r>
          </w:p>
        </w:tc>
      </w:tr>
      <w:tr w14:paraId="2E8464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65A04881">
            <w:pPr>
              <w:widowControl/>
              <w:adjustRightInd/>
              <w:spacing w:line="317"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2.3.2</w:t>
            </w:r>
          </w:p>
        </w:tc>
        <w:tc>
          <w:tcPr>
            <w:tcW w:w="7610" w:type="dxa"/>
            <w:tcBorders>
              <w:tl2br w:val="nil"/>
              <w:tr2bl w:val="nil"/>
            </w:tcBorders>
            <w:vAlign w:val="center"/>
          </w:tcPr>
          <w:p w14:paraId="5E358EC6">
            <w:pPr>
              <w:widowControl/>
              <w:adjustRightInd/>
              <w:spacing w:line="317" w:lineRule="auto"/>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标本需全程冷链运输，并符合生物安全运输要求</w:t>
            </w:r>
            <w:r>
              <w:rPr>
                <w:rFonts w:hint="eastAsia" w:ascii="宋体" w:hAnsi="宋体" w:cs="宋体"/>
                <w:color w:val="auto"/>
                <w:kern w:val="0"/>
                <w:sz w:val="24"/>
                <w:highlight w:val="none"/>
                <w:lang w:eastAsia="zh-CN" w:bidi="ar"/>
              </w:rPr>
              <w:t>；</w:t>
            </w:r>
          </w:p>
        </w:tc>
      </w:tr>
      <w:tr w14:paraId="0DF80A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1806CC25">
            <w:pPr>
              <w:widowControl/>
              <w:adjustRightInd/>
              <w:spacing w:line="317"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2.3.3</w:t>
            </w:r>
          </w:p>
        </w:tc>
        <w:tc>
          <w:tcPr>
            <w:tcW w:w="7610" w:type="dxa"/>
            <w:tcBorders>
              <w:tl2br w:val="nil"/>
              <w:tr2bl w:val="nil"/>
            </w:tcBorders>
            <w:vAlign w:val="center"/>
          </w:tcPr>
          <w:p w14:paraId="55AAFCC7">
            <w:pPr>
              <w:widowControl/>
              <w:adjustRightInd/>
              <w:spacing w:line="317" w:lineRule="auto"/>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eastAsia="zh-CN" w:bidi="ar"/>
              </w:rPr>
              <w:t>供应商</w:t>
            </w:r>
            <w:r>
              <w:rPr>
                <w:rFonts w:hint="eastAsia" w:ascii="宋体" w:hAnsi="宋体" w:cs="宋体"/>
                <w:color w:val="auto"/>
                <w:kern w:val="0"/>
                <w:sz w:val="24"/>
                <w:highlight w:val="none"/>
                <w:lang w:bidi="ar"/>
              </w:rPr>
              <w:t>标本接收人员需进行生物安全培训后上岗。</w:t>
            </w:r>
          </w:p>
        </w:tc>
      </w:tr>
      <w:tr w14:paraId="7FF8A5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071CB57F">
            <w:pPr>
              <w:widowControl/>
              <w:adjustRightInd/>
              <w:spacing w:line="317"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2.4</w:t>
            </w:r>
          </w:p>
        </w:tc>
        <w:tc>
          <w:tcPr>
            <w:tcW w:w="7610" w:type="dxa"/>
            <w:tcBorders>
              <w:tl2br w:val="nil"/>
              <w:tr2bl w:val="nil"/>
            </w:tcBorders>
            <w:vAlign w:val="center"/>
          </w:tcPr>
          <w:p w14:paraId="1085D176">
            <w:pPr>
              <w:widowControl/>
              <w:adjustRightInd/>
              <w:spacing w:line="317" w:lineRule="auto"/>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其它要求：</w:t>
            </w:r>
          </w:p>
        </w:tc>
      </w:tr>
      <w:tr w14:paraId="6FC3D2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0B1011B4">
            <w:pPr>
              <w:widowControl/>
              <w:adjustRightInd/>
              <w:spacing w:line="317"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2.4.1</w:t>
            </w:r>
          </w:p>
        </w:tc>
        <w:tc>
          <w:tcPr>
            <w:tcW w:w="7610" w:type="dxa"/>
            <w:tcBorders>
              <w:tl2br w:val="nil"/>
              <w:tr2bl w:val="nil"/>
            </w:tcBorders>
            <w:vAlign w:val="center"/>
          </w:tcPr>
          <w:p w14:paraId="3E7B2A9C">
            <w:pPr>
              <w:widowControl/>
              <w:adjustRightInd/>
              <w:spacing w:line="317" w:lineRule="auto"/>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提供专业客户服务人员；</w:t>
            </w:r>
          </w:p>
        </w:tc>
      </w:tr>
      <w:tr w14:paraId="6DED61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206F8CCC">
            <w:pPr>
              <w:widowControl/>
              <w:adjustRightInd/>
              <w:spacing w:line="317"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2.4.2</w:t>
            </w:r>
          </w:p>
        </w:tc>
        <w:tc>
          <w:tcPr>
            <w:tcW w:w="7610" w:type="dxa"/>
            <w:tcBorders>
              <w:tl2br w:val="nil"/>
              <w:tr2bl w:val="nil"/>
            </w:tcBorders>
            <w:vAlign w:val="center"/>
          </w:tcPr>
          <w:p w14:paraId="3B21251C">
            <w:pPr>
              <w:widowControl/>
              <w:adjustRightInd/>
              <w:spacing w:line="317" w:lineRule="auto"/>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客服热线、网络客服、365天全年无休服务；</w:t>
            </w:r>
          </w:p>
        </w:tc>
      </w:tr>
      <w:tr w14:paraId="3C9429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08BC3B58">
            <w:pPr>
              <w:widowControl/>
              <w:adjustRightInd/>
              <w:spacing w:line="317"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2.4.3</w:t>
            </w:r>
          </w:p>
        </w:tc>
        <w:tc>
          <w:tcPr>
            <w:tcW w:w="7610" w:type="dxa"/>
            <w:tcBorders>
              <w:tl2br w:val="nil"/>
              <w:tr2bl w:val="nil"/>
            </w:tcBorders>
            <w:vAlign w:val="center"/>
          </w:tcPr>
          <w:p w14:paraId="3941E49D">
            <w:pPr>
              <w:widowControl/>
              <w:adjustRightInd/>
              <w:spacing w:line="317" w:lineRule="auto"/>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服务时效：日常电话及时应答，投诉2小时内回复调查进展；</w:t>
            </w:r>
          </w:p>
        </w:tc>
      </w:tr>
      <w:tr w14:paraId="5799F2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144FF6E9">
            <w:pPr>
              <w:widowControl/>
              <w:adjustRightInd/>
              <w:spacing w:line="317"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2.4.4</w:t>
            </w:r>
          </w:p>
        </w:tc>
        <w:tc>
          <w:tcPr>
            <w:tcW w:w="7610" w:type="dxa"/>
            <w:tcBorders>
              <w:tl2br w:val="nil"/>
              <w:tr2bl w:val="nil"/>
            </w:tcBorders>
            <w:vAlign w:val="center"/>
          </w:tcPr>
          <w:p w14:paraId="5CF42EE5">
            <w:pPr>
              <w:widowControl/>
              <w:adjustRightInd/>
              <w:spacing w:line="317" w:lineRule="auto"/>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在医院认为必要时请相关专家到医院讲课，举办学术会议，协助医院提高医生的诊断水平；</w:t>
            </w:r>
          </w:p>
        </w:tc>
      </w:tr>
      <w:tr w14:paraId="660156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16F7D57E">
            <w:pPr>
              <w:widowControl/>
              <w:adjustRightInd/>
              <w:spacing w:line="317"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2.4.5</w:t>
            </w:r>
          </w:p>
        </w:tc>
        <w:tc>
          <w:tcPr>
            <w:tcW w:w="7610" w:type="dxa"/>
            <w:tcBorders>
              <w:tl2br w:val="nil"/>
              <w:tr2bl w:val="nil"/>
            </w:tcBorders>
            <w:vAlign w:val="center"/>
          </w:tcPr>
          <w:p w14:paraId="3296D053">
            <w:pPr>
              <w:widowControl/>
              <w:adjustRightInd/>
              <w:spacing w:line="317" w:lineRule="auto"/>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在医院检验科需要时，协助医院检验科做好质量管理、提升检测能力；</w:t>
            </w:r>
          </w:p>
        </w:tc>
      </w:tr>
      <w:tr w14:paraId="10206A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285D0353">
            <w:pPr>
              <w:widowControl/>
              <w:adjustRightInd/>
              <w:spacing w:line="317" w:lineRule="auto"/>
              <w:jc w:val="center"/>
              <w:textAlignment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2.4.6</w:t>
            </w:r>
          </w:p>
        </w:tc>
        <w:tc>
          <w:tcPr>
            <w:tcW w:w="7610" w:type="dxa"/>
            <w:tcBorders>
              <w:tl2br w:val="nil"/>
              <w:tr2bl w:val="nil"/>
            </w:tcBorders>
            <w:vAlign w:val="center"/>
          </w:tcPr>
          <w:p w14:paraId="6033764B">
            <w:pPr>
              <w:widowControl/>
              <w:adjustRightInd/>
              <w:spacing w:line="317" w:lineRule="auto"/>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在各家基层医院临时大规模的体检时，供应商应加派物流及相关服务人员，以满足院方需求；</w:t>
            </w:r>
          </w:p>
        </w:tc>
      </w:tr>
      <w:tr w14:paraId="11193C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35F727FD">
            <w:pPr>
              <w:widowControl/>
              <w:adjustRightInd/>
              <w:spacing w:line="317" w:lineRule="auto"/>
              <w:jc w:val="center"/>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bidi="ar"/>
              </w:rPr>
              <w:t>2.4.</w:t>
            </w:r>
            <w:r>
              <w:rPr>
                <w:rFonts w:hint="eastAsia" w:ascii="宋体" w:hAnsi="宋体" w:cs="宋体"/>
                <w:color w:val="auto"/>
                <w:kern w:val="0"/>
                <w:sz w:val="24"/>
                <w:highlight w:val="none"/>
                <w:lang w:val="en-US" w:eastAsia="zh-CN" w:bidi="ar"/>
              </w:rPr>
              <w:t>7</w:t>
            </w:r>
          </w:p>
        </w:tc>
        <w:tc>
          <w:tcPr>
            <w:tcW w:w="7610" w:type="dxa"/>
            <w:tcBorders>
              <w:tl2br w:val="nil"/>
              <w:tr2bl w:val="nil"/>
            </w:tcBorders>
            <w:vAlign w:val="center"/>
          </w:tcPr>
          <w:p w14:paraId="05694D6F">
            <w:pPr>
              <w:widowControl/>
              <w:adjustRightInd/>
              <w:spacing w:line="317" w:lineRule="auto"/>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供应商</w:t>
            </w:r>
            <w:r>
              <w:rPr>
                <w:rFonts w:hint="eastAsia" w:ascii="宋体" w:hAnsi="宋体" w:cs="宋体"/>
                <w:color w:val="auto"/>
                <w:kern w:val="0"/>
                <w:sz w:val="24"/>
                <w:highlight w:val="none"/>
                <w:lang w:bidi="ar"/>
              </w:rPr>
              <w:t>实验室列入“浙江省临床检验结果互认的医疗机构”</w:t>
            </w:r>
            <w:r>
              <w:rPr>
                <w:rFonts w:hint="eastAsia" w:ascii="宋体" w:hAnsi="宋体" w:cs="宋体"/>
                <w:color w:val="auto"/>
                <w:kern w:val="0"/>
                <w:sz w:val="24"/>
                <w:highlight w:val="none"/>
                <w:lang w:eastAsia="zh-CN" w:bidi="ar"/>
              </w:rPr>
              <w:t>；</w:t>
            </w:r>
          </w:p>
          <w:p w14:paraId="43960C45">
            <w:pPr>
              <w:widowControl/>
              <w:adjustRightInd/>
              <w:spacing w:line="317" w:lineRule="auto"/>
              <w:textAlignment w:val="center"/>
              <w:rPr>
                <w:rFonts w:hint="default" w:ascii="宋体" w:hAnsi="宋体" w:eastAsia="宋体" w:cs="宋体"/>
                <w:color w:val="auto"/>
                <w:kern w:val="0"/>
                <w:sz w:val="24"/>
                <w:highlight w:val="none"/>
                <w:lang w:val="en-US" w:eastAsia="zh-CN" w:bidi="ar"/>
              </w:rPr>
            </w:pPr>
            <w:r>
              <w:rPr>
                <w:rFonts w:hint="eastAsia" w:ascii="宋体" w:hAnsi="宋体" w:cs="宋体"/>
                <w:b/>
                <w:bCs/>
                <w:color w:val="auto"/>
                <w:kern w:val="0"/>
                <w:sz w:val="24"/>
                <w:highlight w:val="none"/>
                <w:lang w:val="en-US" w:eastAsia="zh-CN" w:bidi="ar"/>
              </w:rPr>
              <w:t>注：供应商须在投标文件中</w:t>
            </w:r>
            <w:r>
              <w:rPr>
                <w:rFonts w:hint="eastAsia" w:ascii="宋体" w:hAnsi="宋体" w:cs="宋体"/>
                <w:b/>
                <w:bCs/>
                <w:color w:val="auto"/>
                <w:kern w:val="0"/>
                <w:sz w:val="24"/>
                <w:highlight w:val="none"/>
                <w:lang w:bidi="ar"/>
              </w:rPr>
              <w:t>提供相关证明材料</w:t>
            </w:r>
            <w:r>
              <w:rPr>
                <w:rFonts w:hint="eastAsia" w:ascii="宋体" w:hAnsi="宋体" w:cs="宋体"/>
                <w:b/>
                <w:bCs/>
                <w:color w:val="auto"/>
                <w:kern w:val="0"/>
                <w:sz w:val="24"/>
                <w:highlight w:val="none"/>
                <w:lang w:val="en-US" w:eastAsia="zh-CN" w:bidi="ar"/>
              </w:rPr>
              <w:t>作为佐证，未提供或无法证明的本项即为负偏离。</w:t>
            </w:r>
          </w:p>
        </w:tc>
      </w:tr>
      <w:tr w14:paraId="62BC08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3312F3C9">
            <w:pPr>
              <w:widowControl/>
              <w:adjustRightInd/>
              <w:spacing w:line="317" w:lineRule="auto"/>
              <w:jc w:val="center"/>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bidi="ar"/>
              </w:rPr>
              <w:t>▲2.4.</w:t>
            </w:r>
            <w:r>
              <w:rPr>
                <w:rFonts w:hint="eastAsia" w:ascii="宋体" w:hAnsi="宋体" w:cs="宋体"/>
                <w:color w:val="auto"/>
                <w:kern w:val="0"/>
                <w:sz w:val="24"/>
                <w:highlight w:val="none"/>
                <w:lang w:val="en-US" w:eastAsia="zh-CN" w:bidi="ar"/>
              </w:rPr>
              <w:t>8</w:t>
            </w:r>
          </w:p>
        </w:tc>
        <w:tc>
          <w:tcPr>
            <w:tcW w:w="7610" w:type="dxa"/>
            <w:tcBorders>
              <w:tl2br w:val="nil"/>
              <w:tr2bl w:val="nil"/>
            </w:tcBorders>
            <w:vAlign w:val="center"/>
          </w:tcPr>
          <w:p w14:paraId="1F215669">
            <w:pPr>
              <w:widowControl/>
              <w:adjustRightInd/>
              <w:spacing w:line="317" w:lineRule="auto"/>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外送检验项目结果需回传至医院LIS系统，接口费用由供应商自行承担，并要求在合同签订后7天内完成LIS接口对接，包含病理与微生物外送报告LIS回传；</w:t>
            </w:r>
          </w:p>
        </w:tc>
      </w:tr>
      <w:tr w14:paraId="5AC9EA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4360A8A8">
            <w:pPr>
              <w:widowControl/>
              <w:adjustRightInd/>
              <w:spacing w:line="317" w:lineRule="auto"/>
              <w:jc w:val="center"/>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bidi="ar"/>
              </w:rPr>
              <w:t>▲2.4.</w:t>
            </w:r>
            <w:r>
              <w:rPr>
                <w:rFonts w:hint="eastAsia" w:ascii="宋体" w:hAnsi="宋体" w:cs="宋体"/>
                <w:color w:val="auto"/>
                <w:kern w:val="0"/>
                <w:sz w:val="24"/>
                <w:highlight w:val="none"/>
                <w:lang w:val="en-US" w:eastAsia="zh-CN" w:bidi="ar"/>
              </w:rPr>
              <w:t>9</w:t>
            </w:r>
          </w:p>
        </w:tc>
        <w:tc>
          <w:tcPr>
            <w:tcW w:w="7610" w:type="dxa"/>
            <w:tcBorders>
              <w:tl2br w:val="nil"/>
              <w:tr2bl w:val="nil"/>
            </w:tcBorders>
            <w:vAlign w:val="center"/>
          </w:tcPr>
          <w:p w14:paraId="714C0AF3">
            <w:pPr>
              <w:widowControl/>
              <w:adjustRightInd/>
              <w:spacing w:line="317" w:lineRule="auto"/>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bidi="ar"/>
              </w:rPr>
              <w:t>血常规、尿沉渣、尿干化、CRP、SAA等为医院自己开展的项目，供应商免费提供相应的检测设备（检测设备必须满足使用需求并经使用人确认后方可投入，投标文件中提供具体设备清单）、免费提供对应仪器的试剂、耗材、维修服务等</w:t>
            </w:r>
            <w:r>
              <w:rPr>
                <w:rFonts w:hint="eastAsia" w:ascii="宋体" w:hAnsi="宋体" w:cs="宋体"/>
                <w:color w:val="auto"/>
                <w:kern w:val="0"/>
                <w:sz w:val="24"/>
                <w:highlight w:val="none"/>
                <w:lang w:eastAsia="zh-CN" w:bidi="ar"/>
              </w:rPr>
              <w:t>；</w:t>
            </w:r>
          </w:p>
        </w:tc>
      </w:tr>
      <w:tr w14:paraId="2537FC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56F121B6">
            <w:pPr>
              <w:widowControl/>
              <w:adjustRightInd/>
              <w:spacing w:line="317" w:lineRule="auto"/>
              <w:jc w:val="center"/>
              <w:textAlignment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bidi="ar"/>
              </w:rPr>
              <w:t>▲2.4.</w:t>
            </w:r>
            <w:r>
              <w:rPr>
                <w:rFonts w:hint="eastAsia" w:ascii="宋体" w:hAnsi="宋体" w:cs="宋体"/>
                <w:color w:val="auto"/>
                <w:kern w:val="0"/>
                <w:sz w:val="24"/>
                <w:highlight w:val="none"/>
                <w:lang w:val="en-US" w:eastAsia="zh-CN" w:bidi="ar"/>
              </w:rPr>
              <w:t>10</w:t>
            </w:r>
          </w:p>
        </w:tc>
        <w:tc>
          <w:tcPr>
            <w:tcW w:w="7610" w:type="dxa"/>
            <w:tcBorders>
              <w:tl2br w:val="nil"/>
              <w:tr2bl w:val="nil"/>
            </w:tcBorders>
            <w:vAlign w:val="center"/>
          </w:tcPr>
          <w:p w14:paraId="369EC9FF">
            <w:pPr>
              <w:widowControl/>
              <w:adjustRightInd/>
              <w:spacing w:line="317" w:lineRule="auto"/>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医院自己开展的项目仪器发生故障时，供应商可免费提供紧急维修服务，响应时间≤1小时，并提供免费配件更换；</w:t>
            </w:r>
          </w:p>
        </w:tc>
      </w:tr>
      <w:tr w14:paraId="71A58C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3D47BD2B">
            <w:pPr>
              <w:widowControl/>
              <w:adjustRightInd/>
              <w:spacing w:line="317" w:lineRule="auto"/>
              <w:jc w:val="center"/>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bidi="ar"/>
              </w:rPr>
              <w:t>▲2.4.1</w:t>
            </w:r>
            <w:r>
              <w:rPr>
                <w:rFonts w:hint="eastAsia" w:ascii="宋体" w:hAnsi="宋体" w:cs="宋体"/>
                <w:color w:val="auto"/>
                <w:kern w:val="0"/>
                <w:sz w:val="24"/>
                <w:highlight w:val="none"/>
                <w:lang w:val="en-US" w:eastAsia="zh-CN" w:bidi="ar"/>
              </w:rPr>
              <w:t>1</w:t>
            </w:r>
          </w:p>
        </w:tc>
        <w:tc>
          <w:tcPr>
            <w:tcW w:w="7610" w:type="dxa"/>
            <w:tcBorders>
              <w:tl2br w:val="nil"/>
              <w:tr2bl w:val="nil"/>
            </w:tcBorders>
            <w:vAlign w:val="center"/>
          </w:tcPr>
          <w:p w14:paraId="2327EDFC">
            <w:pPr>
              <w:widowControl/>
              <w:adjustRightInd/>
              <w:spacing w:line="317" w:lineRule="auto"/>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免费提供室内质控的质控品，并承担室间质控费用。免费提供一年一次对应仪器的校准品；</w:t>
            </w:r>
          </w:p>
        </w:tc>
      </w:tr>
      <w:tr w14:paraId="528E9F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579E2E71">
            <w:pPr>
              <w:widowControl/>
              <w:adjustRightInd/>
              <w:spacing w:line="317" w:lineRule="auto"/>
              <w:jc w:val="center"/>
              <w:textAlignment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bidi="ar"/>
              </w:rPr>
              <w:t>▲2.4.1</w:t>
            </w:r>
            <w:r>
              <w:rPr>
                <w:rFonts w:hint="eastAsia" w:ascii="宋体" w:hAnsi="宋体" w:cs="宋体"/>
                <w:color w:val="auto"/>
                <w:kern w:val="0"/>
                <w:sz w:val="24"/>
                <w:highlight w:val="none"/>
                <w:lang w:val="en-US" w:eastAsia="zh-CN" w:bidi="ar"/>
              </w:rPr>
              <w:t>2</w:t>
            </w:r>
          </w:p>
        </w:tc>
        <w:tc>
          <w:tcPr>
            <w:tcW w:w="7610" w:type="dxa"/>
            <w:tcBorders>
              <w:tl2br w:val="nil"/>
              <w:tr2bl w:val="nil"/>
            </w:tcBorders>
            <w:vAlign w:val="center"/>
          </w:tcPr>
          <w:p w14:paraId="043E3D52">
            <w:pPr>
              <w:widowControl/>
              <w:adjustRightInd/>
              <w:spacing w:line="317" w:lineRule="auto"/>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bidi="ar"/>
              </w:rPr>
              <w:t>中标人需回购采购人的剩余试剂</w:t>
            </w:r>
            <w:r>
              <w:rPr>
                <w:rFonts w:hint="eastAsia" w:ascii="宋体" w:hAnsi="宋体" w:cs="宋体"/>
                <w:color w:val="auto"/>
                <w:kern w:val="0"/>
                <w:sz w:val="24"/>
                <w:highlight w:val="none"/>
                <w:lang w:eastAsia="zh-CN" w:bidi="ar"/>
              </w:rPr>
              <w:t>；</w:t>
            </w:r>
          </w:p>
        </w:tc>
      </w:tr>
      <w:tr w14:paraId="0968D9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4020E7A3">
            <w:pPr>
              <w:widowControl/>
              <w:adjustRightInd/>
              <w:spacing w:line="317" w:lineRule="auto"/>
              <w:jc w:val="center"/>
              <w:textAlignment w:val="center"/>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2.4.13</w:t>
            </w:r>
          </w:p>
        </w:tc>
        <w:tc>
          <w:tcPr>
            <w:tcW w:w="7610" w:type="dxa"/>
            <w:tcBorders>
              <w:tl2br w:val="nil"/>
              <w:tr2bl w:val="nil"/>
            </w:tcBorders>
            <w:vAlign w:val="center"/>
          </w:tcPr>
          <w:p w14:paraId="5CCB574C">
            <w:pPr>
              <w:widowControl/>
              <w:adjustRightInd/>
              <w:spacing w:line="317" w:lineRule="auto"/>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部分生化试剂应</w:t>
            </w:r>
            <w:r>
              <w:rPr>
                <w:rFonts w:hint="eastAsia" w:ascii="宋体" w:hAnsi="宋体" w:cs="宋体"/>
                <w:color w:val="auto"/>
                <w:kern w:val="0"/>
                <w:sz w:val="24"/>
                <w:highlight w:val="none"/>
                <w:lang w:bidi="ar"/>
              </w:rPr>
              <w:t>增加原装试剂,</w:t>
            </w:r>
            <w:r>
              <w:rPr>
                <w:rFonts w:hint="eastAsia" w:ascii="宋体" w:hAnsi="宋体" w:cs="宋体"/>
                <w:color w:val="auto"/>
                <w:kern w:val="0"/>
                <w:sz w:val="24"/>
                <w:highlight w:val="none"/>
                <w:lang w:val="en-US" w:eastAsia="zh-CN" w:bidi="ar"/>
              </w:rPr>
              <w:t>以</w:t>
            </w:r>
            <w:r>
              <w:rPr>
                <w:rFonts w:hint="eastAsia" w:ascii="宋体" w:hAnsi="宋体" w:cs="宋体"/>
                <w:color w:val="auto"/>
                <w:kern w:val="0"/>
                <w:sz w:val="24"/>
                <w:highlight w:val="none"/>
                <w:lang w:bidi="ar"/>
              </w:rPr>
              <w:t>减少</w:t>
            </w:r>
            <w:r>
              <w:rPr>
                <w:rFonts w:hint="eastAsia" w:ascii="宋体" w:hAnsi="宋体" w:cs="宋体"/>
                <w:color w:val="auto"/>
                <w:kern w:val="0"/>
                <w:sz w:val="24"/>
                <w:highlight w:val="none"/>
                <w:lang w:val="en-US" w:eastAsia="zh-CN" w:bidi="ar"/>
              </w:rPr>
              <w:t>退检</w:t>
            </w:r>
            <w:r>
              <w:rPr>
                <w:rFonts w:hint="eastAsia" w:ascii="宋体" w:hAnsi="宋体" w:cs="宋体"/>
                <w:color w:val="auto"/>
                <w:kern w:val="0"/>
                <w:sz w:val="24"/>
                <w:highlight w:val="none"/>
                <w:lang w:bidi="ar"/>
              </w:rPr>
              <w:t>标本</w:t>
            </w:r>
            <w:r>
              <w:rPr>
                <w:rFonts w:hint="eastAsia" w:ascii="宋体" w:hAnsi="宋体" w:cs="宋体"/>
                <w:color w:val="auto"/>
                <w:kern w:val="0"/>
                <w:sz w:val="24"/>
                <w:highlight w:val="none"/>
                <w:lang w:val="en-US" w:eastAsia="zh-CN" w:bidi="ar"/>
              </w:rPr>
              <w:t>的</w:t>
            </w:r>
            <w:r>
              <w:rPr>
                <w:rFonts w:hint="eastAsia" w:ascii="宋体" w:hAnsi="宋体" w:cs="宋体"/>
                <w:color w:val="auto"/>
                <w:kern w:val="0"/>
                <w:sz w:val="24"/>
                <w:highlight w:val="none"/>
                <w:lang w:bidi="ar"/>
              </w:rPr>
              <w:t>情况</w:t>
            </w:r>
            <w:r>
              <w:rPr>
                <w:rFonts w:hint="eastAsia" w:ascii="宋体" w:hAnsi="宋体" w:cs="宋体"/>
                <w:color w:val="auto"/>
                <w:kern w:val="0"/>
                <w:sz w:val="24"/>
                <w:highlight w:val="none"/>
                <w:lang w:eastAsia="zh-CN" w:bidi="ar"/>
              </w:rPr>
              <w:t>。</w:t>
            </w:r>
          </w:p>
        </w:tc>
      </w:tr>
      <w:tr w14:paraId="17547C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0BAB0447">
            <w:pPr>
              <w:widowControl/>
              <w:adjustRightInd/>
              <w:spacing w:line="317"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2.5</w:t>
            </w:r>
          </w:p>
        </w:tc>
        <w:tc>
          <w:tcPr>
            <w:tcW w:w="7610" w:type="dxa"/>
            <w:tcBorders>
              <w:tl2br w:val="nil"/>
              <w:tr2bl w:val="nil"/>
            </w:tcBorders>
            <w:vAlign w:val="center"/>
          </w:tcPr>
          <w:p w14:paraId="23F21B9A">
            <w:pPr>
              <w:widowControl/>
              <w:adjustRightInd/>
              <w:spacing w:line="317" w:lineRule="auto"/>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血常规、尿沉渣、尿干化、CRP、SAA为医院自己开展的项目，供应商每月按医院仪器设备的实际检测数据结算（医院订货试剂有明确人份数，则优先按试剂人份数结算）。</w:t>
            </w:r>
          </w:p>
        </w:tc>
      </w:tr>
      <w:tr w14:paraId="32DA8D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1C0F2D6A">
            <w:pPr>
              <w:widowControl/>
              <w:adjustRightInd/>
              <w:spacing w:line="317"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2.6</w:t>
            </w:r>
          </w:p>
        </w:tc>
        <w:tc>
          <w:tcPr>
            <w:tcW w:w="7610" w:type="dxa"/>
            <w:tcBorders>
              <w:tl2br w:val="nil"/>
              <w:tr2bl w:val="nil"/>
            </w:tcBorders>
            <w:vAlign w:val="center"/>
          </w:tcPr>
          <w:p w14:paraId="390815AC">
            <w:pPr>
              <w:widowControl/>
              <w:adjustRightInd/>
              <w:spacing w:line="317" w:lineRule="auto"/>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服务期间如医院新增检验外送项目，结算价格按照本次中标的各类型业务服务比例结算，同时需与本次招标包含的所有医疗机构单位签订补充协议</w:t>
            </w:r>
            <w:r>
              <w:rPr>
                <w:rFonts w:hint="eastAsia" w:ascii="宋体" w:hAnsi="宋体" w:cs="宋体"/>
                <w:color w:val="auto"/>
                <w:kern w:val="0"/>
                <w:sz w:val="24"/>
                <w:highlight w:val="none"/>
                <w:lang w:eastAsia="zh-CN" w:bidi="ar"/>
              </w:rPr>
              <w:t>。</w:t>
            </w:r>
          </w:p>
        </w:tc>
      </w:tr>
      <w:tr w14:paraId="09B7FA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433BDD9A">
            <w:pPr>
              <w:widowControl/>
              <w:adjustRightInd/>
              <w:spacing w:line="317"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2.7</w:t>
            </w:r>
          </w:p>
        </w:tc>
        <w:tc>
          <w:tcPr>
            <w:tcW w:w="7610" w:type="dxa"/>
            <w:tcBorders>
              <w:tl2br w:val="nil"/>
              <w:tr2bl w:val="nil"/>
            </w:tcBorders>
            <w:vAlign w:val="center"/>
          </w:tcPr>
          <w:p w14:paraId="2AA67319">
            <w:pPr>
              <w:widowControl/>
              <w:adjustRightInd/>
              <w:spacing w:line="317" w:lineRule="auto"/>
              <w:textAlignment w:val="center"/>
              <w:rPr>
                <w:rFonts w:hint="eastAsia" w:ascii="宋体" w:hAnsi="宋体" w:cs="宋体"/>
                <w:color w:val="auto"/>
                <w:kern w:val="0"/>
                <w:sz w:val="24"/>
                <w:highlight w:val="none"/>
                <w:lang w:eastAsia="zh-CN" w:bidi="ar"/>
              </w:rPr>
            </w:pPr>
            <w:r>
              <w:rPr>
                <w:rFonts w:hint="eastAsia" w:ascii="宋体" w:hAnsi="宋体" w:cs="宋体"/>
                <w:color w:val="auto"/>
                <w:kern w:val="0"/>
                <w:sz w:val="24"/>
                <w:highlight w:val="none"/>
                <w:lang w:eastAsia="zh-CN" w:bidi="ar"/>
              </w:rPr>
              <w:t>供应商</w:t>
            </w:r>
            <w:r>
              <w:rPr>
                <w:rFonts w:hint="eastAsia" w:ascii="宋体" w:hAnsi="宋体" w:cs="宋体"/>
                <w:color w:val="auto"/>
                <w:kern w:val="0"/>
                <w:sz w:val="24"/>
                <w:highlight w:val="none"/>
                <w:lang w:val="en-US" w:eastAsia="zh-CN" w:bidi="ar"/>
              </w:rPr>
              <w:t>具有</w:t>
            </w:r>
            <w:r>
              <w:rPr>
                <w:rFonts w:hint="eastAsia" w:ascii="宋体" w:hAnsi="宋体" w:cs="宋体"/>
                <w:color w:val="auto"/>
                <w:kern w:val="0"/>
                <w:sz w:val="24"/>
                <w:highlight w:val="none"/>
                <w:lang w:bidi="ar"/>
              </w:rPr>
              <w:t>三级或以上</w:t>
            </w:r>
            <w:r>
              <w:rPr>
                <w:rFonts w:hint="eastAsia" w:ascii="宋体" w:hAnsi="宋体" w:cs="宋体"/>
                <w:color w:val="auto"/>
                <w:kern w:val="0"/>
                <w:sz w:val="24"/>
                <w:highlight w:val="none"/>
                <w:lang w:val="en-US" w:eastAsia="zh-CN" w:bidi="ar"/>
              </w:rPr>
              <w:t>信息系统安全等级保护</w:t>
            </w:r>
            <w:r>
              <w:rPr>
                <w:rFonts w:hint="eastAsia" w:ascii="宋体" w:hAnsi="宋体" w:cs="宋体"/>
                <w:color w:val="auto"/>
                <w:kern w:val="0"/>
                <w:sz w:val="24"/>
                <w:highlight w:val="none"/>
                <w:lang w:eastAsia="zh-CN" w:bidi="ar"/>
              </w:rPr>
              <w:t>。</w:t>
            </w:r>
          </w:p>
          <w:p w14:paraId="5D8DB3AF">
            <w:pPr>
              <w:widowControl/>
              <w:adjustRightInd/>
              <w:spacing w:line="317" w:lineRule="auto"/>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val="en-US" w:eastAsia="zh-CN" w:bidi="ar"/>
              </w:rPr>
              <w:t>注：供应商须在投标文件中</w:t>
            </w:r>
            <w:r>
              <w:rPr>
                <w:rFonts w:hint="eastAsia" w:ascii="宋体" w:hAnsi="宋体" w:cs="宋体"/>
                <w:b/>
                <w:bCs/>
                <w:color w:val="auto"/>
                <w:kern w:val="0"/>
                <w:sz w:val="24"/>
                <w:highlight w:val="none"/>
                <w:lang w:bidi="ar"/>
              </w:rPr>
              <w:t>提供相关证明材料</w:t>
            </w:r>
            <w:r>
              <w:rPr>
                <w:rFonts w:hint="eastAsia" w:ascii="宋体" w:hAnsi="宋体" w:cs="宋体"/>
                <w:b/>
                <w:bCs/>
                <w:color w:val="auto"/>
                <w:kern w:val="0"/>
                <w:sz w:val="24"/>
                <w:highlight w:val="none"/>
                <w:lang w:val="en-US" w:eastAsia="zh-CN" w:bidi="ar"/>
              </w:rPr>
              <w:t>作为佐证，未提供或无法证明的本项即为负偏离。</w:t>
            </w:r>
          </w:p>
        </w:tc>
      </w:tr>
      <w:tr w14:paraId="39C1D7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6189E9F7">
            <w:pPr>
              <w:widowControl/>
              <w:adjustRightInd/>
              <w:spacing w:line="317"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2.8</w:t>
            </w:r>
          </w:p>
        </w:tc>
        <w:tc>
          <w:tcPr>
            <w:tcW w:w="7610" w:type="dxa"/>
            <w:tcBorders>
              <w:tl2br w:val="nil"/>
              <w:tr2bl w:val="nil"/>
            </w:tcBorders>
            <w:vAlign w:val="center"/>
          </w:tcPr>
          <w:p w14:paraId="08D41B9B">
            <w:pPr>
              <w:widowControl/>
              <w:adjustRightInd/>
              <w:spacing w:line="317" w:lineRule="auto"/>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供应商需对检验后的标本进行妥善保存，以便检验结果有疑义时进行再次检验，保存标本的时间不应少于相关标准或条例所规定的时间。</w:t>
            </w:r>
          </w:p>
        </w:tc>
      </w:tr>
      <w:tr w14:paraId="4427EE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171017C5">
            <w:pPr>
              <w:widowControl/>
              <w:adjustRightInd/>
              <w:spacing w:line="317"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2.9</w:t>
            </w:r>
          </w:p>
        </w:tc>
        <w:tc>
          <w:tcPr>
            <w:tcW w:w="7610" w:type="dxa"/>
            <w:tcBorders>
              <w:tl2br w:val="nil"/>
              <w:tr2bl w:val="nil"/>
            </w:tcBorders>
            <w:vAlign w:val="center"/>
          </w:tcPr>
          <w:p w14:paraId="06646414">
            <w:pPr>
              <w:widowControl/>
              <w:adjustRightInd/>
              <w:spacing w:line="317" w:lineRule="auto"/>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当采购人对供应商实验室的检验结果有疑义或异议时，采购人可要求供应商实验室重新检验或再委托第三方检验。这种情况下所发生的费用，由责任方承担。</w:t>
            </w:r>
          </w:p>
        </w:tc>
      </w:tr>
      <w:tr w14:paraId="4BD81C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718FC913">
            <w:pPr>
              <w:widowControl/>
              <w:adjustRightInd/>
              <w:spacing w:line="317"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2.10</w:t>
            </w:r>
          </w:p>
        </w:tc>
        <w:tc>
          <w:tcPr>
            <w:tcW w:w="7610" w:type="dxa"/>
            <w:tcBorders>
              <w:tl2br w:val="nil"/>
              <w:tr2bl w:val="nil"/>
            </w:tcBorders>
            <w:vAlign w:val="center"/>
          </w:tcPr>
          <w:p w14:paraId="0A555E4D">
            <w:pPr>
              <w:widowControl/>
              <w:adjustRightInd/>
              <w:spacing w:line="317" w:lineRule="auto"/>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供应商应有对患者电子病历、送检标本及检测结果等相关资料保密的措施。</w:t>
            </w:r>
          </w:p>
        </w:tc>
      </w:tr>
      <w:tr w14:paraId="61FE3B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4225116C">
            <w:pPr>
              <w:widowControl/>
              <w:adjustRightInd/>
              <w:spacing w:line="317"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2.11</w:t>
            </w:r>
          </w:p>
        </w:tc>
        <w:tc>
          <w:tcPr>
            <w:tcW w:w="7610" w:type="dxa"/>
            <w:tcBorders>
              <w:tl2br w:val="nil"/>
              <w:tr2bl w:val="nil"/>
            </w:tcBorders>
            <w:vAlign w:val="center"/>
          </w:tcPr>
          <w:p w14:paraId="728FF4D4">
            <w:pPr>
              <w:widowControl/>
              <w:adjustRightInd/>
              <w:spacing w:line="317" w:lineRule="auto"/>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供应商需配合医院做好质量控制，定期提供所需文件。</w:t>
            </w:r>
          </w:p>
        </w:tc>
      </w:tr>
      <w:tr w14:paraId="04367E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55F98CD7">
            <w:pPr>
              <w:widowControl/>
              <w:adjustRightInd/>
              <w:spacing w:line="317"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2.12</w:t>
            </w:r>
          </w:p>
        </w:tc>
        <w:tc>
          <w:tcPr>
            <w:tcW w:w="7610" w:type="dxa"/>
            <w:tcBorders>
              <w:tl2br w:val="nil"/>
              <w:tr2bl w:val="nil"/>
            </w:tcBorders>
            <w:vAlign w:val="center"/>
          </w:tcPr>
          <w:p w14:paraId="2320CBBF">
            <w:pPr>
              <w:widowControl/>
              <w:adjustRightInd/>
              <w:spacing w:line="317" w:lineRule="auto"/>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由于供应商的检测结果误差引起的相关纠纷，由供应商承担责任。</w:t>
            </w:r>
          </w:p>
        </w:tc>
      </w:tr>
      <w:tr w14:paraId="7FD830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00" w:type="dxa"/>
            <w:tcBorders>
              <w:tl2br w:val="nil"/>
              <w:tr2bl w:val="nil"/>
            </w:tcBorders>
            <w:vAlign w:val="center"/>
          </w:tcPr>
          <w:p w14:paraId="6599EAD5">
            <w:pPr>
              <w:widowControl/>
              <w:adjustRightInd/>
              <w:spacing w:line="317" w:lineRule="auto"/>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▲2.13</w:t>
            </w:r>
          </w:p>
        </w:tc>
        <w:tc>
          <w:tcPr>
            <w:tcW w:w="7610" w:type="dxa"/>
            <w:tcBorders>
              <w:tl2br w:val="nil"/>
              <w:tr2bl w:val="nil"/>
            </w:tcBorders>
            <w:vAlign w:val="center"/>
          </w:tcPr>
          <w:p w14:paraId="0D52E0AE">
            <w:pPr>
              <w:widowControl/>
              <w:tabs>
                <w:tab w:val="left" w:pos="864"/>
              </w:tabs>
              <w:adjustRightInd/>
              <w:spacing w:line="317" w:lineRule="auto"/>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eastAsia="zh-CN" w:bidi="ar"/>
              </w:rPr>
              <w:t>生化标本</w:t>
            </w:r>
            <w:r>
              <w:rPr>
                <w:rFonts w:hint="eastAsia" w:ascii="宋体" w:hAnsi="宋体" w:cs="宋体"/>
                <w:color w:val="auto"/>
                <w:kern w:val="0"/>
                <w:sz w:val="24"/>
                <w:highlight w:val="none"/>
                <w:lang w:val="en-US" w:eastAsia="zh-CN" w:bidi="ar"/>
              </w:rPr>
              <w:t>每</w:t>
            </w:r>
            <w:r>
              <w:rPr>
                <w:rFonts w:hint="eastAsia" w:ascii="宋体" w:hAnsi="宋体" w:cs="宋体"/>
                <w:color w:val="auto"/>
                <w:kern w:val="0"/>
                <w:sz w:val="24"/>
                <w:highlight w:val="none"/>
                <w:lang w:eastAsia="zh-CN" w:bidi="ar"/>
              </w:rPr>
              <w:t>延发一次，</w:t>
            </w:r>
            <w:r>
              <w:rPr>
                <w:rFonts w:hint="eastAsia" w:ascii="宋体" w:hAnsi="宋体" w:cs="宋体"/>
                <w:color w:val="auto"/>
                <w:kern w:val="0"/>
                <w:sz w:val="24"/>
                <w:highlight w:val="none"/>
                <w:lang w:val="en-US" w:eastAsia="zh-CN" w:bidi="ar"/>
              </w:rPr>
              <w:t>扣款500元。该费用从当月结算的服务费中作相应扣除，且不允许出现大规模的延发事件。</w:t>
            </w:r>
          </w:p>
        </w:tc>
      </w:tr>
    </w:tbl>
    <w:p w14:paraId="5A26862F">
      <w:pPr>
        <w:autoSpaceDE w:val="0"/>
        <w:autoSpaceDN w:val="0"/>
        <w:adjustRightInd/>
        <w:rPr>
          <w:rFonts w:ascii="宋体" w:hAnsi="宋体" w:cs="宋体"/>
          <w:b/>
          <w:snapToGrid w:val="0"/>
          <w:color w:val="auto"/>
          <w:sz w:val="24"/>
          <w:highlight w:val="none"/>
        </w:rPr>
      </w:pPr>
    </w:p>
    <w:p w14:paraId="2ACEB288">
      <w:pPr>
        <w:autoSpaceDE w:val="0"/>
        <w:autoSpaceDN w:val="0"/>
        <w:adjustRightInd/>
        <w:rPr>
          <w:rFonts w:ascii="宋体" w:hAnsi="宋体" w:cs="宋体"/>
          <w:b/>
          <w:snapToGrid w:val="0"/>
          <w:color w:val="auto"/>
          <w:sz w:val="24"/>
          <w:highlight w:val="none"/>
        </w:rPr>
      </w:pPr>
    </w:p>
    <w:p w14:paraId="2C7AA449">
      <w:pPr>
        <w:autoSpaceDE w:val="0"/>
        <w:autoSpaceDN w:val="0"/>
        <w:adjustRightInd/>
        <w:rPr>
          <w:rFonts w:ascii="宋体" w:hAnsi="宋体" w:cs="宋体"/>
          <w:b/>
          <w:snapToGrid w:val="0"/>
          <w:color w:val="auto"/>
          <w:sz w:val="24"/>
          <w:highlight w:val="none"/>
        </w:rPr>
      </w:pPr>
    </w:p>
    <w:p w14:paraId="1ED3FCD9">
      <w:pPr>
        <w:autoSpaceDE w:val="0"/>
        <w:autoSpaceDN w:val="0"/>
        <w:adjustRightInd/>
        <w:rPr>
          <w:rFonts w:ascii="宋体" w:hAnsi="宋体" w:cs="宋体"/>
          <w:b/>
          <w:snapToGrid w:val="0"/>
          <w:color w:val="auto"/>
          <w:sz w:val="24"/>
          <w:highlight w:val="none"/>
        </w:rPr>
      </w:pPr>
    </w:p>
    <w:p w14:paraId="2219FC05">
      <w:pPr>
        <w:autoSpaceDE w:val="0"/>
        <w:autoSpaceDN w:val="0"/>
        <w:adjustRightInd/>
        <w:rPr>
          <w:rFonts w:ascii="宋体" w:hAnsi="宋体" w:cs="宋体"/>
          <w:b/>
          <w:snapToGrid w:val="0"/>
          <w:color w:val="auto"/>
          <w:sz w:val="24"/>
          <w:highlight w:val="none"/>
        </w:rPr>
      </w:pPr>
    </w:p>
    <w:p w14:paraId="7875641A">
      <w:pPr>
        <w:autoSpaceDE w:val="0"/>
        <w:autoSpaceDN w:val="0"/>
        <w:adjustRightInd/>
        <w:rPr>
          <w:rFonts w:ascii="宋体" w:hAnsi="宋体" w:cs="宋体"/>
          <w:b/>
          <w:snapToGrid w:val="0"/>
          <w:color w:val="auto"/>
          <w:sz w:val="24"/>
          <w:highlight w:val="none"/>
        </w:rPr>
      </w:pPr>
    </w:p>
    <w:p w14:paraId="559ABF2E">
      <w:pPr>
        <w:autoSpaceDE w:val="0"/>
        <w:autoSpaceDN w:val="0"/>
        <w:adjustRightInd/>
        <w:rPr>
          <w:rFonts w:ascii="宋体" w:hAnsi="宋体" w:cs="宋体"/>
          <w:b/>
          <w:snapToGrid w:val="0"/>
          <w:color w:val="auto"/>
          <w:sz w:val="24"/>
          <w:highlight w:val="none"/>
        </w:rPr>
      </w:pPr>
    </w:p>
    <w:p w14:paraId="14EEDF9A">
      <w:pPr>
        <w:autoSpaceDE w:val="0"/>
        <w:autoSpaceDN w:val="0"/>
        <w:adjustRightInd/>
        <w:rPr>
          <w:rFonts w:ascii="宋体" w:hAnsi="宋体" w:cs="宋体"/>
          <w:b/>
          <w:snapToGrid w:val="0"/>
          <w:color w:val="auto"/>
          <w:sz w:val="24"/>
          <w:highlight w:val="none"/>
        </w:rPr>
      </w:pPr>
    </w:p>
    <w:p w14:paraId="389CDDF8">
      <w:pPr>
        <w:autoSpaceDE w:val="0"/>
        <w:autoSpaceDN w:val="0"/>
        <w:adjustRightInd/>
        <w:rPr>
          <w:rFonts w:ascii="宋体" w:hAnsi="宋体" w:cs="宋体"/>
          <w:b/>
          <w:snapToGrid w:val="0"/>
          <w:color w:val="auto"/>
          <w:sz w:val="24"/>
          <w:highlight w:val="none"/>
        </w:rPr>
      </w:pPr>
    </w:p>
    <w:p w14:paraId="7BA1F395">
      <w:pPr>
        <w:autoSpaceDE w:val="0"/>
        <w:autoSpaceDN w:val="0"/>
        <w:adjustRightInd/>
        <w:rPr>
          <w:rFonts w:ascii="宋体" w:hAnsi="宋体" w:cs="宋体"/>
          <w:b/>
          <w:snapToGrid w:val="0"/>
          <w:color w:val="auto"/>
          <w:sz w:val="24"/>
          <w:highlight w:val="none"/>
        </w:rPr>
      </w:pPr>
    </w:p>
    <w:p w14:paraId="26658B3A">
      <w:pPr>
        <w:autoSpaceDE w:val="0"/>
        <w:autoSpaceDN w:val="0"/>
        <w:adjustRightInd/>
        <w:rPr>
          <w:rFonts w:ascii="宋体" w:hAnsi="宋体" w:cs="宋体"/>
          <w:b/>
          <w:snapToGrid w:val="0"/>
          <w:color w:val="auto"/>
          <w:sz w:val="24"/>
          <w:highlight w:val="none"/>
        </w:rPr>
      </w:pPr>
    </w:p>
    <w:p w14:paraId="569ED8CA">
      <w:pPr>
        <w:autoSpaceDE w:val="0"/>
        <w:autoSpaceDN w:val="0"/>
        <w:adjustRightInd/>
        <w:rPr>
          <w:rFonts w:ascii="宋体" w:hAnsi="宋体" w:cs="宋体"/>
          <w:b/>
          <w:snapToGrid w:val="0"/>
          <w:color w:val="auto"/>
          <w:sz w:val="24"/>
          <w:highlight w:val="none"/>
        </w:rPr>
      </w:pPr>
    </w:p>
    <w:p w14:paraId="7A66C21D">
      <w:pPr>
        <w:autoSpaceDE w:val="0"/>
        <w:autoSpaceDN w:val="0"/>
        <w:adjustRightInd/>
        <w:rPr>
          <w:rFonts w:ascii="宋体" w:hAnsi="宋体" w:cs="宋体"/>
          <w:b/>
          <w:snapToGrid w:val="0"/>
          <w:color w:val="auto"/>
          <w:sz w:val="24"/>
          <w:highlight w:val="none"/>
        </w:rPr>
      </w:pPr>
    </w:p>
    <w:p w14:paraId="2240330B">
      <w:pPr>
        <w:autoSpaceDE w:val="0"/>
        <w:autoSpaceDN w:val="0"/>
        <w:adjustRightInd/>
        <w:rPr>
          <w:rFonts w:ascii="宋体" w:hAnsi="宋体" w:cs="宋体"/>
          <w:b/>
          <w:snapToGrid w:val="0"/>
          <w:color w:val="auto"/>
          <w:sz w:val="24"/>
          <w:highlight w:val="none"/>
        </w:rPr>
      </w:pPr>
    </w:p>
    <w:p w14:paraId="40178DA0">
      <w:pPr>
        <w:autoSpaceDE w:val="0"/>
        <w:autoSpaceDN w:val="0"/>
        <w:adjustRightInd/>
        <w:rPr>
          <w:rFonts w:ascii="宋体" w:hAnsi="宋体" w:cs="宋体"/>
          <w:b/>
          <w:snapToGrid w:val="0"/>
          <w:color w:val="auto"/>
          <w:sz w:val="24"/>
          <w:highlight w:val="none"/>
        </w:rPr>
      </w:pPr>
    </w:p>
    <w:p w14:paraId="751D4BAD">
      <w:pPr>
        <w:autoSpaceDE w:val="0"/>
        <w:autoSpaceDN w:val="0"/>
        <w:adjustRightInd/>
        <w:rPr>
          <w:rFonts w:ascii="宋体" w:hAnsi="宋体" w:cs="宋体"/>
          <w:b/>
          <w:snapToGrid w:val="0"/>
          <w:color w:val="auto"/>
          <w:sz w:val="24"/>
          <w:highlight w:val="none"/>
        </w:rPr>
      </w:pPr>
    </w:p>
    <w:p w14:paraId="4B22559A">
      <w:pPr>
        <w:autoSpaceDE w:val="0"/>
        <w:autoSpaceDN w:val="0"/>
        <w:adjustRightInd/>
        <w:rPr>
          <w:rFonts w:ascii="宋体" w:hAnsi="宋体" w:cs="宋体"/>
          <w:b/>
          <w:snapToGrid w:val="0"/>
          <w:color w:val="auto"/>
          <w:sz w:val="24"/>
          <w:highlight w:val="none"/>
        </w:rPr>
      </w:pPr>
    </w:p>
    <w:p w14:paraId="4AA6A72E">
      <w:pPr>
        <w:autoSpaceDE w:val="0"/>
        <w:autoSpaceDN w:val="0"/>
        <w:adjustRightInd/>
        <w:rPr>
          <w:rFonts w:ascii="宋体" w:hAnsi="宋体" w:cs="宋体"/>
          <w:b/>
          <w:snapToGrid w:val="0"/>
          <w:color w:val="auto"/>
          <w:sz w:val="24"/>
          <w:highlight w:val="none"/>
        </w:rPr>
      </w:pPr>
    </w:p>
    <w:p w14:paraId="7A3BF667">
      <w:pPr>
        <w:autoSpaceDE w:val="0"/>
        <w:autoSpaceDN w:val="0"/>
        <w:adjustRightInd/>
        <w:rPr>
          <w:rFonts w:ascii="宋体" w:hAnsi="宋体" w:cs="宋体"/>
          <w:b/>
          <w:snapToGrid w:val="0"/>
          <w:color w:val="auto"/>
          <w:sz w:val="24"/>
          <w:highlight w:val="none"/>
        </w:rPr>
      </w:pPr>
    </w:p>
    <w:p w14:paraId="7B384FC8">
      <w:pPr>
        <w:autoSpaceDE w:val="0"/>
        <w:autoSpaceDN w:val="0"/>
        <w:adjustRightInd/>
        <w:rPr>
          <w:rFonts w:ascii="宋体" w:hAnsi="宋体" w:cs="宋体"/>
          <w:b/>
          <w:snapToGrid w:val="0"/>
          <w:color w:val="auto"/>
          <w:sz w:val="24"/>
          <w:highlight w:val="none"/>
        </w:rPr>
      </w:pPr>
    </w:p>
    <w:p w14:paraId="3773C2A2">
      <w:pPr>
        <w:autoSpaceDE w:val="0"/>
        <w:autoSpaceDN w:val="0"/>
        <w:adjustRightInd/>
        <w:rPr>
          <w:rFonts w:ascii="宋体" w:hAnsi="宋体" w:cs="宋体"/>
          <w:b/>
          <w:snapToGrid w:val="0"/>
          <w:color w:val="auto"/>
          <w:sz w:val="24"/>
          <w:highlight w:val="none"/>
        </w:rPr>
      </w:pPr>
    </w:p>
    <w:p w14:paraId="69894FC8">
      <w:pPr>
        <w:autoSpaceDE w:val="0"/>
        <w:autoSpaceDN w:val="0"/>
        <w:adjustRightInd/>
        <w:rPr>
          <w:rFonts w:ascii="宋体" w:hAnsi="宋体" w:cs="宋体"/>
          <w:b/>
          <w:snapToGrid w:val="0"/>
          <w:color w:val="auto"/>
          <w:sz w:val="24"/>
          <w:highlight w:val="none"/>
        </w:rPr>
      </w:pPr>
    </w:p>
    <w:p w14:paraId="346671DF">
      <w:pPr>
        <w:autoSpaceDE w:val="0"/>
        <w:autoSpaceDN w:val="0"/>
        <w:adjustRightInd/>
        <w:rPr>
          <w:rFonts w:ascii="宋体" w:hAnsi="宋体" w:cs="宋体"/>
          <w:b/>
          <w:snapToGrid w:val="0"/>
          <w:color w:val="auto"/>
          <w:sz w:val="24"/>
          <w:highlight w:val="none"/>
        </w:rPr>
      </w:pPr>
    </w:p>
    <w:p w14:paraId="10BCE04B">
      <w:pPr>
        <w:autoSpaceDE w:val="0"/>
        <w:autoSpaceDN w:val="0"/>
        <w:adjustRightInd/>
        <w:rPr>
          <w:rFonts w:ascii="宋体" w:hAnsi="宋体" w:cs="宋体"/>
          <w:b/>
          <w:snapToGrid w:val="0"/>
          <w:color w:val="auto"/>
          <w:sz w:val="24"/>
          <w:highlight w:val="none"/>
        </w:rPr>
      </w:pPr>
    </w:p>
    <w:p w14:paraId="4B2B5658">
      <w:pPr>
        <w:autoSpaceDE w:val="0"/>
        <w:autoSpaceDN w:val="0"/>
        <w:adjustRightInd/>
        <w:rPr>
          <w:rFonts w:ascii="宋体" w:hAnsi="宋体" w:cs="宋体"/>
          <w:b/>
          <w:snapToGrid w:val="0"/>
          <w:color w:val="auto"/>
          <w:sz w:val="24"/>
          <w:highlight w:val="none"/>
        </w:rPr>
      </w:pPr>
    </w:p>
    <w:p w14:paraId="7D501A52">
      <w:pPr>
        <w:autoSpaceDE w:val="0"/>
        <w:autoSpaceDN w:val="0"/>
        <w:adjustRightInd/>
        <w:rPr>
          <w:rFonts w:ascii="宋体" w:hAnsi="宋体" w:cs="宋体"/>
          <w:b/>
          <w:snapToGrid w:val="0"/>
          <w:color w:val="auto"/>
          <w:sz w:val="24"/>
          <w:highlight w:val="none"/>
        </w:rPr>
      </w:pPr>
    </w:p>
    <w:p w14:paraId="5597A511">
      <w:pPr>
        <w:autoSpaceDE w:val="0"/>
        <w:autoSpaceDN w:val="0"/>
        <w:adjustRightInd/>
        <w:rPr>
          <w:rFonts w:hint="eastAsia" w:eastAsia="宋体"/>
          <w:color w:val="auto"/>
          <w:highlight w:val="none"/>
          <w:lang w:eastAsia="zh-CN"/>
        </w:rPr>
      </w:pPr>
      <w:r>
        <w:rPr>
          <w:rFonts w:hint="eastAsia" w:ascii="宋体" w:hAnsi="宋体" w:cs="宋体"/>
          <w:b/>
          <w:snapToGrid w:val="0"/>
          <w:color w:val="auto"/>
          <w:sz w:val="24"/>
          <w:highlight w:val="none"/>
        </w:rPr>
        <w:t>附件：检测项目清单：</w:t>
      </w:r>
    </w:p>
    <w:p w14:paraId="70FAB140">
      <w:pPr>
        <w:autoSpaceDE w:val="0"/>
        <w:autoSpaceDN w:val="0"/>
        <w:adjustRightInd/>
        <w:rPr>
          <w:rFonts w:ascii="宋体" w:hAnsi="宋体" w:cs="宋体"/>
          <w:b/>
          <w:bCs/>
          <w:snapToGrid w:val="0"/>
          <w:color w:val="auto"/>
          <w:sz w:val="24"/>
          <w:highlight w:val="none"/>
          <w:lang w:val="zh-CN"/>
        </w:rPr>
      </w:pPr>
      <w:r>
        <w:rPr>
          <w:rFonts w:hint="eastAsia" w:ascii="宋体" w:hAnsi="宋体" w:cs="宋体"/>
          <w:b/>
          <w:snapToGrid w:val="0"/>
          <w:color w:val="auto"/>
          <w:sz w:val="24"/>
          <w:highlight w:val="none"/>
        </w:rPr>
        <w:t>1）</w:t>
      </w:r>
      <w:r>
        <w:rPr>
          <w:rFonts w:hint="eastAsia" w:ascii="宋体" w:hAnsi="宋体" w:cs="宋体"/>
          <w:b/>
          <w:bCs/>
          <w:snapToGrid w:val="0"/>
          <w:color w:val="auto"/>
          <w:sz w:val="24"/>
          <w:highlight w:val="none"/>
          <w:lang w:val="zh-CN"/>
        </w:rPr>
        <w:t>常规检验项目清单：</w:t>
      </w:r>
    </w:p>
    <w:tbl>
      <w:tblPr>
        <w:tblStyle w:val="63"/>
        <w:tblW w:w="8892"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7353"/>
      </w:tblGrid>
      <w:tr w14:paraId="6D6C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4602FE78">
            <w:pPr>
              <w:widowControl/>
              <w:adjustRightInd/>
              <w:jc w:val="center"/>
              <w:textAlignment w:val="center"/>
              <w:rPr>
                <w:rFonts w:ascii="宋体" w:hAnsi="宋体" w:cs="宋体"/>
                <w:color w:val="auto"/>
                <w:kern w:val="0"/>
                <w:sz w:val="24"/>
                <w:highlight w:val="none"/>
                <w:lang w:bidi="ar"/>
              </w:rPr>
            </w:pPr>
            <w:r>
              <w:rPr>
                <w:rFonts w:hint="eastAsia" w:ascii="宋体" w:hAnsi="宋体" w:cs="宋体"/>
                <w:b/>
                <w:bCs/>
                <w:color w:val="auto"/>
                <w:sz w:val="24"/>
                <w:highlight w:val="none"/>
              </w:rPr>
              <w:t>序号</w:t>
            </w:r>
          </w:p>
        </w:tc>
        <w:tc>
          <w:tcPr>
            <w:tcW w:w="7353" w:type="dxa"/>
            <w:vAlign w:val="center"/>
          </w:tcPr>
          <w:p w14:paraId="665667CE">
            <w:pPr>
              <w:widowControl/>
              <w:adjustRightInd/>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项目名称</w:t>
            </w:r>
          </w:p>
        </w:tc>
      </w:tr>
      <w:tr w14:paraId="24F3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5534116C">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7353" w:type="dxa"/>
            <w:vAlign w:val="center"/>
          </w:tcPr>
          <w:p w14:paraId="6C5767C5">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生化/免疫全套检测系列</w:t>
            </w:r>
          </w:p>
        </w:tc>
      </w:tr>
      <w:tr w14:paraId="4076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1B1F3214">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w:t>
            </w:r>
          </w:p>
        </w:tc>
        <w:tc>
          <w:tcPr>
            <w:tcW w:w="7353" w:type="dxa"/>
            <w:vAlign w:val="center"/>
          </w:tcPr>
          <w:p w14:paraId="1178ABD4">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血常规</w:t>
            </w:r>
          </w:p>
        </w:tc>
      </w:tr>
      <w:tr w14:paraId="1030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76F3459D">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w:t>
            </w:r>
          </w:p>
        </w:tc>
        <w:tc>
          <w:tcPr>
            <w:tcW w:w="7353" w:type="dxa"/>
            <w:vAlign w:val="center"/>
          </w:tcPr>
          <w:p w14:paraId="5FFDC532">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CRP</w:t>
            </w:r>
          </w:p>
        </w:tc>
      </w:tr>
      <w:tr w14:paraId="5141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43B7951F">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w:t>
            </w:r>
          </w:p>
        </w:tc>
        <w:tc>
          <w:tcPr>
            <w:tcW w:w="7353" w:type="dxa"/>
            <w:vAlign w:val="center"/>
          </w:tcPr>
          <w:p w14:paraId="6557B450">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尿沉渣</w:t>
            </w:r>
          </w:p>
        </w:tc>
      </w:tr>
      <w:tr w14:paraId="29D92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18D4E25E">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w:t>
            </w:r>
          </w:p>
        </w:tc>
        <w:tc>
          <w:tcPr>
            <w:tcW w:w="7353" w:type="dxa"/>
            <w:vAlign w:val="center"/>
          </w:tcPr>
          <w:p w14:paraId="03A8FA35">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尿干化</w:t>
            </w:r>
          </w:p>
        </w:tc>
      </w:tr>
      <w:tr w14:paraId="7AF1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526C5F1F">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w:t>
            </w:r>
          </w:p>
        </w:tc>
        <w:tc>
          <w:tcPr>
            <w:tcW w:w="7353" w:type="dxa"/>
            <w:vAlign w:val="center"/>
          </w:tcPr>
          <w:p w14:paraId="2A4EB5BB">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血清肌钙蛋白测定(cTnI)</w:t>
            </w:r>
          </w:p>
        </w:tc>
      </w:tr>
      <w:tr w14:paraId="467C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6EA88EFD">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w:t>
            </w:r>
          </w:p>
        </w:tc>
        <w:tc>
          <w:tcPr>
            <w:tcW w:w="7353" w:type="dxa"/>
            <w:vAlign w:val="center"/>
          </w:tcPr>
          <w:p w14:paraId="47AE7D07">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血培养及鉴定</w:t>
            </w:r>
          </w:p>
        </w:tc>
      </w:tr>
      <w:tr w14:paraId="055C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345A7D52">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w:t>
            </w:r>
          </w:p>
        </w:tc>
        <w:tc>
          <w:tcPr>
            <w:tcW w:w="7353" w:type="dxa"/>
            <w:vAlign w:val="center"/>
          </w:tcPr>
          <w:p w14:paraId="259E6E56">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糖链抗原50测定(CA50)</w:t>
            </w:r>
          </w:p>
        </w:tc>
      </w:tr>
      <w:tr w14:paraId="548A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15320A2E">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w:t>
            </w:r>
          </w:p>
        </w:tc>
        <w:tc>
          <w:tcPr>
            <w:tcW w:w="7353" w:type="dxa"/>
            <w:vAlign w:val="center"/>
          </w:tcPr>
          <w:p w14:paraId="7BBC56E3">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乙型肝炎表面抗原定性测定(HBsAg)</w:t>
            </w:r>
          </w:p>
        </w:tc>
      </w:tr>
      <w:tr w14:paraId="6D487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7C6589B6">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w:t>
            </w:r>
          </w:p>
        </w:tc>
        <w:tc>
          <w:tcPr>
            <w:tcW w:w="7353" w:type="dxa"/>
            <w:vAlign w:val="center"/>
          </w:tcPr>
          <w:p w14:paraId="435B2E06">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微量元素五项/六项</w:t>
            </w:r>
          </w:p>
        </w:tc>
      </w:tr>
      <w:tr w14:paraId="5BCA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18D57A1E">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w:t>
            </w:r>
          </w:p>
        </w:tc>
        <w:tc>
          <w:tcPr>
            <w:tcW w:w="7353" w:type="dxa"/>
            <w:vAlign w:val="center"/>
          </w:tcPr>
          <w:p w14:paraId="2581B739">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癌胚抗原测定(CEA定量)</w:t>
            </w:r>
          </w:p>
        </w:tc>
      </w:tr>
      <w:tr w14:paraId="73E2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23D16FBC">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w:t>
            </w:r>
          </w:p>
        </w:tc>
        <w:tc>
          <w:tcPr>
            <w:tcW w:w="7353" w:type="dxa"/>
            <w:vAlign w:val="center"/>
          </w:tcPr>
          <w:p w14:paraId="6ED241EC">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甲胎蛋白测定(AFP定量)</w:t>
            </w:r>
          </w:p>
        </w:tc>
      </w:tr>
      <w:tr w14:paraId="2D9C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4F888E78">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w:t>
            </w:r>
          </w:p>
        </w:tc>
        <w:tc>
          <w:tcPr>
            <w:tcW w:w="7353" w:type="dxa"/>
            <w:vAlign w:val="center"/>
          </w:tcPr>
          <w:p w14:paraId="51F38064">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铁蛋白测定(SF)</w:t>
            </w:r>
          </w:p>
        </w:tc>
      </w:tr>
      <w:tr w14:paraId="3536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3580F526">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14</w:t>
            </w:r>
          </w:p>
        </w:tc>
        <w:tc>
          <w:tcPr>
            <w:tcW w:w="7353" w:type="dxa"/>
            <w:vAlign w:val="center"/>
          </w:tcPr>
          <w:p w14:paraId="48DB954A">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糖链抗原125测定(CA125)</w:t>
            </w:r>
          </w:p>
        </w:tc>
      </w:tr>
      <w:tr w14:paraId="61DA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755D6C93">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15</w:t>
            </w:r>
          </w:p>
        </w:tc>
        <w:tc>
          <w:tcPr>
            <w:tcW w:w="7353" w:type="dxa"/>
            <w:vAlign w:val="center"/>
          </w:tcPr>
          <w:p w14:paraId="38E8982B">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糖类抗原15-3测定(CA15-3)</w:t>
            </w:r>
          </w:p>
        </w:tc>
      </w:tr>
      <w:tr w14:paraId="03F1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29E1E6B6">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16</w:t>
            </w:r>
          </w:p>
        </w:tc>
        <w:tc>
          <w:tcPr>
            <w:tcW w:w="7353" w:type="dxa"/>
            <w:vAlign w:val="center"/>
          </w:tcPr>
          <w:p w14:paraId="25D53D5F">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糖链抗原19-9测定(CA19-9)</w:t>
            </w:r>
          </w:p>
        </w:tc>
      </w:tr>
      <w:tr w14:paraId="0F2F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734C5A4E">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17</w:t>
            </w:r>
          </w:p>
        </w:tc>
        <w:tc>
          <w:tcPr>
            <w:tcW w:w="7353" w:type="dxa"/>
            <w:vAlign w:val="center"/>
          </w:tcPr>
          <w:p w14:paraId="0B1B5E20">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糖链抗原CA724测定(CA724)</w:t>
            </w:r>
          </w:p>
        </w:tc>
      </w:tr>
      <w:tr w14:paraId="4D62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1567EE12">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18</w:t>
            </w:r>
          </w:p>
        </w:tc>
        <w:tc>
          <w:tcPr>
            <w:tcW w:w="7353" w:type="dxa"/>
            <w:vAlign w:val="center"/>
          </w:tcPr>
          <w:p w14:paraId="4A64EA58">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细胞角蛋白19片段</w:t>
            </w:r>
          </w:p>
        </w:tc>
      </w:tr>
      <w:tr w14:paraId="3C97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08D112A">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19</w:t>
            </w:r>
          </w:p>
        </w:tc>
        <w:tc>
          <w:tcPr>
            <w:tcW w:w="7353" w:type="dxa"/>
            <w:vAlign w:val="center"/>
          </w:tcPr>
          <w:p w14:paraId="07B303E7">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糖链抗原242测定(CA242)</w:t>
            </w:r>
          </w:p>
        </w:tc>
      </w:tr>
      <w:tr w14:paraId="641A6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6D136E37">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20</w:t>
            </w:r>
          </w:p>
        </w:tc>
        <w:tc>
          <w:tcPr>
            <w:tcW w:w="7353" w:type="dxa"/>
            <w:vAlign w:val="center"/>
          </w:tcPr>
          <w:p w14:paraId="64BBA3EE">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神经元特异烯醇化酶</w:t>
            </w:r>
          </w:p>
        </w:tc>
      </w:tr>
      <w:tr w14:paraId="3A8F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78E519E7">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21</w:t>
            </w:r>
          </w:p>
        </w:tc>
        <w:tc>
          <w:tcPr>
            <w:tcW w:w="7353" w:type="dxa"/>
            <w:vAlign w:val="center"/>
          </w:tcPr>
          <w:p w14:paraId="0738FE29">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血清胰岛素测定(INS)</w:t>
            </w:r>
          </w:p>
        </w:tc>
      </w:tr>
      <w:tr w14:paraId="000B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23D65D5D">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22</w:t>
            </w:r>
          </w:p>
        </w:tc>
        <w:tc>
          <w:tcPr>
            <w:tcW w:w="7353" w:type="dxa"/>
            <w:vAlign w:val="center"/>
          </w:tcPr>
          <w:p w14:paraId="69E3F2DE">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餐后一小时胰岛素(INS)</w:t>
            </w:r>
          </w:p>
        </w:tc>
      </w:tr>
      <w:tr w14:paraId="109E4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EC386C6">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23</w:t>
            </w:r>
          </w:p>
        </w:tc>
        <w:tc>
          <w:tcPr>
            <w:tcW w:w="7353" w:type="dxa"/>
            <w:vAlign w:val="center"/>
          </w:tcPr>
          <w:p w14:paraId="7DB1D93A">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餐后二小时胰岛素(INS)</w:t>
            </w:r>
          </w:p>
        </w:tc>
      </w:tr>
      <w:tr w14:paraId="63B1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3E097B89">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24</w:t>
            </w:r>
          </w:p>
        </w:tc>
        <w:tc>
          <w:tcPr>
            <w:tcW w:w="7353" w:type="dxa"/>
            <w:vAlign w:val="center"/>
          </w:tcPr>
          <w:p w14:paraId="2FE9F9A0">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血清C肽测定(C-P)</w:t>
            </w:r>
          </w:p>
        </w:tc>
      </w:tr>
      <w:tr w14:paraId="5767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405DFB8B">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25</w:t>
            </w:r>
          </w:p>
        </w:tc>
        <w:tc>
          <w:tcPr>
            <w:tcW w:w="7353" w:type="dxa"/>
            <w:vAlign w:val="center"/>
          </w:tcPr>
          <w:p w14:paraId="74F4757C">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餐后一小时C肽(C-P)</w:t>
            </w:r>
          </w:p>
        </w:tc>
      </w:tr>
      <w:tr w14:paraId="40F8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66FAEACF">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26</w:t>
            </w:r>
          </w:p>
        </w:tc>
        <w:tc>
          <w:tcPr>
            <w:tcW w:w="7353" w:type="dxa"/>
            <w:vAlign w:val="center"/>
          </w:tcPr>
          <w:p w14:paraId="0E220F54">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餐后二小时C肽(C-P)</w:t>
            </w:r>
          </w:p>
        </w:tc>
      </w:tr>
      <w:tr w14:paraId="347C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254710C8">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27</w:t>
            </w:r>
          </w:p>
        </w:tc>
        <w:tc>
          <w:tcPr>
            <w:tcW w:w="7353" w:type="dxa"/>
            <w:vAlign w:val="center"/>
          </w:tcPr>
          <w:p w14:paraId="733FD71B">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血清肌钙蛋白T测定(TNT)</w:t>
            </w:r>
          </w:p>
        </w:tc>
      </w:tr>
      <w:tr w14:paraId="7FD2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769A9D2">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28</w:t>
            </w:r>
          </w:p>
        </w:tc>
        <w:tc>
          <w:tcPr>
            <w:tcW w:w="7353" w:type="dxa"/>
            <w:vAlign w:val="center"/>
          </w:tcPr>
          <w:p w14:paraId="6D968FA3">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女肿6项(AFP,CEA,FER,CA125,CA15-3,CA19-9)</w:t>
            </w:r>
          </w:p>
        </w:tc>
      </w:tr>
      <w:tr w14:paraId="3D65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7F00BCE6">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29</w:t>
            </w:r>
          </w:p>
        </w:tc>
        <w:tc>
          <w:tcPr>
            <w:tcW w:w="7353" w:type="dxa"/>
            <w:vAlign w:val="center"/>
          </w:tcPr>
          <w:p w14:paraId="2B40AE56">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贫血四项(Fer,VB12,Folate,TRF)</w:t>
            </w:r>
          </w:p>
        </w:tc>
      </w:tr>
      <w:tr w14:paraId="214E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8AD22F6">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30</w:t>
            </w:r>
          </w:p>
        </w:tc>
        <w:tc>
          <w:tcPr>
            <w:tcW w:w="7353" w:type="dxa"/>
            <w:vAlign w:val="center"/>
          </w:tcPr>
          <w:p w14:paraId="5D1C550C">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乙肝三系定量(5项)</w:t>
            </w:r>
          </w:p>
        </w:tc>
      </w:tr>
      <w:tr w14:paraId="2A8D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6413066">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31</w:t>
            </w:r>
          </w:p>
        </w:tc>
        <w:tc>
          <w:tcPr>
            <w:tcW w:w="7353" w:type="dxa"/>
            <w:vAlign w:val="center"/>
          </w:tcPr>
          <w:p w14:paraId="159ACC81">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甲胎蛋白测定(AFP定性)</w:t>
            </w:r>
          </w:p>
        </w:tc>
      </w:tr>
      <w:tr w14:paraId="3F85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6C61C923">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32</w:t>
            </w:r>
          </w:p>
        </w:tc>
        <w:tc>
          <w:tcPr>
            <w:tcW w:w="7353" w:type="dxa"/>
            <w:vAlign w:val="center"/>
          </w:tcPr>
          <w:p w14:paraId="293AE2D7">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结核杆菌抗体(TB-Ab)</w:t>
            </w:r>
          </w:p>
        </w:tc>
      </w:tr>
      <w:tr w14:paraId="4DD8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412C46DD">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33</w:t>
            </w:r>
          </w:p>
        </w:tc>
        <w:tc>
          <w:tcPr>
            <w:tcW w:w="7353" w:type="dxa"/>
            <w:vAlign w:val="center"/>
          </w:tcPr>
          <w:p w14:paraId="63570CD5">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糖尿病检测组合2项(C-P、INS)</w:t>
            </w:r>
          </w:p>
        </w:tc>
      </w:tr>
      <w:tr w14:paraId="1A78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43BD606D">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34</w:t>
            </w:r>
          </w:p>
        </w:tc>
        <w:tc>
          <w:tcPr>
            <w:tcW w:w="7353" w:type="dxa"/>
            <w:vAlign w:val="center"/>
          </w:tcPr>
          <w:p w14:paraId="5ED1115A">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甲功全套(TSH、T3、T4、FT3、FT4、TG-Ab、TPO-Ab)</w:t>
            </w:r>
          </w:p>
        </w:tc>
      </w:tr>
      <w:tr w14:paraId="30CF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6AD59AD">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35</w:t>
            </w:r>
          </w:p>
        </w:tc>
        <w:tc>
          <w:tcPr>
            <w:tcW w:w="7353" w:type="dxa"/>
            <w:vAlign w:val="center"/>
          </w:tcPr>
          <w:p w14:paraId="728DEEB3">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巨细胞病毒抗体IgM定性测定(CMV-IgM)</w:t>
            </w:r>
          </w:p>
        </w:tc>
      </w:tr>
      <w:tr w14:paraId="4C43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529284B5">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36</w:t>
            </w:r>
          </w:p>
        </w:tc>
        <w:tc>
          <w:tcPr>
            <w:tcW w:w="7353" w:type="dxa"/>
            <w:vAlign w:val="center"/>
          </w:tcPr>
          <w:p w14:paraId="3378331C">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巨细胞病毒抗体IgG定性测定(CMV-IgG)</w:t>
            </w:r>
          </w:p>
        </w:tc>
      </w:tr>
      <w:tr w14:paraId="160F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687D723C">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37</w:t>
            </w:r>
          </w:p>
        </w:tc>
        <w:tc>
          <w:tcPr>
            <w:tcW w:w="7353" w:type="dxa"/>
            <w:vAlign w:val="center"/>
          </w:tcPr>
          <w:p w14:paraId="3EFA9EB6">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风疹病毒抗体IgG定性测定(RV-IgG)</w:t>
            </w:r>
          </w:p>
        </w:tc>
      </w:tr>
      <w:tr w14:paraId="2EC8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1CA0A411">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38</w:t>
            </w:r>
          </w:p>
        </w:tc>
        <w:tc>
          <w:tcPr>
            <w:tcW w:w="7353" w:type="dxa"/>
            <w:vAlign w:val="center"/>
          </w:tcPr>
          <w:p w14:paraId="2AC45DFC">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人免疫缺陷病毒抗体测定(Anti-HIV)</w:t>
            </w:r>
          </w:p>
        </w:tc>
      </w:tr>
      <w:tr w14:paraId="274E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55269EAC">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39</w:t>
            </w:r>
          </w:p>
        </w:tc>
        <w:tc>
          <w:tcPr>
            <w:tcW w:w="7353" w:type="dxa"/>
            <w:vAlign w:val="center"/>
          </w:tcPr>
          <w:p w14:paraId="1A4B50EF">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丙型肝炎病毒抗体测定(HCVAb)</w:t>
            </w:r>
          </w:p>
        </w:tc>
      </w:tr>
      <w:tr w14:paraId="55B6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44DEF598">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40</w:t>
            </w:r>
          </w:p>
        </w:tc>
        <w:tc>
          <w:tcPr>
            <w:tcW w:w="7353" w:type="dxa"/>
            <w:vAlign w:val="center"/>
          </w:tcPr>
          <w:p w14:paraId="2C35720A">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戊型肝炎病毒抗体IgM(HEV-IgM)</w:t>
            </w:r>
          </w:p>
        </w:tc>
      </w:tr>
      <w:tr w14:paraId="06072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6D00189E">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41</w:t>
            </w:r>
          </w:p>
        </w:tc>
        <w:tc>
          <w:tcPr>
            <w:tcW w:w="7353" w:type="dxa"/>
            <w:vAlign w:val="center"/>
          </w:tcPr>
          <w:p w14:paraId="0FD52E18">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TORCH检测项目8项</w:t>
            </w:r>
          </w:p>
        </w:tc>
      </w:tr>
      <w:tr w14:paraId="0269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2DAFA43E">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42</w:t>
            </w:r>
          </w:p>
        </w:tc>
        <w:tc>
          <w:tcPr>
            <w:tcW w:w="7353" w:type="dxa"/>
            <w:vAlign w:val="center"/>
          </w:tcPr>
          <w:p w14:paraId="4F3E9256">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TORCH检测项目10项</w:t>
            </w:r>
          </w:p>
        </w:tc>
      </w:tr>
      <w:tr w14:paraId="1378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2512EC2F">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43</w:t>
            </w:r>
          </w:p>
        </w:tc>
        <w:tc>
          <w:tcPr>
            <w:tcW w:w="7353" w:type="dxa"/>
            <w:vAlign w:val="center"/>
          </w:tcPr>
          <w:p w14:paraId="2D6F4D03">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乙肝三系定性(5项)</w:t>
            </w:r>
          </w:p>
        </w:tc>
      </w:tr>
      <w:tr w14:paraId="6510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58DB00A7">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44</w:t>
            </w:r>
          </w:p>
        </w:tc>
        <w:tc>
          <w:tcPr>
            <w:tcW w:w="7353" w:type="dxa"/>
            <w:vAlign w:val="center"/>
          </w:tcPr>
          <w:p w14:paraId="7F94CDD4">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上呼吸道感染EB病毒4项</w:t>
            </w:r>
          </w:p>
        </w:tc>
      </w:tr>
      <w:tr w14:paraId="59818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6792C4BF">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45</w:t>
            </w:r>
          </w:p>
        </w:tc>
        <w:tc>
          <w:tcPr>
            <w:tcW w:w="7353" w:type="dxa"/>
            <w:vAlign w:val="center"/>
          </w:tcPr>
          <w:p w14:paraId="78E5E210">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抗核抗体检测8项</w:t>
            </w:r>
          </w:p>
        </w:tc>
      </w:tr>
      <w:tr w14:paraId="57E7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69EBEE6F">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46</w:t>
            </w:r>
          </w:p>
        </w:tc>
        <w:tc>
          <w:tcPr>
            <w:tcW w:w="7353" w:type="dxa"/>
            <w:vAlign w:val="center"/>
          </w:tcPr>
          <w:p w14:paraId="34CAB43A">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衣原体检查</w:t>
            </w:r>
          </w:p>
        </w:tc>
      </w:tr>
      <w:tr w14:paraId="39DC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76311158">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47</w:t>
            </w:r>
          </w:p>
        </w:tc>
        <w:tc>
          <w:tcPr>
            <w:tcW w:w="7353" w:type="dxa"/>
            <w:vAlign w:val="center"/>
          </w:tcPr>
          <w:p w14:paraId="1A78B83C">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肝纤四项(CIV、pcIII、LN、HA)</w:t>
            </w:r>
          </w:p>
        </w:tc>
      </w:tr>
      <w:tr w14:paraId="01A8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284C0CE5">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48</w:t>
            </w:r>
          </w:p>
        </w:tc>
        <w:tc>
          <w:tcPr>
            <w:tcW w:w="7353" w:type="dxa"/>
            <w:vAlign w:val="center"/>
          </w:tcPr>
          <w:p w14:paraId="49341B28">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梅毒螺旋体特异性抗体滴度测定(TPPA)</w:t>
            </w:r>
          </w:p>
        </w:tc>
      </w:tr>
      <w:tr w14:paraId="7C1F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33423D03">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49</w:t>
            </w:r>
          </w:p>
        </w:tc>
        <w:tc>
          <w:tcPr>
            <w:tcW w:w="7353" w:type="dxa"/>
            <w:vAlign w:val="center"/>
          </w:tcPr>
          <w:p w14:paraId="26DD1DB4">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肥达氏反应(WR)</w:t>
            </w:r>
          </w:p>
        </w:tc>
      </w:tr>
      <w:tr w14:paraId="4E6F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6C71DF86">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50</w:t>
            </w:r>
          </w:p>
        </w:tc>
        <w:tc>
          <w:tcPr>
            <w:tcW w:w="7353" w:type="dxa"/>
            <w:vAlign w:val="center"/>
          </w:tcPr>
          <w:p w14:paraId="03ADD976">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庚型肝炎抗体测定(HGV-IgG)</w:t>
            </w:r>
          </w:p>
        </w:tc>
      </w:tr>
      <w:tr w14:paraId="2476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6838DF9">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51</w:t>
            </w:r>
          </w:p>
        </w:tc>
        <w:tc>
          <w:tcPr>
            <w:tcW w:w="7353" w:type="dxa"/>
            <w:vAlign w:val="center"/>
          </w:tcPr>
          <w:p w14:paraId="31E48E9A">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弓形体抗体定性测定(TOXO-lgG、IgM)</w:t>
            </w:r>
          </w:p>
        </w:tc>
      </w:tr>
      <w:tr w14:paraId="4D5B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6B7E9980">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52</w:t>
            </w:r>
          </w:p>
        </w:tc>
        <w:tc>
          <w:tcPr>
            <w:tcW w:w="7353" w:type="dxa"/>
            <w:vAlign w:val="center"/>
          </w:tcPr>
          <w:p w14:paraId="090872A5">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甲型肝炎抗体IgM(HAV-IgM)</w:t>
            </w:r>
          </w:p>
        </w:tc>
      </w:tr>
      <w:tr w14:paraId="23D1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368060A5">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53</w:t>
            </w:r>
          </w:p>
        </w:tc>
        <w:tc>
          <w:tcPr>
            <w:tcW w:w="7353" w:type="dxa"/>
            <w:vAlign w:val="center"/>
          </w:tcPr>
          <w:p w14:paraId="5ACEDEFD">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降钙素测定(CT)</w:t>
            </w:r>
          </w:p>
        </w:tc>
      </w:tr>
      <w:tr w14:paraId="0D2A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E49E679">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54</w:t>
            </w:r>
          </w:p>
        </w:tc>
        <w:tc>
          <w:tcPr>
            <w:tcW w:w="7353" w:type="dxa"/>
            <w:vAlign w:val="center"/>
          </w:tcPr>
          <w:p w14:paraId="130428F4">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人类白细胞抗原B27测定(HLA-B27)</w:t>
            </w:r>
          </w:p>
        </w:tc>
      </w:tr>
      <w:tr w14:paraId="75D7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638FFDAE">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55</w:t>
            </w:r>
          </w:p>
        </w:tc>
        <w:tc>
          <w:tcPr>
            <w:tcW w:w="7353" w:type="dxa"/>
            <w:vAlign w:val="center"/>
          </w:tcPr>
          <w:p w14:paraId="3E082489">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抗甲状腺微粒体抗体测定(TM-Ab)</w:t>
            </w:r>
          </w:p>
        </w:tc>
      </w:tr>
      <w:tr w14:paraId="5693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3FCCA15D">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56</w:t>
            </w:r>
          </w:p>
        </w:tc>
        <w:tc>
          <w:tcPr>
            <w:tcW w:w="7353" w:type="dxa"/>
            <w:vAlign w:val="center"/>
          </w:tcPr>
          <w:p w14:paraId="1FA1488A">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梅毒甲苯胺红不加热血清试验(TRUST)</w:t>
            </w:r>
          </w:p>
        </w:tc>
      </w:tr>
      <w:tr w14:paraId="23FD2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5205D256">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57</w:t>
            </w:r>
          </w:p>
        </w:tc>
        <w:tc>
          <w:tcPr>
            <w:tcW w:w="7353" w:type="dxa"/>
            <w:vAlign w:val="center"/>
          </w:tcPr>
          <w:p w14:paraId="280A4C96">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尿培养及鉴定+药敏试验</w:t>
            </w:r>
          </w:p>
        </w:tc>
      </w:tr>
      <w:tr w14:paraId="6FA6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52644100">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58</w:t>
            </w:r>
          </w:p>
        </w:tc>
        <w:tc>
          <w:tcPr>
            <w:tcW w:w="7353" w:type="dxa"/>
            <w:vAlign w:val="center"/>
          </w:tcPr>
          <w:p w14:paraId="0AEB3D69">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沙门菌志贺菌培养及鉴定</w:t>
            </w:r>
          </w:p>
        </w:tc>
      </w:tr>
      <w:tr w14:paraId="034B0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3CF0E025">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59</w:t>
            </w:r>
          </w:p>
        </w:tc>
        <w:tc>
          <w:tcPr>
            <w:tcW w:w="7353" w:type="dxa"/>
            <w:vAlign w:val="center"/>
          </w:tcPr>
          <w:p w14:paraId="03751C83">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戊型肝炎抗体测定(HEV-IgG、IgM)</w:t>
            </w:r>
          </w:p>
        </w:tc>
      </w:tr>
      <w:tr w14:paraId="3DCD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6A10E211">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60</w:t>
            </w:r>
          </w:p>
        </w:tc>
        <w:tc>
          <w:tcPr>
            <w:tcW w:w="7353" w:type="dxa"/>
            <w:vAlign w:val="center"/>
          </w:tcPr>
          <w:p w14:paraId="0929E6DC">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幽门螺杆菌抗体测定(HP-Ab)</w:t>
            </w:r>
          </w:p>
        </w:tc>
      </w:tr>
      <w:tr w14:paraId="4907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6E90F80">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61</w:t>
            </w:r>
          </w:p>
        </w:tc>
        <w:tc>
          <w:tcPr>
            <w:tcW w:w="7353" w:type="dxa"/>
            <w:vAlign w:val="center"/>
          </w:tcPr>
          <w:p w14:paraId="2E81978C">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支原体培养及鉴定+药物敏感试验</w:t>
            </w:r>
          </w:p>
        </w:tc>
      </w:tr>
      <w:tr w14:paraId="2034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509D3FCF">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62</w:t>
            </w:r>
          </w:p>
        </w:tc>
        <w:tc>
          <w:tcPr>
            <w:tcW w:w="7353" w:type="dxa"/>
            <w:vAlign w:val="center"/>
          </w:tcPr>
          <w:p w14:paraId="460722D0">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大便培养及鉴定+药敏试验</w:t>
            </w:r>
          </w:p>
        </w:tc>
      </w:tr>
      <w:tr w14:paraId="3490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189900CA">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63</w:t>
            </w:r>
          </w:p>
        </w:tc>
        <w:tc>
          <w:tcPr>
            <w:tcW w:w="7353" w:type="dxa"/>
            <w:vAlign w:val="center"/>
          </w:tcPr>
          <w:p w14:paraId="3B4EA67F">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早孕相关检测2项</w:t>
            </w:r>
          </w:p>
        </w:tc>
      </w:tr>
      <w:tr w14:paraId="07B5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F31D28D">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64</w:t>
            </w:r>
          </w:p>
        </w:tc>
        <w:tc>
          <w:tcPr>
            <w:tcW w:w="7353" w:type="dxa"/>
            <w:vAlign w:val="center"/>
          </w:tcPr>
          <w:p w14:paraId="3BD002CE">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优生五项</w:t>
            </w:r>
          </w:p>
        </w:tc>
      </w:tr>
      <w:tr w14:paraId="087CA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2EC823AF">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65</w:t>
            </w:r>
          </w:p>
        </w:tc>
        <w:tc>
          <w:tcPr>
            <w:tcW w:w="7353" w:type="dxa"/>
            <w:vAlign w:val="center"/>
          </w:tcPr>
          <w:p w14:paraId="0664CF16">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丁型肝炎抗体2项(HDV-Ab,HDV-IgM)</w:t>
            </w:r>
          </w:p>
        </w:tc>
      </w:tr>
      <w:tr w14:paraId="32676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6797D2B6">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66</w:t>
            </w:r>
          </w:p>
        </w:tc>
        <w:tc>
          <w:tcPr>
            <w:tcW w:w="7353" w:type="dxa"/>
            <w:vAlign w:val="center"/>
          </w:tcPr>
          <w:p w14:paraId="0F8F9F76">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男肿8项(AFP,CEA,FER,TPSA,FPSA,CA125,CA199)</w:t>
            </w:r>
          </w:p>
        </w:tc>
      </w:tr>
      <w:tr w14:paraId="5887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46F76556">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67</w:t>
            </w:r>
          </w:p>
        </w:tc>
        <w:tc>
          <w:tcPr>
            <w:tcW w:w="7353" w:type="dxa"/>
            <w:vAlign w:val="center"/>
          </w:tcPr>
          <w:p w14:paraId="37BDF57F">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性激素检测五项/六项</w:t>
            </w:r>
          </w:p>
        </w:tc>
      </w:tr>
      <w:tr w14:paraId="5B8E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37826386">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68</w:t>
            </w:r>
          </w:p>
        </w:tc>
        <w:tc>
          <w:tcPr>
            <w:tcW w:w="7353" w:type="dxa"/>
            <w:vAlign w:val="center"/>
          </w:tcPr>
          <w:p w14:paraId="25B820C9">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甲戊肝炎抗体组合二项</w:t>
            </w:r>
          </w:p>
        </w:tc>
      </w:tr>
      <w:tr w14:paraId="273D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66D77DD6">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69</w:t>
            </w:r>
          </w:p>
        </w:tc>
        <w:tc>
          <w:tcPr>
            <w:tcW w:w="7353" w:type="dxa"/>
            <w:vAlign w:val="center"/>
          </w:tcPr>
          <w:p w14:paraId="76F6F2A9">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肝炎全套14项(2015)</w:t>
            </w:r>
          </w:p>
        </w:tc>
      </w:tr>
      <w:tr w14:paraId="638CF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6AFBDB87">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70</w:t>
            </w:r>
          </w:p>
        </w:tc>
        <w:tc>
          <w:tcPr>
            <w:tcW w:w="7353" w:type="dxa"/>
            <w:vAlign w:val="center"/>
          </w:tcPr>
          <w:p w14:paraId="66FAA275">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不规则抗体筛查</w:t>
            </w:r>
          </w:p>
        </w:tc>
      </w:tr>
      <w:tr w14:paraId="1767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51B04E5A">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71</w:t>
            </w:r>
          </w:p>
        </w:tc>
        <w:tc>
          <w:tcPr>
            <w:tcW w:w="7353" w:type="dxa"/>
            <w:vAlign w:val="center"/>
          </w:tcPr>
          <w:p w14:paraId="4401923F">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梅毒螺旋体感染检测2项</w:t>
            </w:r>
          </w:p>
        </w:tc>
      </w:tr>
      <w:tr w14:paraId="190A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11801BA5">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72</w:t>
            </w:r>
          </w:p>
        </w:tc>
        <w:tc>
          <w:tcPr>
            <w:tcW w:w="7353" w:type="dxa"/>
            <w:vAlign w:val="center"/>
          </w:tcPr>
          <w:p w14:paraId="5F700136">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公共卫生体检5项(HAV、HEV、RPR、HIV、ALT)</w:t>
            </w:r>
          </w:p>
        </w:tc>
      </w:tr>
      <w:tr w14:paraId="5A971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3DA78378">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73</w:t>
            </w:r>
          </w:p>
        </w:tc>
        <w:tc>
          <w:tcPr>
            <w:tcW w:w="7353" w:type="dxa"/>
            <w:vAlign w:val="center"/>
          </w:tcPr>
          <w:p w14:paraId="3D8925AD">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食品行业体检3项(HAV、HEV、ALT)</w:t>
            </w:r>
          </w:p>
        </w:tc>
      </w:tr>
      <w:tr w14:paraId="5F2C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391F1AA6">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74</w:t>
            </w:r>
          </w:p>
        </w:tc>
        <w:tc>
          <w:tcPr>
            <w:tcW w:w="7353" w:type="dxa"/>
            <w:vAlign w:val="center"/>
          </w:tcPr>
          <w:p w14:paraId="28EFE3FF">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前降钙素(PCT)</w:t>
            </w:r>
          </w:p>
        </w:tc>
      </w:tr>
      <w:tr w14:paraId="0C2C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53F29108">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75</w:t>
            </w:r>
          </w:p>
        </w:tc>
        <w:tc>
          <w:tcPr>
            <w:tcW w:w="7353" w:type="dxa"/>
            <w:vAlign w:val="center"/>
          </w:tcPr>
          <w:p w14:paraId="78900EB1">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餐后0.5h胰岛素+C肽</w:t>
            </w:r>
          </w:p>
        </w:tc>
      </w:tr>
      <w:tr w14:paraId="7035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26544433">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76</w:t>
            </w:r>
          </w:p>
        </w:tc>
        <w:tc>
          <w:tcPr>
            <w:tcW w:w="7353" w:type="dxa"/>
            <w:vAlign w:val="center"/>
          </w:tcPr>
          <w:p w14:paraId="74AF09AA">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餐后2h胰岛素+C肽</w:t>
            </w:r>
          </w:p>
        </w:tc>
      </w:tr>
      <w:tr w14:paraId="6A10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2A0C118A">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77</w:t>
            </w:r>
          </w:p>
        </w:tc>
        <w:tc>
          <w:tcPr>
            <w:tcW w:w="7353" w:type="dxa"/>
            <w:vAlign w:val="center"/>
          </w:tcPr>
          <w:p w14:paraId="6E1F454B">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EB病毒IgM抗体测定(EB-VCA-IgM)</w:t>
            </w:r>
          </w:p>
        </w:tc>
      </w:tr>
      <w:tr w14:paraId="76E6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665D13FF">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78</w:t>
            </w:r>
          </w:p>
        </w:tc>
        <w:tc>
          <w:tcPr>
            <w:tcW w:w="7353" w:type="dxa"/>
            <w:vAlign w:val="center"/>
          </w:tcPr>
          <w:p w14:paraId="167CF266">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EB病毒IgG抗体测定(EB-VCA-IgG)</w:t>
            </w:r>
          </w:p>
        </w:tc>
      </w:tr>
      <w:tr w14:paraId="3B00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46BC061A">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79</w:t>
            </w:r>
          </w:p>
        </w:tc>
        <w:tc>
          <w:tcPr>
            <w:tcW w:w="7353" w:type="dxa"/>
            <w:vAlign w:val="center"/>
          </w:tcPr>
          <w:p w14:paraId="4D846626">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EB病毒抗体测定(EB-VCA-IgG、EB-VCA-IgM)</w:t>
            </w:r>
          </w:p>
        </w:tc>
      </w:tr>
      <w:tr w14:paraId="3BFE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1A70676D">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80</w:t>
            </w:r>
          </w:p>
        </w:tc>
        <w:tc>
          <w:tcPr>
            <w:tcW w:w="7353" w:type="dxa"/>
            <w:vAlign w:val="center"/>
          </w:tcPr>
          <w:p w14:paraId="0E8DD599">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ABO抗体效价 IgG抗A</w:t>
            </w:r>
          </w:p>
        </w:tc>
      </w:tr>
      <w:tr w14:paraId="1A2E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F1556AE">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81</w:t>
            </w:r>
          </w:p>
        </w:tc>
        <w:tc>
          <w:tcPr>
            <w:tcW w:w="7353" w:type="dxa"/>
            <w:vAlign w:val="center"/>
          </w:tcPr>
          <w:p w14:paraId="688B2A80">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血粘度检测组合</w:t>
            </w:r>
          </w:p>
        </w:tc>
      </w:tr>
      <w:tr w14:paraId="0BF98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4888E8F0">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82</w:t>
            </w:r>
          </w:p>
        </w:tc>
        <w:tc>
          <w:tcPr>
            <w:tcW w:w="7353" w:type="dxa"/>
            <w:vAlign w:val="center"/>
          </w:tcPr>
          <w:p w14:paraId="148BDC39">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过敏原全套检测定量/定性</w:t>
            </w:r>
          </w:p>
        </w:tc>
      </w:tr>
      <w:tr w14:paraId="2CDA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336BBE01">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83</w:t>
            </w:r>
          </w:p>
        </w:tc>
        <w:tc>
          <w:tcPr>
            <w:tcW w:w="7353" w:type="dxa"/>
            <w:vAlign w:val="center"/>
          </w:tcPr>
          <w:p w14:paraId="6F5AA9FF">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真菌培养及鉴定+药敏试验</w:t>
            </w:r>
          </w:p>
        </w:tc>
      </w:tr>
      <w:tr w14:paraId="1F73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78C3B7BB">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84</w:t>
            </w:r>
          </w:p>
        </w:tc>
        <w:tc>
          <w:tcPr>
            <w:tcW w:w="7353" w:type="dxa"/>
            <w:vAlign w:val="center"/>
          </w:tcPr>
          <w:p w14:paraId="32947BE5">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生长激(GH)</w:t>
            </w:r>
          </w:p>
        </w:tc>
      </w:tr>
      <w:tr w14:paraId="4726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371BD400">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85</w:t>
            </w:r>
          </w:p>
        </w:tc>
        <w:tc>
          <w:tcPr>
            <w:tcW w:w="7353" w:type="dxa"/>
            <w:vAlign w:val="center"/>
          </w:tcPr>
          <w:p w14:paraId="3669CC56">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血浆D-二聚体测定(D-Dimer)</w:t>
            </w:r>
          </w:p>
        </w:tc>
      </w:tr>
      <w:tr w14:paraId="4EED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2F88D509">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86</w:t>
            </w:r>
          </w:p>
        </w:tc>
        <w:tc>
          <w:tcPr>
            <w:tcW w:w="7353" w:type="dxa"/>
            <w:vAlign w:val="center"/>
          </w:tcPr>
          <w:p w14:paraId="75BA3931">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痰培养及鉴定+药敏试验(包括嗜血杆菌培养及鉴定)</w:t>
            </w:r>
          </w:p>
        </w:tc>
      </w:tr>
      <w:tr w14:paraId="54032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3B073D4">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87</w:t>
            </w:r>
          </w:p>
        </w:tc>
        <w:tc>
          <w:tcPr>
            <w:tcW w:w="7353" w:type="dxa"/>
            <w:vAlign w:val="center"/>
          </w:tcPr>
          <w:p w14:paraId="14AB0CD8">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糖化血红蛋白测定(HbA1C)</w:t>
            </w:r>
          </w:p>
        </w:tc>
      </w:tr>
      <w:tr w14:paraId="24336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9C62F8D">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88</w:t>
            </w:r>
          </w:p>
        </w:tc>
        <w:tc>
          <w:tcPr>
            <w:tcW w:w="7353" w:type="dxa"/>
            <w:vAlign w:val="center"/>
          </w:tcPr>
          <w:p w14:paraId="69E770DF">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类胰岛素生长因子组合2项(IGF-1、IGF-3)</w:t>
            </w:r>
          </w:p>
        </w:tc>
      </w:tr>
      <w:tr w14:paraId="3309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4BD0538A">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89</w:t>
            </w:r>
          </w:p>
        </w:tc>
        <w:tc>
          <w:tcPr>
            <w:tcW w:w="7353" w:type="dxa"/>
            <w:vAlign w:val="center"/>
          </w:tcPr>
          <w:p w14:paraId="03EDBEE1">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淋球菌培养及鉴定</w:t>
            </w:r>
          </w:p>
        </w:tc>
      </w:tr>
      <w:tr w14:paraId="3888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2AC812D0">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90</w:t>
            </w:r>
          </w:p>
        </w:tc>
        <w:tc>
          <w:tcPr>
            <w:tcW w:w="7353" w:type="dxa"/>
            <w:vAlign w:val="center"/>
          </w:tcPr>
          <w:p w14:paraId="49CA75F5">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淋球菌涂片检查</w:t>
            </w:r>
          </w:p>
        </w:tc>
      </w:tr>
      <w:tr w14:paraId="73FE6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1F8349D6">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91</w:t>
            </w:r>
          </w:p>
        </w:tc>
        <w:tc>
          <w:tcPr>
            <w:tcW w:w="7353" w:type="dxa"/>
            <w:vAlign w:val="center"/>
          </w:tcPr>
          <w:p w14:paraId="31EC3441">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抗酸杆菌涂片(定性)</w:t>
            </w:r>
          </w:p>
        </w:tc>
      </w:tr>
      <w:tr w14:paraId="0869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5F105C25">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92</w:t>
            </w:r>
          </w:p>
        </w:tc>
        <w:tc>
          <w:tcPr>
            <w:tcW w:w="7353" w:type="dxa"/>
            <w:vAlign w:val="center"/>
          </w:tcPr>
          <w:p w14:paraId="2406954E">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游离睾酮</w:t>
            </w:r>
          </w:p>
        </w:tc>
      </w:tr>
      <w:tr w14:paraId="246C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62DA6486">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93</w:t>
            </w:r>
          </w:p>
        </w:tc>
        <w:tc>
          <w:tcPr>
            <w:tcW w:w="7353" w:type="dxa"/>
            <w:vAlign w:val="center"/>
          </w:tcPr>
          <w:p w14:paraId="0EFB074B">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抗胰岛素抗体测定(IAA)</w:t>
            </w:r>
          </w:p>
        </w:tc>
      </w:tr>
      <w:tr w14:paraId="697F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3F41541C">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94</w:t>
            </w:r>
          </w:p>
        </w:tc>
        <w:tc>
          <w:tcPr>
            <w:tcW w:w="7353" w:type="dxa"/>
            <w:vAlign w:val="center"/>
          </w:tcPr>
          <w:p w14:paraId="6E2D6B4F">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乙肝脱氧核糖核酸扩增定量</w:t>
            </w:r>
          </w:p>
        </w:tc>
      </w:tr>
      <w:tr w14:paraId="04B5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3E328C6E">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95</w:t>
            </w:r>
          </w:p>
        </w:tc>
        <w:tc>
          <w:tcPr>
            <w:tcW w:w="7353" w:type="dxa"/>
            <w:vAlign w:val="center"/>
          </w:tcPr>
          <w:p w14:paraId="6F6C1D30">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一般细菌培养及鉴定+药敏试验</w:t>
            </w:r>
          </w:p>
        </w:tc>
      </w:tr>
      <w:tr w14:paraId="0DDD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148EFC2F">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96</w:t>
            </w:r>
          </w:p>
        </w:tc>
        <w:tc>
          <w:tcPr>
            <w:tcW w:w="7353" w:type="dxa"/>
            <w:vAlign w:val="center"/>
          </w:tcPr>
          <w:p w14:paraId="1D9D8252">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抗核抗体检测22项</w:t>
            </w:r>
          </w:p>
        </w:tc>
      </w:tr>
      <w:tr w14:paraId="56E4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2307A09C">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97</w:t>
            </w:r>
          </w:p>
        </w:tc>
        <w:tc>
          <w:tcPr>
            <w:tcW w:w="7353" w:type="dxa"/>
            <w:vAlign w:val="center"/>
          </w:tcPr>
          <w:p w14:paraId="63C1E164">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水痘-带状疱疹病毒抗体IgM</w:t>
            </w:r>
          </w:p>
        </w:tc>
      </w:tr>
      <w:tr w14:paraId="7BA7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927F2A3">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98</w:t>
            </w:r>
          </w:p>
        </w:tc>
        <w:tc>
          <w:tcPr>
            <w:tcW w:w="7353" w:type="dxa"/>
            <w:vAlign w:val="center"/>
          </w:tcPr>
          <w:p w14:paraId="5CA34725">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水痘-带状疱疹病毒抗体IgG</w:t>
            </w:r>
          </w:p>
        </w:tc>
      </w:tr>
      <w:tr w14:paraId="5B993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5C96DFDD">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99</w:t>
            </w:r>
          </w:p>
        </w:tc>
        <w:tc>
          <w:tcPr>
            <w:tcW w:w="7353" w:type="dxa"/>
            <w:vAlign w:val="center"/>
          </w:tcPr>
          <w:p w14:paraId="6F9EFAB5">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不孕不育检测组合9项</w:t>
            </w:r>
          </w:p>
        </w:tc>
      </w:tr>
      <w:tr w14:paraId="618E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62FA4B78">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100</w:t>
            </w:r>
          </w:p>
        </w:tc>
        <w:tc>
          <w:tcPr>
            <w:tcW w:w="7353" w:type="dxa"/>
            <w:vAlign w:val="center"/>
          </w:tcPr>
          <w:p w14:paraId="67391956">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不孕不育检测组合4项</w:t>
            </w:r>
          </w:p>
        </w:tc>
      </w:tr>
      <w:tr w14:paraId="24F2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19875A44">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101</w:t>
            </w:r>
          </w:p>
        </w:tc>
        <w:tc>
          <w:tcPr>
            <w:tcW w:w="7353" w:type="dxa"/>
            <w:vAlign w:val="center"/>
          </w:tcPr>
          <w:p w14:paraId="50DB41AF">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单纯疱疹病毒I型抗体IgM定性测定(HSV-I-IgM)</w:t>
            </w:r>
          </w:p>
        </w:tc>
      </w:tr>
      <w:tr w14:paraId="1FEE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21642C37">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102</w:t>
            </w:r>
          </w:p>
        </w:tc>
        <w:tc>
          <w:tcPr>
            <w:tcW w:w="7353" w:type="dxa"/>
            <w:vAlign w:val="center"/>
          </w:tcPr>
          <w:p w14:paraId="228CA389">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单纯疱疹病毒I型抗体IgG定性测定(HSV-I-IgG)</w:t>
            </w:r>
          </w:p>
        </w:tc>
      </w:tr>
      <w:tr w14:paraId="0E757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61E83242">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103</w:t>
            </w:r>
          </w:p>
        </w:tc>
        <w:tc>
          <w:tcPr>
            <w:tcW w:w="7353" w:type="dxa"/>
            <w:vAlign w:val="center"/>
          </w:tcPr>
          <w:p w14:paraId="47863315">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单纯疱疹病毒II型抗体IgM定性测定(HSV-II-IgM)</w:t>
            </w:r>
          </w:p>
        </w:tc>
      </w:tr>
      <w:tr w14:paraId="5C54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783A7052">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104</w:t>
            </w:r>
          </w:p>
        </w:tc>
        <w:tc>
          <w:tcPr>
            <w:tcW w:w="7353" w:type="dxa"/>
            <w:vAlign w:val="center"/>
          </w:tcPr>
          <w:p w14:paraId="5E9B58B2">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单纯疱疹病毒II型抗体IgG定性测定(HSV-II-IgG)</w:t>
            </w:r>
          </w:p>
        </w:tc>
      </w:tr>
      <w:tr w14:paraId="029E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23637A73">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105</w:t>
            </w:r>
          </w:p>
        </w:tc>
        <w:tc>
          <w:tcPr>
            <w:tcW w:w="7353" w:type="dxa"/>
            <w:vAlign w:val="center"/>
          </w:tcPr>
          <w:p w14:paraId="5A85EE42">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万古霉素</w:t>
            </w:r>
          </w:p>
        </w:tc>
      </w:tr>
      <w:tr w14:paraId="7659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BB5C6DE">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106</w:t>
            </w:r>
          </w:p>
        </w:tc>
        <w:tc>
          <w:tcPr>
            <w:tcW w:w="7353" w:type="dxa"/>
            <w:vAlign w:val="center"/>
          </w:tcPr>
          <w:p w14:paraId="064A7300">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粪便常规+隐血定性</w:t>
            </w:r>
          </w:p>
        </w:tc>
      </w:tr>
      <w:tr w14:paraId="4A6FA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281AC3F2">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107</w:t>
            </w:r>
          </w:p>
        </w:tc>
        <w:tc>
          <w:tcPr>
            <w:tcW w:w="7353" w:type="dxa"/>
            <w:vAlign w:val="center"/>
          </w:tcPr>
          <w:p w14:paraId="42C63C11">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风湿3项(ASO、CRP、RF)</w:t>
            </w:r>
          </w:p>
        </w:tc>
      </w:tr>
      <w:tr w14:paraId="2375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28CB898A">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108</w:t>
            </w:r>
          </w:p>
        </w:tc>
        <w:tc>
          <w:tcPr>
            <w:tcW w:w="7353" w:type="dxa"/>
            <w:vAlign w:val="center"/>
          </w:tcPr>
          <w:p w14:paraId="52C90C91">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肝纤维化5项</w:t>
            </w:r>
          </w:p>
        </w:tc>
      </w:tr>
      <w:tr w14:paraId="402C1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4652AB6E">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109</w:t>
            </w:r>
          </w:p>
        </w:tc>
        <w:tc>
          <w:tcPr>
            <w:tcW w:w="7353" w:type="dxa"/>
            <w:vAlign w:val="center"/>
          </w:tcPr>
          <w:p w14:paraId="0D406994">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干燥综合征检测8项</w:t>
            </w:r>
          </w:p>
        </w:tc>
      </w:tr>
      <w:tr w14:paraId="23A3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76F7BBAC">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110</w:t>
            </w:r>
          </w:p>
        </w:tc>
        <w:tc>
          <w:tcPr>
            <w:tcW w:w="7353" w:type="dxa"/>
            <w:vAlign w:val="center"/>
          </w:tcPr>
          <w:p w14:paraId="36DE29C2">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骨代谢疾病检测组合5项</w:t>
            </w:r>
          </w:p>
        </w:tc>
      </w:tr>
      <w:tr w14:paraId="1782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5F943E7D">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111</w:t>
            </w:r>
          </w:p>
        </w:tc>
        <w:tc>
          <w:tcPr>
            <w:tcW w:w="7353" w:type="dxa"/>
            <w:vAlign w:val="center"/>
          </w:tcPr>
          <w:p w14:paraId="1ED3C843">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骨代谢疾病检测组合2项</w:t>
            </w:r>
          </w:p>
        </w:tc>
      </w:tr>
      <w:tr w14:paraId="4149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33FD502A">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112</w:t>
            </w:r>
          </w:p>
        </w:tc>
        <w:tc>
          <w:tcPr>
            <w:tcW w:w="7353" w:type="dxa"/>
            <w:vAlign w:val="center"/>
          </w:tcPr>
          <w:p w14:paraId="12C2697D">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高血压四项(卧位)</w:t>
            </w:r>
          </w:p>
        </w:tc>
      </w:tr>
      <w:tr w14:paraId="2193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52409F1">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113</w:t>
            </w:r>
          </w:p>
        </w:tc>
        <w:tc>
          <w:tcPr>
            <w:tcW w:w="7353" w:type="dxa"/>
            <w:vAlign w:val="center"/>
          </w:tcPr>
          <w:p w14:paraId="1815F939">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高血压四项(立位)</w:t>
            </w:r>
          </w:p>
        </w:tc>
      </w:tr>
      <w:tr w14:paraId="72DF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3E3555F">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114</w:t>
            </w:r>
          </w:p>
        </w:tc>
        <w:tc>
          <w:tcPr>
            <w:tcW w:w="7353" w:type="dxa"/>
            <w:vAlign w:val="center"/>
          </w:tcPr>
          <w:p w14:paraId="351AF45B">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高血压三项(卧位)</w:t>
            </w:r>
          </w:p>
        </w:tc>
      </w:tr>
      <w:tr w14:paraId="46D2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35793C5F">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115</w:t>
            </w:r>
          </w:p>
        </w:tc>
        <w:tc>
          <w:tcPr>
            <w:tcW w:w="7353" w:type="dxa"/>
            <w:vAlign w:val="center"/>
          </w:tcPr>
          <w:p w14:paraId="4CB81066">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高血压三项(立位)</w:t>
            </w:r>
          </w:p>
        </w:tc>
      </w:tr>
      <w:tr w14:paraId="0A34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0CA3192">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116</w:t>
            </w:r>
          </w:p>
        </w:tc>
        <w:tc>
          <w:tcPr>
            <w:tcW w:w="7353" w:type="dxa"/>
            <w:vAlign w:val="center"/>
          </w:tcPr>
          <w:p w14:paraId="7FC5F64D">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促甲状腺激素（TSH）</w:t>
            </w:r>
          </w:p>
        </w:tc>
      </w:tr>
      <w:tr w14:paraId="0E69D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474B38D">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117</w:t>
            </w:r>
          </w:p>
        </w:tc>
        <w:tc>
          <w:tcPr>
            <w:tcW w:w="7353" w:type="dxa"/>
            <w:vAlign w:val="center"/>
          </w:tcPr>
          <w:p w14:paraId="2458CCC9">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甲状腺素（T4）</w:t>
            </w:r>
          </w:p>
        </w:tc>
      </w:tr>
      <w:tr w14:paraId="6485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620B2860">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118</w:t>
            </w:r>
          </w:p>
        </w:tc>
        <w:tc>
          <w:tcPr>
            <w:tcW w:w="7353" w:type="dxa"/>
            <w:vAlign w:val="center"/>
          </w:tcPr>
          <w:p w14:paraId="5F734DCF">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三碘甲状原氨酸（T3）</w:t>
            </w:r>
          </w:p>
        </w:tc>
      </w:tr>
      <w:tr w14:paraId="7143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1D9D4F2">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119</w:t>
            </w:r>
          </w:p>
        </w:tc>
        <w:tc>
          <w:tcPr>
            <w:tcW w:w="7353" w:type="dxa"/>
            <w:vAlign w:val="center"/>
          </w:tcPr>
          <w:p w14:paraId="48A08DC4">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血清游离甲状腺素（FT4）</w:t>
            </w:r>
          </w:p>
        </w:tc>
      </w:tr>
      <w:tr w14:paraId="6DBDB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3066EF47">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120</w:t>
            </w:r>
          </w:p>
        </w:tc>
        <w:tc>
          <w:tcPr>
            <w:tcW w:w="7353" w:type="dxa"/>
            <w:vAlign w:val="center"/>
          </w:tcPr>
          <w:p w14:paraId="1F10EA10">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游离三碘甲状原氨酸（FT3）</w:t>
            </w:r>
          </w:p>
        </w:tc>
      </w:tr>
      <w:tr w14:paraId="2688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686DE7E8">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121</w:t>
            </w:r>
          </w:p>
        </w:tc>
        <w:tc>
          <w:tcPr>
            <w:tcW w:w="7353" w:type="dxa"/>
            <w:vAlign w:val="center"/>
          </w:tcPr>
          <w:p w14:paraId="162C88BE">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抗甲状腺球蛋白抗体（TG-Ab）</w:t>
            </w:r>
          </w:p>
        </w:tc>
      </w:tr>
      <w:tr w14:paraId="43CA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119E9075">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122</w:t>
            </w:r>
          </w:p>
        </w:tc>
        <w:tc>
          <w:tcPr>
            <w:tcW w:w="7353" w:type="dxa"/>
            <w:vAlign w:val="center"/>
          </w:tcPr>
          <w:p w14:paraId="370863F7">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抗甲状腺过氧化物酶抗体（TPO-Ab）</w:t>
            </w:r>
          </w:p>
        </w:tc>
      </w:tr>
      <w:tr w14:paraId="1E8E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29B8C4B9">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123</w:t>
            </w:r>
          </w:p>
        </w:tc>
        <w:tc>
          <w:tcPr>
            <w:tcW w:w="7353" w:type="dxa"/>
            <w:vAlign w:val="center"/>
          </w:tcPr>
          <w:p w14:paraId="260B1011">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甲状腺球蛋白（TG）</w:t>
            </w:r>
          </w:p>
        </w:tc>
      </w:tr>
      <w:tr w14:paraId="30D5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52481FBA">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124</w:t>
            </w:r>
          </w:p>
        </w:tc>
        <w:tc>
          <w:tcPr>
            <w:tcW w:w="7353" w:type="dxa"/>
            <w:vAlign w:val="center"/>
          </w:tcPr>
          <w:p w14:paraId="7232222F">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甲状腺结合球蛋白（TBG）</w:t>
            </w:r>
          </w:p>
        </w:tc>
      </w:tr>
      <w:tr w14:paraId="621D1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19ACF2FA">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125</w:t>
            </w:r>
          </w:p>
        </w:tc>
        <w:tc>
          <w:tcPr>
            <w:tcW w:w="7353" w:type="dxa"/>
            <w:vAlign w:val="center"/>
          </w:tcPr>
          <w:p w14:paraId="6614B3B7">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促甲状腺素受体抗体（TR-Ab）</w:t>
            </w:r>
          </w:p>
        </w:tc>
      </w:tr>
      <w:tr w14:paraId="53A8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44AB1E67">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126</w:t>
            </w:r>
          </w:p>
        </w:tc>
        <w:tc>
          <w:tcPr>
            <w:tcW w:w="7353" w:type="dxa"/>
            <w:vAlign w:val="center"/>
          </w:tcPr>
          <w:p w14:paraId="3CC482BF">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抗甲状腺微粒体抗体（TM-Ab）</w:t>
            </w:r>
          </w:p>
        </w:tc>
      </w:tr>
      <w:tr w14:paraId="03FCB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47D76673">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127</w:t>
            </w:r>
          </w:p>
        </w:tc>
        <w:tc>
          <w:tcPr>
            <w:tcW w:w="7353" w:type="dxa"/>
            <w:vAlign w:val="center"/>
          </w:tcPr>
          <w:p w14:paraId="46F53B3D">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反三碘甲状腺原氨酸（rT3）</w:t>
            </w:r>
          </w:p>
        </w:tc>
      </w:tr>
      <w:tr w14:paraId="42044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46941843">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128</w:t>
            </w:r>
          </w:p>
        </w:tc>
        <w:tc>
          <w:tcPr>
            <w:tcW w:w="7353" w:type="dxa"/>
            <w:vAlign w:val="center"/>
          </w:tcPr>
          <w:p w14:paraId="505E48C8">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甲状旁腺激素（PTH）</w:t>
            </w:r>
          </w:p>
        </w:tc>
      </w:tr>
      <w:tr w14:paraId="1DA2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3E6F5662">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129</w:t>
            </w:r>
          </w:p>
        </w:tc>
        <w:tc>
          <w:tcPr>
            <w:tcW w:w="7353" w:type="dxa"/>
            <w:vAlign w:val="center"/>
          </w:tcPr>
          <w:p w14:paraId="3EB272F1">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降钙素（CT）</w:t>
            </w:r>
          </w:p>
        </w:tc>
      </w:tr>
      <w:tr w14:paraId="69EA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D35A89D">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130</w:t>
            </w:r>
          </w:p>
        </w:tc>
        <w:tc>
          <w:tcPr>
            <w:tcW w:w="7353" w:type="dxa"/>
            <w:vAlign w:val="center"/>
          </w:tcPr>
          <w:p w14:paraId="1DD7CBEF">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泌乳素（PRL）</w:t>
            </w:r>
          </w:p>
        </w:tc>
      </w:tr>
      <w:tr w14:paraId="6951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793797FC">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131</w:t>
            </w:r>
          </w:p>
        </w:tc>
        <w:tc>
          <w:tcPr>
            <w:tcW w:w="7353" w:type="dxa"/>
            <w:vAlign w:val="center"/>
          </w:tcPr>
          <w:p w14:paraId="0F881648">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促卵泡刺激素（FSH）</w:t>
            </w:r>
          </w:p>
        </w:tc>
      </w:tr>
      <w:tr w14:paraId="040C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4353F425">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132</w:t>
            </w:r>
          </w:p>
        </w:tc>
        <w:tc>
          <w:tcPr>
            <w:tcW w:w="7353" w:type="dxa"/>
            <w:vAlign w:val="center"/>
          </w:tcPr>
          <w:p w14:paraId="29F85D2B">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促黄体生成素（LH）</w:t>
            </w:r>
          </w:p>
        </w:tc>
      </w:tr>
      <w:tr w14:paraId="7ECF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5B30E35A">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133</w:t>
            </w:r>
          </w:p>
        </w:tc>
        <w:tc>
          <w:tcPr>
            <w:tcW w:w="7353" w:type="dxa"/>
            <w:vAlign w:val="center"/>
          </w:tcPr>
          <w:p w14:paraId="7CBDF7DB">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睾酮（T）</w:t>
            </w:r>
          </w:p>
        </w:tc>
      </w:tr>
      <w:tr w14:paraId="4B6E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138CE2E9">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134</w:t>
            </w:r>
          </w:p>
        </w:tc>
        <w:tc>
          <w:tcPr>
            <w:tcW w:w="7353" w:type="dxa"/>
            <w:vAlign w:val="center"/>
          </w:tcPr>
          <w:p w14:paraId="2186E77B">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雌二醇（E2）</w:t>
            </w:r>
          </w:p>
        </w:tc>
      </w:tr>
      <w:tr w14:paraId="73DC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27C43947">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135</w:t>
            </w:r>
          </w:p>
        </w:tc>
        <w:tc>
          <w:tcPr>
            <w:tcW w:w="7353" w:type="dxa"/>
            <w:vAlign w:val="center"/>
          </w:tcPr>
          <w:p w14:paraId="1D144729">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孕酮（PROG）</w:t>
            </w:r>
          </w:p>
        </w:tc>
      </w:tr>
      <w:tr w14:paraId="5DD2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3D6D0694">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136</w:t>
            </w:r>
          </w:p>
        </w:tc>
        <w:tc>
          <w:tcPr>
            <w:tcW w:w="7353" w:type="dxa"/>
            <w:vAlign w:val="center"/>
          </w:tcPr>
          <w:p w14:paraId="1B45E493">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抗缪勒管激素（AMH）</w:t>
            </w:r>
          </w:p>
        </w:tc>
      </w:tr>
      <w:tr w14:paraId="7AC9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7823163D">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137</w:t>
            </w:r>
          </w:p>
        </w:tc>
        <w:tc>
          <w:tcPr>
            <w:tcW w:w="7353" w:type="dxa"/>
            <w:vAlign w:val="center"/>
          </w:tcPr>
          <w:p w14:paraId="4E2113AD">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性激素结合球蛋白（SHBG）</w:t>
            </w:r>
          </w:p>
        </w:tc>
      </w:tr>
      <w:tr w14:paraId="07C25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68AEE22">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138</w:t>
            </w:r>
          </w:p>
        </w:tc>
        <w:tc>
          <w:tcPr>
            <w:tcW w:w="7353" w:type="dxa"/>
            <w:vAlign w:val="center"/>
          </w:tcPr>
          <w:p w14:paraId="603A601E">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人绒毛膜促性腺激素（HCG)</w:t>
            </w:r>
          </w:p>
        </w:tc>
      </w:tr>
      <w:tr w14:paraId="0266C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39C275AA">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139</w:t>
            </w:r>
          </w:p>
        </w:tc>
        <w:tc>
          <w:tcPr>
            <w:tcW w:w="7353" w:type="dxa"/>
            <w:vAlign w:val="center"/>
          </w:tcPr>
          <w:p w14:paraId="70B0AE0C">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游离睾酮（FT）</w:t>
            </w:r>
          </w:p>
        </w:tc>
      </w:tr>
      <w:tr w14:paraId="496C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2580CFF4">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140</w:t>
            </w:r>
          </w:p>
        </w:tc>
        <w:tc>
          <w:tcPr>
            <w:tcW w:w="7353" w:type="dxa"/>
            <w:vAlign w:val="center"/>
          </w:tcPr>
          <w:p w14:paraId="113143E2">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雌三醇（UE3）</w:t>
            </w:r>
          </w:p>
        </w:tc>
      </w:tr>
      <w:tr w14:paraId="70B6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8A98BC9">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141</w:t>
            </w:r>
          </w:p>
        </w:tc>
        <w:tc>
          <w:tcPr>
            <w:tcW w:w="7353" w:type="dxa"/>
            <w:vAlign w:val="center"/>
          </w:tcPr>
          <w:p w14:paraId="1FF44ACE">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17α-羟孕酮（17α-OHP）</w:t>
            </w:r>
          </w:p>
        </w:tc>
      </w:tr>
      <w:tr w14:paraId="369B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7EF4C066">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142</w:t>
            </w:r>
          </w:p>
        </w:tc>
        <w:tc>
          <w:tcPr>
            <w:tcW w:w="7353" w:type="dxa"/>
            <w:vAlign w:val="center"/>
          </w:tcPr>
          <w:p w14:paraId="62E2B90D">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硫酸去氢表雄酮（DHEAS）</w:t>
            </w:r>
          </w:p>
        </w:tc>
      </w:tr>
      <w:tr w14:paraId="7A6DE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4601FE5E">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143</w:t>
            </w:r>
          </w:p>
        </w:tc>
        <w:tc>
          <w:tcPr>
            <w:tcW w:w="7353" w:type="dxa"/>
            <w:vAlign w:val="center"/>
          </w:tcPr>
          <w:p w14:paraId="704062B8">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双氢睾酮（DHT）</w:t>
            </w:r>
          </w:p>
        </w:tc>
      </w:tr>
      <w:tr w14:paraId="2659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276758BD">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144</w:t>
            </w:r>
          </w:p>
        </w:tc>
        <w:tc>
          <w:tcPr>
            <w:tcW w:w="7353" w:type="dxa"/>
            <w:vAlign w:val="center"/>
          </w:tcPr>
          <w:p w14:paraId="50A45520">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雄烯二酮（AD）</w:t>
            </w:r>
          </w:p>
        </w:tc>
      </w:tr>
      <w:tr w14:paraId="46CD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291DB461">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145</w:t>
            </w:r>
          </w:p>
        </w:tc>
        <w:tc>
          <w:tcPr>
            <w:tcW w:w="7353" w:type="dxa"/>
            <w:vAlign w:val="center"/>
          </w:tcPr>
          <w:p w14:paraId="2E4B0871">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骨代谢疾病检测组合4项</w:t>
            </w:r>
          </w:p>
        </w:tc>
      </w:tr>
      <w:tr w14:paraId="754F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79A60E78">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146</w:t>
            </w:r>
          </w:p>
        </w:tc>
        <w:tc>
          <w:tcPr>
            <w:tcW w:w="7353" w:type="dxa"/>
            <w:vAlign w:val="center"/>
          </w:tcPr>
          <w:p w14:paraId="736DCECD">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皮质醇（CORT）</w:t>
            </w:r>
          </w:p>
        </w:tc>
      </w:tr>
      <w:tr w14:paraId="4DDC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57B9EF1">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147</w:t>
            </w:r>
          </w:p>
        </w:tc>
        <w:tc>
          <w:tcPr>
            <w:tcW w:w="7353" w:type="dxa"/>
            <w:vAlign w:val="center"/>
          </w:tcPr>
          <w:p w14:paraId="36449614">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24小时尿游离皮质醇             （U-CORT/24H）</w:t>
            </w:r>
          </w:p>
        </w:tc>
      </w:tr>
      <w:tr w14:paraId="6A9A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5A989591">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148</w:t>
            </w:r>
          </w:p>
        </w:tc>
        <w:tc>
          <w:tcPr>
            <w:tcW w:w="7353" w:type="dxa"/>
            <w:vAlign w:val="center"/>
          </w:tcPr>
          <w:p w14:paraId="6B998780">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促肾上腺皮质激素（ACTH）</w:t>
            </w:r>
          </w:p>
        </w:tc>
      </w:tr>
      <w:tr w14:paraId="60BF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5F8DBD11">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149</w:t>
            </w:r>
          </w:p>
        </w:tc>
        <w:tc>
          <w:tcPr>
            <w:tcW w:w="7353" w:type="dxa"/>
            <w:vAlign w:val="center"/>
          </w:tcPr>
          <w:p w14:paraId="1F2994B8">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24小时尿17-羟皮质类固醇</w:t>
            </w:r>
          </w:p>
        </w:tc>
      </w:tr>
      <w:tr w14:paraId="56BF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7C67721F">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150</w:t>
            </w:r>
          </w:p>
        </w:tc>
        <w:tc>
          <w:tcPr>
            <w:tcW w:w="7353" w:type="dxa"/>
            <w:vAlign w:val="center"/>
          </w:tcPr>
          <w:p w14:paraId="6F8C8C45">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24小时尿17-酮类固醇</w:t>
            </w:r>
          </w:p>
        </w:tc>
      </w:tr>
      <w:tr w14:paraId="4817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27CF869">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151</w:t>
            </w:r>
          </w:p>
        </w:tc>
        <w:tc>
          <w:tcPr>
            <w:tcW w:w="7353" w:type="dxa"/>
            <w:vAlign w:val="center"/>
          </w:tcPr>
          <w:p w14:paraId="12F67257">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24小时尿香草苦杏仁酸（VMA）</w:t>
            </w:r>
          </w:p>
        </w:tc>
      </w:tr>
      <w:tr w14:paraId="5BF7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63D7C69B">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152</w:t>
            </w:r>
          </w:p>
        </w:tc>
        <w:tc>
          <w:tcPr>
            <w:tcW w:w="7353" w:type="dxa"/>
            <w:vAlign w:val="center"/>
          </w:tcPr>
          <w:p w14:paraId="37048F34">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醛固酮（ALD）</w:t>
            </w:r>
          </w:p>
        </w:tc>
      </w:tr>
      <w:tr w14:paraId="7E050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5C2128A3">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153</w:t>
            </w:r>
          </w:p>
        </w:tc>
        <w:tc>
          <w:tcPr>
            <w:tcW w:w="7353" w:type="dxa"/>
            <w:vAlign w:val="center"/>
          </w:tcPr>
          <w:p w14:paraId="40450FCB">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24小时尿醛固酮（ALD）</w:t>
            </w:r>
          </w:p>
        </w:tc>
      </w:tr>
      <w:tr w14:paraId="32A0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740CB804">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154</w:t>
            </w:r>
          </w:p>
        </w:tc>
        <w:tc>
          <w:tcPr>
            <w:tcW w:w="7353" w:type="dxa"/>
            <w:vAlign w:val="center"/>
          </w:tcPr>
          <w:p w14:paraId="25109ABB">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糖尿病自身抗体检测组合3项</w:t>
            </w:r>
          </w:p>
        </w:tc>
      </w:tr>
      <w:tr w14:paraId="5C5E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2CDD2B27">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155</w:t>
            </w:r>
          </w:p>
        </w:tc>
        <w:tc>
          <w:tcPr>
            <w:tcW w:w="7353" w:type="dxa"/>
            <w:vAlign w:val="center"/>
          </w:tcPr>
          <w:p w14:paraId="4801D37B">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血型鉴定2项（Rh血型鉴定、ABO血型鉴定）</w:t>
            </w:r>
          </w:p>
        </w:tc>
      </w:tr>
      <w:tr w14:paraId="6210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48013B63">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156</w:t>
            </w:r>
          </w:p>
        </w:tc>
        <w:tc>
          <w:tcPr>
            <w:tcW w:w="7353" w:type="dxa"/>
            <w:vAlign w:val="center"/>
          </w:tcPr>
          <w:p w14:paraId="1B3C4C12">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ABO血型鉴定</w:t>
            </w:r>
          </w:p>
        </w:tc>
      </w:tr>
      <w:tr w14:paraId="03F5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7C58501">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157</w:t>
            </w:r>
          </w:p>
        </w:tc>
        <w:tc>
          <w:tcPr>
            <w:tcW w:w="7353" w:type="dxa"/>
            <w:vAlign w:val="center"/>
          </w:tcPr>
          <w:p w14:paraId="6C075D95">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Rh血型鉴定</w:t>
            </w:r>
          </w:p>
        </w:tc>
      </w:tr>
      <w:tr w14:paraId="34FE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6072578">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158</w:t>
            </w:r>
          </w:p>
        </w:tc>
        <w:tc>
          <w:tcPr>
            <w:tcW w:w="7353" w:type="dxa"/>
            <w:vAlign w:val="center"/>
          </w:tcPr>
          <w:p w14:paraId="5F4DFDB1">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孕妇ABO血型IgG抗体血清学检测（红细胞系统血型抗体致新生儿溶血病检测）</w:t>
            </w:r>
          </w:p>
        </w:tc>
      </w:tr>
      <w:tr w14:paraId="3B8A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644A7058">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159</w:t>
            </w:r>
          </w:p>
        </w:tc>
        <w:tc>
          <w:tcPr>
            <w:tcW w:w="7353" w:type="dxa"/>
            <w:vAlign w:val="center"/>
          </w:tcPr>
          <w:p w14:paraId="758B4A6E">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免疫球蛋白G定量（IgG）</w:t>
            </w:r>
          </w:p>
        </w:tc>
      </w:tr>
      <w:tr w14:paraId="7BE7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479DC9E">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160</w:t>
            </w:r>
          </w:p>
        </w:tc>
        <w:tc>
          <w:tcPr>
            <w:tcW w:w="7353" w:type="dxa"/>
            <w:vAlign w:val="center"/>
          </w:tcPr>
          <w:p w14:paraId="3F3F4B99">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免疫球蛋白M定量（IgM）</w:t>
            </w:r>
          </w:p>
        </w:tc>
      </w:tr>
      <w:tr w14:paraId="3FEB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20943FE1">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161</w:t>
            </w:r>
          </w:p>
        </w:tc>
        <w:tc>
          <w:tcPr>
            <w:tcW w:w="7353" w:type="dxa"/>
            <w:vAlign w:val="center"/>
          </w:tcPr>
          <w:p w14:paraId="4E026C21">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免疫球蛋白A定量（IgA）</w:t>
            </w:r>
          </w:p>
        </w:tc>
      </w:tr>
      <w:tr w14:paraId="26DD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1E0E9795">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162</w:t>
            </w:r>
          </w:p>
        </w:tc>
        <w:tc>
          <w:tcPr>
            <w:tcW w:w="7353" w:type="dxa"/>
            <w:vAlign w:val="center"/>
          </w:tcPr>
          <w:p w14:paraId="4C04E31B">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补体C3</w:t>
            </w:r>
          </w:p>
        </w:tc>
      </w:tr>
      <w:tr w14:paraId="0972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42AD6E3D">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163</w:t>
            </w:r>
          </w:p>
        </w:tc>
        <w:tc>
          <w:tcPr>
            <w:tcW w:w="7353" w:type="dxa"/>
            <w:vAlign w:val="center"/>
          </w:tcPr>
          <w:p w14:paraId="2902D907">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补体C4</w:t>
            </w:r>
          </w:p>
        </w:tc>
      </w:tr>
      <w:tr w14:paraId="40B6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6C87112A">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164</w:t>
            </w:r>
          </w:p>
        </w:tc>
        <w:tc>
          <w:tcPr>
            <w:tcW w:w="7353" w:type="dxa"/>
            <w:vAlign w:val="center"/>
          </w:tcPr>
          <w:p w14:paraId="2A8730BD">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抗中性粒细胞胞浆抗体2项（cANCA、pANCA）</w:t>
            </w:r>
          </w:p>
        </w:tc>
      </w:tr>
      <w:tr w14:paraId="4A0AF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3E5CE6B4">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165</w:t>
            </w:r>
          </w:p>
        </w:tc>
        <w:tc>
          <w:tcPr>
            <w:tcW w:w="7353" w:type="dxa"/>
            <w:vAlign w:val="center"/>
          </w:tcPr>
          <w:p w14:paraId="43E92E5D">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抗中性粒细胞胞浆抗体3项（PR3-ANCA、MPO-ANCA）</w:t>
            </w:r>
          </w:p>
        </w:tc>
      </w:tr>
      <w:tr w14:paraId="38FE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79AFC6B0">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166</w:t>
            </w:r>
          </w:p>
        </w:tc>
        <w:tc>
          <w:tcPr>
            <w:tcW w:w="7353" w:type="dxa"/>
            <w:vAlign w:val="center"/>
          </w:tcPr>
          <w:p w14:paraId="30977962">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血管炎标志抗体检测组合4项（cANCA①、pANCA①、PR3-ANCA②、MPO-ANCA②）</w:t>
            </w:r>
          </w:p>
        </w:tc>
      </w:tr>
      <w:tr w14:paraId="3B33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26D78642">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167</w:t>
            </w:r>
          </w:p>
        </w:tc>
        <w:tc>
          <w:tcPr>
            <w:tcW w:w="7353" w:type="dxa"/>
            <w:vAlign w:val="center"/>
          </w:tcPr>
          <w:p w14:paraId="27138B38">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血管炎标志抗体检测组合5项（cANCA①、pANCA①、PR3-ANCA②、MPO-ANCA②、GBM-IgG①）</w:t>
            </w:r>
          </w:p>
        </w:tc>
      </w:tr>
      <w:tr w14:paraId="36CA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371D987D">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168</w:t>
            </w:r>
          </w:p>
        </w:tc>
        <w:tc>
          <w:tcPr>
            <w:tcW w:w="7353" w:type="dxa"/>
            <w:vAlign w:val="center"/>
          </w:tcPr>
          <w:p w14:paraId="3EDA2368">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磷脂综合征检测3项（ACA-IgG、ACA-IgM、ACA-IgA)</w:t>
            </w:r>
          </w:p>
        </w:tc>
      </w:tr>
      <w:tr w14:paraId="1BB4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097FA7C">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169</w:t>
            </w:r>
          </w:p>
        </w:tc>
        <w:tc>
          <w:tcPr>
            <w:tcW w:w="7353" w:type="dxa"/>
            <w:vAlign w:val="center"/>
          </w:tcPr>
          <w:p w14:paraId="43B0E1DE">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磷脂综合征检测4项（ACA-IgG、ACA-IgM、ACA-IgA、β2-GP1)</w:t>
            </w:r>
          </w:p>
        </w:tc>
      </w:tr>
      <w:tr w14:paraId="7021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4828AAB6">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170</w:t>
            </w:r>
          </w:p>
        </w:tc>
        <w:tc>
          <w:tcPr>
            <w:tcW w:w="7353" w:type="dxa"/>
            <w:vAlign w:val="center"/>
          </w:tcPr>
          <w:p w14:paraId="7BD81839">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自身免疫性肝病抗体检测组合7项（ASMA①,ANA①,AMA-2②,LKM-1②,SLA/LP②,LC-1②,AMA②)</w:t>
            </w:r>
          </w:p>
        </w:tc>
      </w:tr>
      <w:tr w14:paraId="073A0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32BF6131">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171</w:t>
            </w:r>
          </w:p>
        </w:tc>
        <w:tc>
          <w:tcPr>
            <w:tcW w:w="7353" w:type="dxa"/>
            <w:vAlign w:val="center"/>
          </w:tcPr>
          <w:p w14:paraId="0A2A4C41">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类风湿性关节炎检测组合3项（ANA①、AKA①、CCP②)</w:t>
            </w:r>
          </w:p>
        </w:tc>
      </w:tr>
      <w:tr w14:paraId="286AE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4E97018F">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172</w:t>
            </w:r>
          </w:p>
        </w:tc>
        <w:tc>
          <w:tcPr>
            <w:tcW w:w="7353" w:type="dxa"/>
            <w:vAlign w:val="center"/>
          </w:tcPr>
          <w:p w14:paraId="303F839F">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透明质酸（HA）</w:t>
            </w:r>
          </w:p>
        </w:tc>
      </w:tr>
      <w:tr w14:paraId="43044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6907559F">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173</w:t>
            </w:r>
          </w:p>
        </w:tc>
        <w:tc>
          <w:tcPr>
            <w:tcW w:w="7353" w:type="dxa"/>
            <w:vAlign w:val="center"/>
          </w:tcPr>
          <w:p w14:paraId="06FE93EB">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III型前胶原（PC-III）</w:t>
            </w:r>
          </w:p>
        </w:tc>
      </w:tr>
      <w:tr w14:paraId="31FDB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215B7398">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174</w:t>
            </w:r>
          </w:p>
        </w:tc>
        <w:tc>
          <w:tcPr>
            <w:tcW w:w="7353" w:type="dxa"/>
            <w:vAlign w:val="center"/>
          </w:tcPr>
          <w:p w14:paraId="2FAB6C5C">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IV型胶原（CIV）</w:t>
            </w:r>
          </w:p>
        </w:tc>
      </w:tr>
      <w:tr w14:paraId="1B943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27F94038">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175</w:t>
            </w:r>
          </w:p>
        </w:tc>
        <w:tc>
          <w:tcPr>
            <w:tcW w:w="7353" w:type="dxa"/>
            <w:vAlign w:val="center"/>
          </w:tcPr>
          <w:p w14:paraId="7BE10D27">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层粘连蛋白（LN）</w:t>
            </w:r>
          </w:p>
        </w:tc>
      </w:tr>
      <w:tr w14:paraId="75C2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5799E8E1">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176</w:t>
            </w:r>
          </w:p>
        </w:tc>
        <w:tc>
          <w:tcPr>
            <w:tcW w:w="7353" w:type="dxa"/>
            <w:vAlign w:val="center"/>
          </w:tcPr>
          <w:p w14:paraId="760AA14A">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腺苷脱氨酶（ADA）</w:t>
            </w:r>
          </w:p>
        </w:tc>
      </w:tr>
      <w:tr w14:paraId="56F10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60EA2B59">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177</w:t>
            </w:r>
          </w:p>
        </w:tc>
        <w:tc>
          <w:tcPr>
            <w:tcW w:w="7353" w:type="dxa"/>
            <w:vAlign w:val="center"/>
          </w:tcPr>
          <w:p w14:paraId="04FD413B">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纤维连接蛋白（Fn）</w:t>
            </w:r>
          </w:p>
        </w:tc>
      </w:tr>
      <w:tr w14:paraId="65A69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1EAB6559">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178</w:t>
            </w:r>
          </w:p>
        </w:tc>
        <w:tc>
          <w:tcPr>
            <w:tcW w:w="7353" w:type="dxa"/>
            <w:vAlign w:val="center"/>
          </w:tcPr>
          <w:p w14:paraId="4803029B">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甘胆酸（CG）</w:t>
            </w:r>
          </w:p>
        </w:tc>
      </w:tr>
      <w:tr w14:paraId="6A57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24DB0023">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179</w:t>
            </w:r>
          </w:p>
        </w:tc>
        <w:tc>
          <w:tcPr>
            <w:tcW w:w="7353" w:type="dxa"/>
            <w:vAlign w:val="center"/>
          </w:tcPr>
          <w:p w14:paraId="75D02F34">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铜蓝蛋白（CER）</w:t>
            </w:r>
          </w:p>
        </w:tc>
      </w:tr>
      <w:tr w14:paraId="64B1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72CAC25">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180</w:t>
            </w:r>
          </w:p>
        </w:tc>
        <w:tc>
          <w:tcPr>
            <w:tcW w:w="7353" w:type="dxa"/>
            <w:vAlign w:val="center"/>
          </w:tcPr>
          <w:p w14:paraId="78429EC8">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呼吸道感染病原体抗体检测组合3项（肺炎支原体抗体①、肺炎衣原体IgM 抗体②、肺炎衣原体IgG抗体②)</w:t>
            </w:r>
          </w:p>
        </w:tc>
      </w:tr>
      <w:tr w14:paraId="386A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3D5B6BB6">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181</w:t>
            </w:r>
          </w:p>
        </w:tc>
        <w:tc>
          <w:tcPr>
            <w:tcW w:w="7353" w:type="dxa"/>
            <w:vAlign w:val="center"/>
          </w:tcPr>
          <w:p w14:paraId="4862C58E">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呼吸道病毒感染抗体谱检测组合7项 （肺炎衣原体IgM 抗体、肺炎支原体IgM抗体 、合胞病毒IgM抗体、腺病 毒IgM抗体、甲型流感病毒 IgM抗体、乙型流感病毒 IgM抗体、副流感病毒IgM 抗体)</w:t>
            </w:r>
          </w:p>
        </w:tc>
      </w:tr>
      <w:tr w14:paraId="68FA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51B32A0F">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182</w:t>
            </w:r>
          </w:p>
        </w:tc>
        <w:tc>
          <w:tcPr>
            <w:tcW w:w="7353" w:type="dxa"/>
            <w:vAlign w:val="center"/>
          </w:tcPr>
          <w:p w14:paraId="01564505">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呼吸道合胞病毒IgM抗体</w:t>
            </w:r>
          </w:p>
        </w:tc>
      </w:tr>
      <w:tr w14:paraId="0B18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733ACB5C">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183</w:t>
            </w:r>
          </w:p>
        </w:tc>
        <w:tc>
          <w:tcPr>
            <w:tcW w:w="7353" w:type="dxa"/>
            <w:vAlign w:val="center"/>
          </w:tcPr>
          <w:p w14:paraId="03EA431E">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腺病毒IgM抗体（ADV-IgM）</w:t>
            </w:r>
          </w:p>
        </w:tc>
      </w:tr>
      <w:tr w14:paraId="747E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59B16794">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184</w:t>
            </w:r>
          </w:p>
        </w:tc>
        <w:tc>
          <w:tcPr>
            <w:tcW w:w="7353" w:type="dxa"/>
            <w:vAlign w:val="center"/>
          </w:tcPr>
          <w:p w14:paraId="12FBC7D4">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麻疹病毒lgM抗体（MV-IgM）</w:t>
            </w:r>
          </w:p>
        </w:tc>
      </w:tr>
      <w:tr w14:paraId="0F71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73977C21">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185</w:t>
            </w:r>
          </w:p>
        </w:tc>
        <w:tc>
          <w:tcPr>
            <w:tcW w:w="7353" w:type="dxa"/>
            <w:vAlign w:val="center"/>
          </w:tcPr>
          <w:p w14:paraId="50732C50">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麻疹病毒lgG抗体（MV-IgG）</w:t>
            </w:r>
          </w:p>
        </w:tc>
      </w:tr>
      <w:tr w14:paraId="0BB1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B623D78">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186</w:t>
            </w:r>
          </w:p>
        </w:tc>
        <w:tc>
          <w:tcPr>
            <w:tcW w:w="7353" w:type="dxa"/>
            <w:vAlign w:val="center"/>
          </w:tcPr>
          <w:p w14:paraId="0A57BE5C">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肺炎支原体抗体      </w:t>
            </w:r>
          </w:p>
        </w:tc>
      </w:tr>
      <w:tr w14:paraId="01B7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9F7BFC3">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187</w:t>
            </w:r>
          </w:p>
        </w:tc>
        <w:tc>
          <w:tcPr>
            <w:tcW w:w="7353" w:type="dxa"/>
            <w:vAlign w:val="center"/>
          </w:tcPr>
          <w:p w14:paraId="452283F1">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肺炎衣原体IgM抗体</w:t>
            </w:r>
          </w:p>
        </w:tc>
      </w:tr>
      <w:tr w14:paraId="5FAB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6432C272">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188</w:t>
            </w:r>
          </w:p>
        </w:tc>
        <w:tc>
          <w:tcPr>
            <w:tcW w:w="7353" w:type="dxa"/>
            <w:vAlign w:val="center"/>
          </w:tcPr>
          <w:p w14:paraId="4BAAB922">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肺炎衣原体IgG抗体</w:t>
            </w:r>
          </w:p>
        </w:tc>
      </w:tr>
      <w:tr w14:paraId="54D8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76A03FC">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189</w:t>
            </w:r>
          </w:p>
        </w:tc>
        <w:tc>
          <w:tcPr>
            <w:tcW w:w="7353" w:type="dxa"/>
            <w:vAlign w:val="center"/>
          </w:tcPr>
          <w:p w14:paraId="460D00DD">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狂犬病毒IgG抗体（HRV-IgG）</w:t>
            </w:r>
          </w:p>
        </w:tc>
      </w:tr>
      <w:tr w14:paraId="7E25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498BB96">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190</w:t>
            </w:r>
          </w:p>
        </w:tc>
        <w:tc>
          <w:tcPr>
            <w:tcW w:w="7353" w:type="dxa"/>
            <w:vAlign w:val="center"/>
          </w:tcPr>
          <w:p w14:paraId="350E15C6">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流行性出血热病毒抗体测定</w:t>
            </w:r>
          </w:p>
        </w:tc>
      </w:tr>
      <w:tr w14:paraId="2EA0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47B5D13D">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191</w:t>
            </w:r>
          </w:p>
        </w:tc>
        <w:tc>
          <w:tcPr>
            <w:tcW w:w="7353" w:type="dxa"/>
            <w:vAlign w:val="center"/>
          </w:tcPr>
          <w:p w14:paraId="31B2973A">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人免疫缺陷病毒抗原抗体联合检测</w:t>
            </w:r>
          </w:p>
        </w:tc>
      </w:tr>
      <w:tr w14:paraId="2EA3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257D000B">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192</w:t>
            </w:r>
          </w:p>
        </w:tc>
        <w:tc>
          <w:tcPr>
            <w:tcW w:w="7353" w:type="dxa"/>
            <w:vAlign w:val="center"/>
          </w:tcPr>
          <w:p w14:paraId="6E94A62D">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内毒素（透析液/透析用水）监测</w:t>
            </w:r>
          </w:p>
        </w:tc>
      </w:tr>
      <w:tr w14:paraId="0B5D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54C1C767">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193</w:t>
            </w:r>
          </w:p>
        </w:tc>
        <w:tc>
          <w:tcPr>
            <w:tcW w:w="7353" w:type="dxa"/>
            <w:vAlign w:val="center"/>
          </w:tcPr>
          <w:p w14:paraId="058F41EB">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环境空气细菌培养</w:t>
            </w:r>
          </w:p>
        </w:tc>
      </w:tr>
      <w:tr w14:paraId="57D64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54159CDA">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194</w:t>
            </w:r>
          </w:p>
        </w:tc>
        <w:tc>
          <w:tcPr>
            <w:tcW w:w="7353" w:type="dxa"/>
            <w:vAlign w:val="center"/>
          </w:tcPr>
          <w:p w14:paraId="373FCD0C">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环境空气细菌培养（5min）</w:t>
            </w:r>
          </w:p>
        </w:tc>
      </w:tr>
      <w:tr w14:paraId="3C99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6F065BEF">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195</w:t>
            </w:r>
          </w:p>
        </w:tc>
        <w:tc>
          <w:tcPr>
            <w:tcW w:w="7353" w:type="dxa"/>
            <w:vAlign w:val="center"/>
          </w:tcPr>
          <w:p w14:paraId="511A8D42">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环境空气细菌培养（15min）</w:t>
            </w:r>
          </w:p>
        </w:tc>
      </w:tr>
      <w:tr w14:paraId="0FE4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5C147BD2">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196</w:t>
            </w:r>
          </w:p>
        </w:tc>
        <w:tc>
          <w:tcPr>
            <w:tcW w:w="7353" w:type="dxa"/>
            <w:vAlign w:val="center"/>
          </w:tcPr>
          <w:p w14:paraId="0F5E29FF">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环境空气细菌培养（30min）</w:t>
            </w:r>
          </w:p>
        </w:tc>
      </w:tr>
      <w:tr w14:paraId="72D2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34E9299B">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197</w:t>
            </w:r>
          </w:p>
        </w:tc>
        <w:tc>
          <w:tcPr>
            <w:tcW w:w="7353" w:type="dxa"/>
            <w:vAlign w:val="center"/>
          </w:tcPr>
          <w:p w14:paraId="17C67800">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环境空气细菌培养（贮血冰箱）</w:t>
            </w:r>
          </w:p>
        </w:tc>
      </w:tr>
      <w:tr w14:paraId="1135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7850D2D8">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198</w:t>
            </w:r>
          </w:p>
        </w:tc>
        <w:tc>
          <w:tcPr>
            <w:tcW w:w="7353" w:type="dxa"/>
            <w:vAlign w:val="center"/>
          </w:tcPr>
          <w:p w14:paraId="402E632A">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洁净手术室手术区</w:t>
            </w:r>
          </w:p>
        </w:tc>
      </w:tr>
      <w:tr w14:paraId="12F3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521093A2">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199</w:t>
            </w:r>
          </w:p>
        </w:tc>
        <w:tc>
          <w:tcPr>
            <w:tcW w:w="7353" w:type="dxa"/>
            <w:vAlign w:val="center"/>
          </w:tcPr>
          <w:p w14:paraId="1DF93B82">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洁净手术室周边区</w:t>
            </w:r>
          </w:p>
        </w:tc>
      </w:tr>
      <w:tr w14:paraId="405D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C2BC7CE">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200</w:t>
            </w:r>
          </w:p>
        </w:tc>
        <w:tc>
          <w:tcPr>
            <w:tcW w:w="7353" w:type="dxa"/>
            <w:vAlign w:val="center"/>
          </w:tcPr>
          <w:p w14:paraId="3DA9FCE5">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医护人员手表面细菌培养</w:t>
            </w:r>
          </w:p>
        </w:tc>
      </w:tr>
      <w:tr w14:paraId="4D74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51A2F39">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201</w:t>
            </w:r>
          </w:p>
        </w:tc>
        <w:tc>
          <w:tcPr>
            <w:tcW w:w="7353" w:type="dxa"/>
            <w:vAlign w:val="center"/>
          </w:tcPr>
          <w:p w14:paraId="7E0635B5">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物体表面细菌培养</w:t>
            </w:r>
          </w:p>
        </w:tc>
      </w:tr>
      <w:tr w14:paraId="5416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64F3FE6C">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202</w:t>
            </w:r>
          </w:p>
        </w:tc>
        <w:tc>
          <w:tcPr>
            <w:tcW w:w="7353" w:type="dxa"/>
            <w:vAlign w:val="center"/>
          </w:tcPr>
          <w:p w14:paraId="639EFDDC">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医疗器械消毒效果监测</w:t>
            </w:r>
          </w:p>
        </w:tc>
      </w:tr>
      <w:tr w14:paraId="7CC4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1889463B">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203</w:t>
            </w:r>
          </w:p>
        </w:tc>
        <w:tc>
          <w:tcPr>
            <w:tcW w:w="7353" w:type="dxa"/>
            <w:vAlign w:val="center"/>
          </w:tcPr>
          <w:p w14:paraId="4D806A4C">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消毒液细菌培养</w:t>
            </w:r>
          </w:p>
        </w:tc>
      </w:tr>
      <w:tr w14:paraId="0D69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BD27FCE">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204</w:t>
            </w:r>
          </w:p>
        </w:tc>
        <w:tc>
          <w:tcPr>
            <w:tcW w:w="7353" w:type="dxa"/>
            <w:vAlign w:val="center"/>
          </w:tcPr>
          <w:p w14:paraId="5432D097">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内镜消毒效果监测</w:t>
            </w:r>
          </w:p>
        </w:tc>
      </w:tr>
      <w:tr w14:paraId="1354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74814AA4">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205</w:t>
            </w:r>
          </w:p>
        </w:tc>
        <w:tc>
          <w:tcPr>
            <w:tcW w:w="7353" w:type="dxa"/>
            <w:vAlign w:val="center"/>
          </w:tcPr>
          <w:p w14:paraId="21A1B3E0">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透析用水监测</w:t>
            </w:r>
          </w:p>
        </w:tc>
      </w:tr>
      <w:tr w14:paraId="45F8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6642B3A2">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206</w:t>
            </w:r>
          </w:p>
        </w:tc>
        <w:tc>
          <w:tcPr>
            <w:tcW w:w="7353" w:type="dxa"/>
            <w:vAlign w:val="center"/>
          </w:tcPr>
          <w:p w14:paraId="0020ACEF">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透析液监测</w:t>
            </w:r>
          </w:p>
        </w:tc>
      </w:tr>
      <w:tr w14:paraId="53A6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38A7B535">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207</w:t>
            </w:r>
          </w:p>
        </w:tc>
        <w:tc>
          <w:tcPr>
            <w:tcW w:w="7353" w:type="dxa"/>
            <w:vAlign w:val="center"/>
          </w:tcPr>
          <w:p w14:paraId="483A2C9D">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水质监测</w:t>
            </w:r>
          </w:p>
        </w:tc>
      </w:tr>
      <w:tr w14:paraId="4145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75D49751">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208</w:t>
            </w:r>
          </w:p>
        </w:tc>
        <w:tc>
          <w:tcPr>
            <w:tcW w:w="7353" w:type="dxa"/>
            <w:vAlign w:val="center"/>
          </w:tcPr>
          <w:p w14:paraId="238A0975">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污水监测</w:t>
            </w:r>
          </w:p>
        </w:tc>
      </w:tr>
      <w:tr w14:paraId="0098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1D22C80E">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209</w:t>
            </w:r>
          </w:p>
        </w:tc>
        <w:tc>
          <w:tcPr>
            <w:tcW w:w="7353" w:type="dxa"/>
            <w:vAlign w:val="center"/>
          </w:tcPr>
          <w:p w14:paraId="353DD5B3">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嗜热脂肪芽胞杆菌监测</w:t>
            </w:r>
          </w:p>
        </w:tc>
      </w:tr>
      <w:tr w14:paraId="3A62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7AC8F3D7">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210</w:t>
            </w:r>
          </w:p>
        </w:tc>
        <w:tc>
          <w:tcPr>
            <w:tcW w:w="7353" w:type="dxa"/>
            <w:vAlign w:val="center"/>
          </w:tcPr>
          <w:p w14:paraId="728B35CA">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血脂分析检测组合8项 （TCHOL、TG、HDL-C、LDL-C、APOAI、APOB、LA(a）、APOE)</w:t>
            </w:r>
          </w:p>
        </w:tc>
      </w:tr>
      <w:tr w14:paraId="4B6F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3E4037D">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211</w:t>
            </w:r>
          </w:p>
        </w:tc>
        <w:tc>
          <w:tcPr>
            <w:tcW w:w="7353" w:type="dxa"/>
            <w:vAlign w:val="center"/>
          </w:tcPr>
          <w:p w14:paraId="3E9D7987">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心衰的早期检测2项（BNP，NT－proBNP）</w:t>
            </w:r>
          </w:p>
        </w:tc>
      </w:tr>
      <w:tr w14:paraId="538A6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4CAA5326">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212</w:t>
            </w:r>
          </w:p>
        </w:tc>
        <w:tc>
          <w:tcPr>
            <w:tcW w:w="7353" w:type="dxa"/>
            <w:vAlign w:val="center"/>
          </w:tcPr>
          <w:p w14:paraId="6DA4E8BE">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心肌损伤标志物3项（h－FABP，Mb，cTnT）</w:t>
            </w:r>
          </w:p>
        </w:tc>
      </w:tr>
      <w:tr w14:paraId="4CEC2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42C4AF2E">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213</w:t>
            </w:r>
          </w:p>
        </w:tc>
        <w:tc>
          <w:tcPr>
            <w:tcW w:w="7353" w:type="dxa"/>
            <w:vAlign w:val="center"/>
          </w:tcPr>
          <w:p w14:paraId="16FBCE1B">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心肌酶谱4项（CK、AST、LD小时、CK-MB)</w:t>
            </w:r>
          </w:p>
        </w:tc>
      </w:tr>
      <w:tr w14:paraId="1430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3C88CB2B">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214</w:t>
            </w:r>
          </w:p>
        </w:tc>
        <w:tc>
          <w:tcPr>
            <w:tcW w:w="7353" w:type="dxa"/>
            <w:vAlign w:val="center"/>
          </w:tcPr>
          <w:p w14:paraId="087545A6">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心功能全套6项 （CK、AST、LD小时、CK-MB、cTnT、Mb)</w:t>
            </w:r>
          </w:p>
        </w:tc>
      </w:tr>
      <w:tr w14:paraId="1ECB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306FC78A">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215</w:t>
            </w:r>
          </w:p>
        </w:tc>
        <w:tc>
          <w:tcPr>
            <w:tcW w:w="7353" w:type="dxa"/>
            <w:vAlign w:val="center"/>
          </w:tcPr>
          <w:p w14:paraId="1CE5AD3C">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α羟丁酸脱氢酶（HBDH）</w:t>
            </w:r>
          </w:p>
        </w:tc>
      </w:tr>
      <w:tr w14:paraId="0E27E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4AE56C7A">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216</w:t>
            </w:r>
          </w:p>
        </w:tc>
        <w:tc>
          <w:tcPr>
            <w:tcW w:w="7353" w:type="dxa"/>
            <w:vAlign w:val="center"/>
          </w:tcPr>
          <w:p w14:paraId="78D95FCB">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超氧化物岐化酶（SOD）</w:t>
            </w:r>
          </w:p>
        </w:tc>
      </w:tr>
      <w:tr w14:paraId="2BD8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590E46ED">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217</w:t>
            </w:r>
          </w:p>
        </w:tc>
        <w:tc>
          <w:tcPr>
            <w:tcW w:w="7353" w:type="dxa"/>
            <w:vAlign w:val="center"/>
          </w:tcPr>
          <w:p w14:paraId="4F4F109F">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缺血修饰白蛋白（IMA）</w:t>
            </w:r>
          </w:p>
        </w:tc>
      </w:tr>
      <w:tr w14:paraId="1DFC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982DE19">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218</w:t>
            </w:r>
          </w:p>
        </w:tc>
        <w:tc>
          <w:tcPr>
            <w:tcW w:w="7353" w:type="dxa"/>
            <w:vAlign w:val="center"/>
          </w:tcPr>
          <w:p w14:paraId="256DAAEE">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心型脂肪酸结合蛋白  </w:t>
            </w:r>
          </w:p>
        </w:tc>
      </w:tr>
      <w:tr w14:paraId="41C5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86F8CCF">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219</w:t>
            </w:r>
          </w:p>
        </w:tc>
        <w:tc>
          <w:tcPr>
            <w:tcW w:w="7353" w:type="dxa"/>
            <w:vAlign w:val="center"/>
          </w:tcPr>
          <w:p w14:paraId="376AF44E">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维生素B12（VB12）</w:t>
            </w:r>
          </w:p>
        </w:tc>
      </w:tr>
      <w:tr w14:paraId="3E37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79AE6A83">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220</w:t>
            </w:r>
          </w:p>
        </w:tc>
        <w:tc>
          <w:tcPr>
            <w:tcW w:w="7353" w:type="dxa"/>
            <w:vAlign w:val="center"/>
          </w:tcPr>
          <w:p w14:paraId="6259AE20">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转铁蛋白（TRF）</w:t>
            </w:r>
          </w:p>
        </w:tc>
      </w:tr>
      <w:tr w14:paraId="70AF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2F6F9B2">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221</w:t>
            </w:r>
          </w:p>
        </w:tc>
        <w:tc>
          <w:tcPr>
            <w:tcW w:w="7353" w:type="dxa"/>
            <w:vAlign w:val="center"/>
          </w:tcPr>
          <w:p w14:paraId="3D03E210">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铁蛋白（FER）</w:t>
            </w:r>
          </w:p>
        </w:tc>
      </w:tr>
      <w:tr w14:paraId="3149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50B02D05">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222</w:t>
            </w:r>
          </w:p>
        </w:tc>
        <w:tc>
          <w:tcPr>
            <w:tcW w:w="7353" w:type="dxa"/>
            <w:vAlign w:val="center"/>
          </w:tcPr>
          <w:p w14:paraId="5E17809E">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血清总铁结合力</w:t>
            </w:r>
          </w:p>
        </w:tc>
      </w:tr>
      <w:tr w14:paraId="159D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78F5A351">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223</w:t>
            </w:r>
          </w:p>
        </w:tc>
        <w:tc>
          <w:tcPr>
            <w:tcW w:w="7353" w:type="dxa"/>
            <w:vAlign w:val="center"/>
          </w:tcPr>
          <w:p w14:paraId="3E6E5466">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铁饱和度（含血清铁和总铁结合力）</w:t>
            </w:r>
          </w:p>
        </w:tc>
      </w:tr>
      <w:tr w14:paraId="7CC2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6BA2C330">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224</w:t>
            </w:r>
          </w:p>
        </w:tc>
        <w:tc>
          <w:tcPr>
            <w:tcW w:w="7353" w:type="dxa"/>
            <w:vAlign w:val="center"/>
          </w:tcPr>
          <w:p w14:paraId="1A25D1F7">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促红细胞生成素（EPO）</w:t>
            </w:r>
          </w:p>
        </w:tc>
      </w:tr>
      <w:tr w14:paraId="6C651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6056E173">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225</w:t>
            </w:r>
          </w:p>
        </w:tc>
        <w:tc>
          <w:tcPr>
            <w:tcW w:w="7353" w:type="dxa"/>
            <w:vAlign w:val="center"/>
          </w:tcPr>
          <w:p w14:paraId="68982FD8">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肝功能检测组合12项（TP、ALB、GLB、A/G、T-BIL、D-BIL、I-BIL、ALT、AST、AST/ALT、GGT、ALP）</w:t>
            </w:r>
          </w:p>
        </w:tc>
      </w:tr>
      <w:tr w14:paraId="2741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15783E4A">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226</w:t>
            </w:r>
          </w:p>
        </w:tc>
        <w:tc>
          <w:tcPr>
            <w:tcW w:w="7353" w:type="dxa"/>
            <w:vAlign w:val="center"/>
          </w:tcPr>
          <w:p w14:paraId="4034F342">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肝功能检测组合18项（TP、ALB、GLB、A/G、T-BIL、D-BIL、I-BIL、ALT、AST、AST/ALT、GGT、ALP、PA、TBA、AFU、ADA、CHE、GPDA）</w:t>
            </w:r>
          </w:p>
        </w:tc>
      </w:tr>
      <w:tr w14:paraId="1CF0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5AA515C">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227</w:t>
            </w:r>
          </w:p>
        </w:tc>
        <w:tc>
          <w:tcPr>
            <w:tcW w:w="7353" w:type="dxa"/>
            <w:vAlign w:val="center"/>
          </w:tcPr>
          <w:p w14:paraId="67D8C8F5">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肾功能检测组合3项（UREA、CREA、UA)</w:t>
            </w:r>
          </w:p>
        </w:tc>
      </w:tr>
      <w:tr w14:paraId="02B2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86356F1">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228</w:t>
            </w:r>
          </w:p>
        </w:tc>
        <w:tc>
          <w:tcPr>
            <w:tcW w:w="7353" w:type="dxa"/>
            <w:vAlign w:val="center"/>
          </w:tcPr>
          <w:p w14:paraId="684726E0">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肾功能检测组合4项（UREA、CREA、UA、β2-MG)</w:t>
            </w:r>
          </w:p>
        </w:tc>
      </w:tr>
      <w:tr w14:paraId="37635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DD38AAA">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229</w:t>
            </w:r>
          </w:p>
        </w:tc>
        <w:tc>
          <w:tcPr>
            <w:tcW w:w="7353" w:type="dxa"/>
            <w:vAlign w:val="center"/>
          </w:tcPr>
          <w:p w14:paraId="03312B0F">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尿微量蛋白检测组合4项（mALB、β2-MG、α1-MG、U-TRF）</w:t>
            </w:r>
          </w:p>
        </w:tc>
      </w:tr>
      <w:tr w14:paraId="7958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2376D0E6">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230</w:t>
            </w:r>
          </w:p>
        </w:tc>
        <w:tc>
          <w:tcPr>
            <w:tcW w:w="7353" w:type="dxa"/>
            <w:vAlign w:val="center"/>
          </w:tcPr>
          <w:p w14:paraId="117B8CA3">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尿微量蛋白检测组合5项（mALB、β2-MG、α1-MG、U-TRF、U-IgG）</w:t>
            </w:r>
          </w:p>
        </w:tc>
      </w:tr>
      <w:tr w14:paraId="6A94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66508960">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231</w:t>
            </w:r>
          </w:p>
        </w:tc>
        <w:tc>
          <w:tcPr>
            <w:tcW w:w="7353" w:type="dxa"/>
            <w:vAlign w:val="center"/>
          </w:tcPr>
          <w:p w14:paraId="488374E6">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尿敏感肾功能检测组合7项（mALB、β2-MG、U-TRF、U-IgG、U-RBP、NAG、CREA）</w:t>
            </w:r>
          </w:p>
        </w:tc>
      </w:tr>
      <w:tr w14:paraId="3081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530B57FE">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232</w:t>
            </w:r>
          </w:p>
        </w:tc>
        <w:tc>
          <w:tcPr>
            <w:tcW w:w="7353" w:type="dxa"/>
            <w:vAlign w:val="center"/>
          </w:tcPr>
          <w:p w14:paraId="59AEADA3">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胸腹水生化（胸腹水C-反应蛋白、胸腹水葡萄糖、胸腹水总蛋白、胸腹水腺苷脱氨酶、胸腹水乳酸脱氢酶）</w:t>
            </w:r>
          </w:p>
        </w:tc>
      </w:tr>
      <w:tr w14:paraId="21FB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72EF49C">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233</w:t>
            </w:r>
          </w:p>
        </w:tc>
        <w:tc>
          <w:tcPr>
            <w:tcW w:w="7353" w:type="dxa"/>
            <w:vAlign w:val="center"/>
          </w:tcPr>
          <w:p w14:paraId="1FD64316">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脑脊液生化（脑脊液总蛋白、脑脊液葡萄糖、脑脊液氯、脑脊液腺苷脱氨酶、脑脊液C-反应蛋白）</w:t>
            </w:r>
          </w:p>
        </w:tc>
      </w:tr>
      <w:tr w14:paraId="7094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970362C">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234</w:t>
            </w:r>
          </w:p>
        </w:tc>
        <w:tc>
          <w:tcPr>
            <w:tcW w:w="7353" w:type="dxa"/>
            <w:vAlign w:val="center"/>
          </w:tcPr>
          <w:p w14:paraId="399C6897">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同型半胱氨酸（HCY）</w:t>
            </w:r>
          </w:p>
        </w:tc>
      </w:tr>
      <w:tr w14:paraId="19C6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3DED9E84">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235</w:t>
            </w:r>
          </w:p>
        </w:tc>
        <w:tc>
          <w:tcPr>
            <w:tcW w:w="7353" w:type="dxa"/>
            <w:vAlign w:val="center"/>
          </w:tcPr>
          <w:p w14:paraId="3FE0796E">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血管紧张素转化酶（ACE）</w:t>
            </w:r>
          </w:p>
        </w:tc>
      </w:tr>
      <w:tr w14:paraId="5173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5351257D">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236</w:t>
            </w:r>
          </w:p>
        </w:tc>
        <w:tc>
          <w:tcPr>
            <w:tcW w:w="7353" w:type="dxa"/>
            <w:vAlign w:val="center"/>
          </w:tcPr>
          <w:p w14:paraId="0CF7B7AC">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胱抑素C（Cystatin C）</w:t>
            </w:r>
          </w:p>
        </w:tc>
      </w:tr>
      <w:tr w14:paraId="4A6A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5CBB28BA">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237</w:t>
            </w:r>
          </w:p>
        </w:tc>
        <w:tc>
          <w:tcPr>
            <w:tcW w:w="7353" w:type="dxa"/>
            <w:vAlign w:val="center"/>
          </w:tcPr>
          <w:p w14:paraId="4680AD07">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脂肪酶（LPS）</w:t>
            </w:r>
          </w:p>
        </w:tc>
      </w:tr>
      <w:tr w14:paraId="43C5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38BF5995">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238</w:t>
            </w:r>
          </w:p>
        </w:tc>
        <w:tc>
          <w:tcPr>
            <w:tcW w:w="7353" w:type="dxa"/>
            <w:vAlign w:val="center"/>
          </w:tcPr>
          <w:p w14:paraId="7B22820F">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β羟丁酸（D3-H）</w:t>
            </w:r>
          </w:p>
        </w:tc>
      </w:tr>
      <w:tr w14:paraId="0137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76410DD2">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239</w:t>
            </w:r>
          </w:p>
        </w:tc>
        <w:tc>
          <w:tcPr>
            <w:tcW w:w="7353" w:type="dxa"/>
            <w:vAlign w:val="center"/>
          </w:tcPr>
          <w:p w14:paraId="3C99C00C">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血清铁（Fe）</w:t>
            </w:r>
          </w:p>
        </w:tc>
      </w:tr>
      <w:tr w14:paraId="55988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71C3583F">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240</w:t>
            </w:r>
          </w:p>
        </w:tc>
        <w:tc>
          <w:tcPr>
            <w:tcW w:w="7353" w:type="dxa"/>
            <w:vAlign w:val="center"/>
          </w:tcPr>
          <w:p w14:paraId="5FC5805E">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天门冬氨酸氨基转移酶线粒体同工酶（mAST）</w:t>
            </w:r>
          </w:p>
        </w:tc>
      </w:tr>
      <w:tr w14:paraId="5771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76362B4">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241</w:t>
            </w:r>
          </w:p>
        </w:tc>
        <w:tc>
          <w:tcPr>
            <w:tcW w:w="7353" w:type="dxa"/>
            <w:vAlign w:val="center"/>
          </w:tcPr>
          <w:p w14:paraId="0E731989">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亮氨酰氨基肽酶（LAP）</w:t>
            </w:r>
          </w:p>
        </w:tc>
      </w:tr>
      <w:tr w14:paraId="46E4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3665A49B">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242</w:t>
            </w:r>
          </w:p>
        </w:tc>
        <w:tc>
          <w:tcPr>
            <w:tcW w:w="7353" w:type="dxa"/>
            <w:vAlign w:val="center"/>
          </w:tcPr>
          <w:p w14:paraId="5D8E8CCA">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唾液酸（SA）</w:t>
            </w:r>
          </w:p>
        </w:tc>
      </w:tr>
      <w:tr w14:paraId="60E6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2494117E">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243</w:t>
            </w:r>
          </w:p>
        </w:tc>
        <w:tc>
          <w:tcPr>
            <w:tcW w:w="7353" w:type="dxa"/>
            <w:vAlign w:val="center"/>
          </w:tcPr>
          <w:p w14:paraId="759159AF">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糖化白蛋白（GA）</w:t>
            </w:r>
          </w:p>
        </w:tc>
      </w:tr>
      <w:tr w14:paraId="7EDD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7CF9C658">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244</w:t>
            </w:r>
          </w:p>
        </w:tc>
        <w:tc>
          <w:tcPr>
            <w:tcW w:w="7353" w:type="dxa"/>
            <w:vAlign w:val="center"/>
          </w:tcPr>
          <w:p w14:paraId="3172D437">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胰淀粉酶（P-AMY）</w:t>
            </w:r>
          </w:p>
        </w:tc>
      </w:tr>
      <w:tr w14:paraId="0AA4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CF003C2">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245</w:t>
            </w:r>
          </w:p>
        </w:tc>
        <w:tc>
          <w:tcPr>
            <w:tcW w:w="7353" w:type="dxa"/>
            <w:vAlign w:val="center"/>
          </w:tcPr>
          <w:p w14:paraId="7947DD08">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心型脂肪酸结合蛋白  （H-FABP）</w:t>
            </w:r>
          </w:p>
        </w:tc>
      </w:tr>
      <w:tr w14:paraId="162C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2A99020E">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246</w:t>
            </w:r>
          </w:p>
        </w:tc>
        <w:tc>
          <w:tcPr>
            <w:tcW w:w="7353" w:type="dxa"/>
            <w:vAlign w:val="center"/>
          </w:tcPr>
          <w:p w14:paraId="6AA3A332">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中性粒细胞明胶酶相关脂质运载蛋白（NGAL）</w:t>
            </w:r>
          </w:p>
        </w:tc>
      </w:tr>
      <w:tr w14:paraId="37B1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1F840DBE">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247</w:t>
            </w:r>
          </w:p>
        </w:tc>
        <w:tc>
          <w:tcPr>
            <w:tcW w:w="7353" w:type="dxa"/>
            <w:vAlign w:val="center"/>
          </w:tcPr>
          <w:p w14:paraId="698D139A">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总铁结合力</w:t>
            </w:r>
          </w:p>
        </w:tc>
      </w:tr>
      <w:tr w14:paraId="12B2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14AED089">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248</w:t>
            </w:r>
          </w:p>
        </w:tc>
        <w:tc>
          <w:tcPr>
            <w:tcW w:w="7353" w:type="dxa"/>
            <w:vAlign w:val="center"/>
          </w:tcPr>
          <w:p w14:paraId="156B0A71">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载脂蛋白E（APOE）</w:t>
            </w:r>
          </w:p>
        </w:tc>
      </w:tr>
      <w:tr w14:paraId="5AC5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7254AD97">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249</w:t>
            </w:r>
          </w:p>
        </w:tc>
        <w:tc>
          <w:tcPr>
            <w:tcW w:w="7353" w:type="dxa"/>
            <w:vAlign w:val="center"/>
          </w:tcPr>
          <w:p w14:paraId="064F9F5A">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尿微量白蛋白（mALB）</w:t>
            </w:r>
          </w:p>
        </w:tc>
      </w:tr>
      <w:tr w14:paraId="6D38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40E3C09">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250</w:t>
            </w:r>
          </w:p>
        </w:tc>
        <w:tc>
          <w:tcPr>
            <w:tcW w:w="7353" w:type="dxa"/>
            <w:vAlign w:val="center"/>
          </w:tcPr>
          <w:p w14:paraId="49518900">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尿β2微球蛋白（β2-MG）</w:t>
            </w:r>
          </w:p>
        </w:tc>
      </w:tr>
      <w:tr w14:paraId="43D2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2DDA93A0">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251</w:t>
            </w:r>
          </w:p>
        </w:tc>
        <w:tc>
          <w:tcPr>
            <w:tcW w:w="7353" w:type="dxa"/>
            <w:vAlign w:val="center"/>
          </w:tcPr>
          <w:p w14:paraId="6F5BD905">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尿α1微量球蛋白（α1-MG）</w:t>
            </w:r>
          </w:p>
        </w:tc>
      </w:tr>
      <w:tr w14:paraId="4199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2CD6AF7E">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252</w:t>
            </w:r>
          </w:p>
        </w:tc>
        <w:tc>
          <w:tcPr>
            <w:tcW w:w="7353" w:type="dxa"/>
            <w:vAlign w:val="center"/>
          </w:tcPr>
          <w:p w14:paraId="4BADCF6B">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尿转铁蛋白（U-TRF）</w:t>
            </w:r>
          </w:p>
        </w:tc>
      </w:tr>
      <w:tr w14:paraId="0656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69522BE0">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253</w:t>
            </w:r>
          </w:p>
        </w:tc>
        <w:tc>
          <w:tcPr>
            <w:tcW w:w="7353" w:type="dxa"/>
            <w:vAlign w:val="center"/>
          </w:tcPr>
          <w:p w14:paraId="33FEB0A5">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尿液免疫球蛋白lgG定量（U-IgG）</w:t>
            </w:r>
          </w:p>
        </w:tc>
      </w:tr>
      <w:tr w14:paraId="435F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4F8FDE90">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254</w:t>
            </w:r>
          </w:p>
        </w:tc>
        <w:tc>
          <w:tcPr>
            <w:tcW w:w="7353" w:type="dxa"/>
            <w:vAlign w:val="center"/>
          </w:tcPr>
          <w:p w14:paraId="684917E6">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尿视黄醇结合蛋白 （U-RBP）</w:t>
            </w:r>
          </w:p>
        </w:tc>
      </w:tr>
      <w:tr w14:paraId="3785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4A9E8D77">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255</w:t>
            </w:r>
          </w:p>
        </w:tc>
        <w:tc>
          <w:tcPr>
            <w:tcW w:w="7353" w:type="dxa"/>
            <w:vAlign w:val="center"/>
          </w:tcPr>
          <w:p w14:paraId="0D2D96AB">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尿N-乙酰-β-D-氨基葡萄糖苷酶（NAG）</w:t>
            </w:r>
          </w:p>
        </w:tc>
      </w:tr>
      <w:tr w14:paraId="0697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69E168E4">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256</w:t>
            </w:r>
          </w:p>
        </w:tc>
        <w:tc>
          <w:tcPr>
            <w:tcW w:w="7353" w:type="dxa"/>
            <w:vAlign w:val="center"/>
          </w:tcPr>
          <w:p w14:paraId="2912F911">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尿肌酐（CREA）</w:t>
            </w:r>
          </w:p>
        </w:tc>
      </w:tr>
      <w:tr w14:paraId="5654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5FC43256">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257</w:t>
            </w:r>
          </w:p>
        </w:tc>
        <w:tc>
          <w:tcPr>
            <w:tcW w:w="7353" w:type="dxa"/>
            <w:vAlign w:val="center"/>
          </w:tcPr>
          <w:p w14:paraId="3600CE9D">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24小时尿蛋白定量 （u-TP/24h）</w:t>
            </w:r>
          </w:p>
        </w:tc>
      </w:tr>
      <w:tr w14:paraId="12A7C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36715B3D">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258</w:t>
            </w:r>
          </w:p>
        </w:tc>
        <w:tc>
          <w:tcPr>
            <w:tcW w:w="7353" w:type="dxa"/>
            <w:vAlign w:val="center"/>
          </w:tcPr>
          <w:p w14:paraId="7191B3DC">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尿N-乙酰-β-D-氨基葡萄糖苷酶测定（NAG）    （含肌酐）</w:t>
            </w:r>
          </w:p>
        </w:tc>
      </w:tr>
      <w:tr w14:paraId="1195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68EE836C">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259</w:t>
            </w:r>
          </w:p>
        </w:tc>
        <w:tc>
          <w:tcPr>
            <w:tcW w:w="7353" w:type="dxa"/>
            <w:vAlign w:val="center"/>
          </w:tcPr>
          <w:p w14:paraId="73151549">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血清蛋白电泳</w:t>
            </w:r>
          </w:p>
        </w:tc>
      </w:tr>
      <w:tr w14:paraId="3F5D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3F0B96E4">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260</w:t>
            </w:r>
          </w:p>
        </w:tc>
        <w:tc>
          <w:tcPr>
            <w:tcW w:w="7353" w:type="dxa"/>
            <w:vAlign w:val="center"/>
          </w:tcPr>
          <w:p w14:paraId="501D0EC0">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血红蛋白电泳</w:t>
            </w:r>
          </w:p>
        </w:tc>
      </w:tr>
      <w:tr w14:paraId="7A0F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9" w:type="dxa"/>
            <w:vAlign w:val="center"/>
          </w:tcPr>
          <w:p w14:paraId="06DDD5D4">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261</w:t>
            </w:r>
          </w:p>
        </w:tc>
        <w:tc>
          <w:tcPr>
            <w:tcW w:w="7353" w:type="dxa"/>
            <w:vAlign w:val="center"/>
          </w:tcPr>
          <w:p w14:paraId="3398CAC9">
            <w:pPr>
              <w:widowControl/>
              <w:adjustRightInd/>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尿蛋白电泳</w:t>
            </w:r>
          </w:p>
        </w:tc>
      </w:tr>
    </w:tbl>
    <w:p w14:paraId="21B6D4EF">
      <w:pPr>
        <w:pStyle w:val="24"/>
        <w:rPr>
          <w:rFonts w:hAnsi="宋体" w:cs="宋体"/>
          <w:b/>
          <w:bCs/>
          <w:color w:val="auto"/>
          <w:szCs w:val="24"/>
          <w:highlight w:val="none"/>
        </w:rPr>
      </w:pPr>
    </w:p>
    <w:p w14:paraId="0839DED8">
      <w:pPr>
        <w:rPr>
          <w:rFonts w:ascii="宋体" w:hAnsi="宋体" w:cs="宋体"/>
          <w:b/>
          <w:bCs/>
          <w:snapToGrid w:val="0"/>
          <w:color w:val="auto"/>
          <w:sz w:val="24"/>
          <w:highlight w:val="none"/>
          <w:lang w:val="zh-CN"/>
        </w:rPr>
      </w:pPr>
    </w:p>
    <w:p w14:paraId="608BA807">
      <w:pPr>
        <w:pStyle w:val="24"/>
        <w:rPr>
          <w:rFonts w:hAnsi="宋体" w:cs="宋体"/>
          <w:b/>
          <w:bCs/>
          <w:color w:val="auto"/>
          <w:szCs w:val="24"/>
          <w:highlight w:val="none"/>
        </w:rPr>
      </w:pPr>
    </w:p>
    <w:p w14:paraId="64AD1BC7">
      <w:pPr>
        <w:rPr>
          <w:rFonts w:ascii="宋体" w:hAnsi="宋体" w:cs="宋体"/>
          <w:b/>
          <w:bCs/>
          <w:snapToGrid w:val="0"/>
          <w:color w:val="auto"/>
          <w:sz w:val="24"/>
          <w:highlight w:val="none"/>
          <w:lang w:val="zh-CN"/>
        </w:rPr>
      </w:pPr>
    </w:p>
    <w:p w14:paraId="5D2929D5">
      <w:pPr>
        <w:pStyle w:val="24"/>
        <w:rPr>
          <w:rFonts w:hAnsi="宋体" w:cs="宋体"/>
          <w:b/>
          <w:bCs/>
          <w:color w:val="auto"/>
          <w:szCs w:val="24"/>
          <w:highlight w:val="none"/>
        </w:rPr>
      </w:pPr>
    </w:p>
    <w:p w14:paraId="43215F57">
      <w:pPr>
        <w:rPr>
          <w:rFonts w:ascii="宋体" w:hAnsi="宋体" w:cs="宋体"/>
          <w:b/>
          <w:bCs/>
          <w:snapToGrid w:val="0"/>
          <w:color w:val="auto"/>
          <w:sz w:val="24"/>
          <w:highlight w:val="none"/>
          <w:lang w:val="zh-CN"/>
        </w:rPr>
      </w:pPr>
    </w:p>
    <w:p w14:paraId="790C5630">
      <w:pPr>
        <w:pStyle w:val="24"/>
        <w:rPr>
          <w:rFonts w:hAnsi="宋体" w:cs="宋体"/>
          <w:b/>
          <w:bCs/>
          <w:color w:val="auto"/>
          <w:szCs w:val="24"/>
          <w:highlight w:val="none"/>
        </w:rPr>
      </w:pPr>
    </w:p>
    <w:p w14:paraId="4BCC43A6">
      <w:pPr>
        <w:rPr>
          <w:rFonts w:ascii="宋体" w:hAnsi="宋体" w:cs="宋体"/>
          <w:b/>
          <w:bCs/>
          <w:snapToGrid w:val="0"/>
          <w:color w:val="auto"/>
          <w:sz w:val="24"/>
          <w:highlight w:val="none"/>
          <w:lang w:val="zh-CN"/>
        </w:rPr>
      </w:pPr>
    </w:p>
    <w:p w14:paraId="0ED47B80">
      <w:pPr>
        <w:pStyle w:val="24"/>
        <w:rPr>
          <w:color w:val="auto"/>
          <w:highlight w:val="none"/>
        </w:rPr>
      </w:pPr>
    </w:p>
    <w:p w14:paraId="2F5CB3C1">
      <w:pPr>
        <w:adjustRightInd/>
        <w:jc w:val="left"/>
        <w:rPr>
          <w:rFonts w:ascii="黑体" w:hAnsi="黑体" w:eastAsia="黑体" w:cs="黑体"/>
          <w:color w:val="auto"/>
          <w:szCs w:val="21"/>
          <w:highlight w:val="none"/>
        </w:rPr>
      </w:pPr>
    </w:p>
    <w:p w14:paraId="18E55D63">
      <w:pPr>
        <w:autoSpaceDE w:val="0"/>
        <w:autoSpaceDN w:val="0"/>
        <w:adjustRightInd/>
        <w:rPr>
          <w:rFonts w:ascii="宋体" w:hAnsi="宋体" w:cs="宋体"/>
          <w:b/>
          <w:bCs/>
          <w:snapToGrid w:val="0"/>
          <w:color w:val="auto"/>
          <w:szCs w:val="21"/>
          <w:highlight w:val="none"/>
        </w:rPr>
      </w:pPr>
    </w:p>
    <w:p w14:paraId="52BC9B4B">
      <w:pPr>
        <w:autoSpaceDE w:val="0"/>
        <w:autoSpaceDN w:val="0"/>
        <w:adjustRightInd/>
        <w:rPr>
          <w:rFonts w:ascii="宋体" w:hAnsi="宋体" w:cs="宋体"/>
          <w:b/>
          <w:bCs/>
          <w:snapToGrid w:val="0"/>
          <w:color w:val="auto"/>
          <w:szCs w:val="21"/>
          <w:highlight w:val="none"/>
        </w:rPr>
      </w:pPr>
    </w:p>
    <w:p w14:paraId="14F550D7">
      <w:pPr>
        <w:pStyle w:val="24"/>
        <w:rPr>
          <w:rFonts w:hAnsi="宋体" w:cs="宋体"/>
          <w:b/>
          <w:bCs/>
          <w:color w:val="auto"/>
          <w:sz w:val="21"/>
          <w:highlight w:val="none"/>
          <w:lang w:val="en-US"/>
        </w:rPr>
      </w:pPr>
    </w:p>
    <w:p w14:paraId="22C111BC">
      <w:pPr>
        <w:rPr>
          <w:rFonts w:ascii="宋体" w:hAnsi="宋体" w:cs="宋体"/>
          <w:b/>
          <w:bCs/>
          <w:snapToGrid w:val="0"/>
          <w:color w:val="auto"/>
          <w:szCs w:val="21"/>
          <w:highlight w:val="none"/>
        </w:rPr>
      </w:pPr>
    </w:p>
    <w:p w14:paraId="53BFCA09">
      <w:pPr>
        <w:pStyle w:val="24"/>
        <w:rPr>
          <w:color w:val="auto"/>
          <w:highlight w:val="none"/>
          <w:lang w:val="en-US"/>
        </w:rPr>
      </w:pPr>
    </w:p>
    <w:p w14:paraId="567FAF29">
      <w:pPr>
        <w:rPr>
          <w:color w:val="auto"/>
          <w:highlight w:val="none"/>
          <w:lang w:val="en-US"/>
        </w:rPr>
      </w:pPr>
    </w:p>
    <w:p w14:paraId="5BD8ED21">
      <w:pPr>
        <w:pStyle w:val="2"/>
        <w:rPr>
          <w:color w:val="auto"/>
          <w:highlight w:val="none"/>
          <w:lang w:val="en-US"/>
        </w:rPr>
      </w:pPr>
    </w:p>
    <w:p w14:paraId="667F06CD">
      <w:pPr>
        <w:rPr>
          <w:color w:val="auto"/>
          <w:highlight w:val="none"/>
          <w:lang w:val="en-US"/>
        </w:rPr>
      </w:pPr>
    </w:p>
    <w:p w14:paraId="05E39773">
      <w:pPr>
        <w:pStyle w:val="2"/>
        <w:rPr>
          <w:color w:val="auto"/>
          <w:highlight w:val="none"/>
          <w:lang w:val="en-US"/>
        </w:rPr>
      </w:pPr>
    </w:p>
    <w:p w14:paraId="2D4E6140">
      <w:pPr>
        <w:rPr>
          <w:color w:val="auto"/>
          <w:highlight w:val="none"/>
          <w:lang w:val="en-US"/>
        </w:rPr>
      </w:pPr>
    </w:p>
    <w:p w14:paraId="2B5560E6">
      <w:pPr>
        <w:pStyle w:val="2"/>
        <w:rPr>
          <w:color w:val="auto"/>
          <w:highlight w:val="none"/>
          <w:lang w:val="en-US"/>
        </w:rPr>
      </w:pPr>
    </w:p>
    <w:p w14:paraId="5C598CE6">
      <w:pPr>
        <w:rPr>
          <w:color w:val="auto"/>
          <w:highlight w:val="none"/>
          <w:lang w:val="en-US"/>
        </w:rPr>
      </w:pPr>
    </w:p>
    <w:p w14:paraId="459F6CFB">
      <w:pPr>
        <w:pStyle w:val="2"/>
        <w:rPr>
          <w:color w:val="auto"/>
          <w:highlight w:val="none"/>
          <w:lang w:val="en-US"/>
        </w:rPr>
      </w:pPr>
    </w:p>
    <w:p w14:paraId="78A32CAA">
      <w:pPr>
        <w:rPr>
          <w:color w:val="auto"/>
          <w:highlight w:val="none"/>
          <w:lang w:val="en-US"/>
        </w:rPr>
      </w:pPr>
    </w:p>
    <w:p w14:paraId="54A35F37">
      <w:pPr>
        <w:pStyle w:val="2"/>
        <w:rPr>
          <w:color w:val="auto"/>
          <w:highlight w:val="none"/>
          <w:lang w:val="en-US"/>
        </w:rPr>
      </w:pPr>
    </w:p>
    <w:p w14:paraId="7F0D7DAA">
      <w:pPr>
        <w:rPr>
          <w:color w:val="auto"/>
          <w:highlight w:val="none"/>
          <w:lang w:val="en-US"/>
        </w:rPr>
      </w:pPr>
    </w:p>
    <w:p w14:paraId="20B1386D">
      <w:pPr>
        <w:pStyle w:val="2"/>
        <w:rPr>
          <w:color w:val="auto"/>
          <w:highlight w:val="none"/>
          <w:lang w:val="en-US"/>
        </w:rPr>
      </w:pPr>
    </w:p>
    <w:p w14:paraId="6E6714DC">
      <w:pPr>
        <w:rPr>
          <w:color w:val="auto"/>
          <w:highlight w:val="none"/>
          <w:lang w:val="en-US"/>
        </w:rPr>
      </w:pPr>
    </w:p>
    <w:p w14:paraId="591036E0">
      <w:pPr>
        <w:numPr>
          <w:ilvl w:val="0"/>
          <w:numId w:val="2"/>
        </w:numPr>
        <w:autoSpaceDE w:val="0"/>
        <w:autoSpaceDN w:val="0"/>
        <w:adjustRightInd/>
        <w:rPr>
          <w:rFonts w:ascii="宋体" w:hAnsi="宋体" w:cs="宋体"/>
          <w:b/>
          <w:bCs/>
          <w:snapToGrid w:val="0"/>
          <w:color w:val="auto"/>
          <w:sz w:val="24"/>
          <w:highlight w:val="none"/>
        </w:rPr>
      </w:pPr>
      <w:r>
        <w:rPr>
          <w:rFonts w:hint="eastAsia" w:ascii="宋体" w:hAnsi="宋体" w:cs="宋体"/>
          <w:b/>
          <w:bCs/>
          <w:snapToGrid w:val="0"/>
          <w:color w:val="auto"/>
          <w:sz w:val="24"/>
          <w:highlight w:val="none"/>
        </w:rPr>
        <w:t>特殊检验项目清单：</w:t>
      </w:r>
    </w:p>
    <w:tbl>
      <w:tblPr>
        <w:tblStyle w:val="63"/>
        <w:tblW w:w="863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7088"/>
      </w:tblGrid>
      <w:tr w14:paraId="63534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3B376F65">
            <w:pPr>
              <w:widowControl/>
              <w:adjustRightInd/>
              <w:jc w:val="center"/>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序号</w:t>
            </w:r>
          </w:p>
        </w:tc>
        <w:tc>
          <w:tcPr>
            <w:tcW w:w="7088" w:type="dxa"/>
            <w:vAlign w:val="center"/>
          </w:tcPr>
          <w:p w14:paraId="4B690ED9">
            <w:pPr>
              <w:widowControl/>
              <w:adjustRightInd/>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项目名称</w:t>
            </w:r>
          </w:p>
        </w:tc>
      </w:tr>
      <w:tr w14:paraId="2D83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4CFC694D">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7088" w:type="dxa"/>
            <w:vAlign w:val="center"/>
          </w:tcPr>
          <w:p w14:paraId="40B70DE1">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解脲脲原体核酸检测(UU-RNA)</w:t>
            </w:r>
          </w:p>
        </w:tc>
      </w:tr>
      <w:tr w14:paraId="5C9F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2ACC7196">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w:t>
            </w:r>
          </w:p>
        </w:tc>
        <w:tc>
          <w:tcPr>
            <w:tcW w:w="7088" w:type="dxa"/>
            <w:vAlign w:val="center"/>
          </w:tcPr>
          <w:p w14:paraId="5DA07865">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沙眼衣原体核酸检测(CT-RNA)</w:t>
            </w:r>
          </w:p>
        </w:tc>
      </w:tr>
      <w:tr w14:paraId="7622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2715F6C2">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w:t>
            </w:r>
          </w:p>
        </w:tc>
        <w:tc>
          <w:tcPr>
            <w:tcW w:w="7088" w:type="dxa"/>
            <w:vAlign w:val="center"/>
          </w:tcPr>
          <w:p w14:paraId="36B0DBBD">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淋病奈瑟菌核酸检测(NG-RNA)</w:t>
            </w:r>
          </w:p>
        </w:tc>
      </w:tr>
      <w:tr w14:paraId="2636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6958F61A">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w:t>
            </w:r>
          </w:p>
        </w:tc>
        <w:tc>
          <w:tcPr>
            <w:tcW w:w="7088" w:type="dxa"/>
            <w:vAlign w:val="center"/>
          </w:tcPr>
          <w:p w14:paraId="642AA7F1">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生殖支原体核酸检测(MG-RNA)</w:t>
            </w:r>
          </w:p>
        </w:tc>
      </w:tr>
      <w:tr w14:paraId="58CCF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13D19433">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w:t>
            </w:r>
          </w:p>
        </w:tc>
        <w:tc>
          <w:tcPr>
            <w:tcW w:w="7088" w:type="dxa"/>
            <w:vAlign w:val="center"/>
          </w:tcPr>
          <w:p w14:paraId="2DC0B916">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微量元素16项（质谱法）</w:t>
            </w:r>
          </w:p>
        </w:tc>
      </w:tr>
      <w:tr w14:paraId="03C98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31B85B2E">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w:t>
            </w:r>
          </w:p>
        </w:tc>
        <w:tc>
          <w:tcPr>
            <w:tcW w:w="7088" w:type="dxa"/>
            <w:vAlign w:val="center"/>
          </w:tcPr>
          <w:p w14:paraId="4CF5810D">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微量元素19项（质谱法）</w:t>
            </w:r>
          </w:p>
        </w:tc>
      </w:tr>
      <w:tr w14:paraId="13A54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31351A39">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w:t>
            </w:r>
          </w:p>
        </w:tc>
        <w:tc>
          <w:tcPr>
            <w:tcW w:w="7088" w:type="dxa"/>
            <w:vAlign w:val="center"/>
          </w:tcPr>
          <w:p w14:paraId="195CB686">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宫颈细胞P16三联检</w:t>
            </w:r>
          </w:p>
        </w:tc>
      </w:tr>
      <w:tr w14:paraId="1E21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0B7D86A9">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w:t>
            </w:r>
          </w:p>
        </w:tc>
        <w:tc>
          <w:tcPr>
            <w:tcW w:w="7088" w:type="dxa"/>
            <w:vAlign w:val="center"/>
          </w:tcPr>
          <w:p w14:paraId="43249AA8">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子痫前期风险预测二项</w:t>
            </w:r>
          </w:p>
        </w:tc>
      </w:tr>
      <w:tr w14:paraId="7861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179F69D5">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w:t>
            </w:r>
          </w:p>
        </w:tc>
        <w:tc>
          <w:tcPr>
            <w:tcW w:w="7088" w:type="dxa"/>
            <w:vAlign w:val="center"/>
          </w:tcPr>
          <w:p w14:paraId="5D3F066C">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血管内皮生长因子</w:t>
            </w:r>
          </w:p>
        </w:tc>
      </w:tr>
      <w:tr w14:paraId="17D0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395B196C">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w:t>
            </w:r>
          </w:p>
        </w:tc>
        <w:tc>
          <w:tcPr>
            <w:tcW w:w="7088" w:type="dxa"/>
            <w:vAlign w:val="center"/>
          </w:tcPr>
          <w:p w14:paraId="54E39B81">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T细胞亚群线粒体损伤检测</w:t>
            </w:r>
          </w:p>
        </w:tc>
      </w:tr>
      <w:tr w14:paraId="5F0F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32F267AC">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w:t>
            </w:r>
          </w:p>
        </w:tc>
        <w:tc>
          <w:tcPr>
            <w:tcW w:w="7088" w:type="dxa"/>
            <w:vAlign w:val="center"/>
          </w:tcPr>
          <w:p w14:paraId="48F3D719">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NK+T细胞溶酶体PH值检测</w:t>
            </w:r>
          </w:p>
        </w:tc>
      </w:tr>
      <w:tr w14:paraId="6703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3BBF68B6">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w:t>
            </w:r>
          </w:p>
        </w:tc>
        <w:tc>
          <w:tcPr>
            <w:tcW w:w="7088" w:type="dxa"/>
            <w:vAlign w:val="center"/>
          </w:tcPr>
          <w:p w14:paraId="5EEBE8D7">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白细胞染色体损伤检测</w:t>
            </w:r>
          </w:p>
        </w:tc>
      </w:tr>
      <w:tr w14:paraId="7002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348AE846">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w:t>
            </w:r>
          </w:p>
        </w:tc>
        <w:tc>
          <w:tcPr>
            <w:tcW w:w="7088" w:type="dxa"/>
            <w:vAlign w:val="center"/>
          </w:tcPr>
          <w:p w14:paraId="1982B0E5">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乙型肝炎病毒拉米夫定耐药基因检测</w:t>
            </w:r>
          </w:p>
        </w:tc>
      </w:tr>
      <w:tr w14:paraId="029E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3B7705B1">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14</w:t>
            </w:r>
          </w:p>
        </w:tc>
        <w:tc>
          <w:tcPr>
            <w:tcW w:w="7088" w:type="dxa"/>
            <w:vAlign w:val="center"/>
          </w:tcPr>
          <w:p w14:paraId="0E34E40B">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丙型肝炎病毒RNA测定(HCV-RNA)</w:t>
            </w:r>
          </w:p>
        </w:tc>
      </w:tr>
      <w:tr w14:paraId="7756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4533350F">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15</w:t>
            </w:r>
          </w:p>
        </w:tc>
        <w:tc>
          <w:tcPr>
            <w:tcW w:w="7088" w:type="dxa"/>
            <w:vAlign w:val="center"/>
          </w:tcPr>
          <w:p w14:paraId="310F07D5">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丙肝病毒基因分型</w:t>
            </w:r>
          </w:p>
        </w:tc>
      </w:tr>
      <w:tr w14:paraId="69B0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01FBC537">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16</w:t>
            </w:r>
          </w:p>
        </w:tc>
        <w:tc>
          <w:tcPr>
            <w:tcW w:w="7088" w:type="dxa"/>
            <w:vAlign w:val="center"/>
          </w:tcPr>
          <w:p w14:paraId="5E307095">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乙肝病毒基因分型测序</w:t>
            </w:r>
          </w:p>
        </w:tc>
      </w:tr>
      <w:tr w14:paraId="3403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4A4A4EFB">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17</w:t>
            </w:r>
          </w:p>
        </w:tc>
        <w:tc>
          <w:tcPr>
            <w:tcW w:w="7088" w:type="dxa"/>
            <w:vAlign w:val="center"/>
          </w:tcPr>
          <w:p w14:paraId="22443F58">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雷帕霉素（质谱法）</w:t>
            </w:r>
          </w:p>
        </w:tc>
      </w:tr>
      <w:tr w14:paraId="56FC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5F77BC88">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18</w:t>
            </w:r>
          </w:p>
        </w:tc>
        <w:tc>
          <w:tcPr>
            <w:tcW w:w="7088" w:type="dxa"/>
            <w:vAlign w:val="center"/>
          </w:tcPr>
          <w:p w14:paraId="0B0C5ACC">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FK506（质谱法）</w:t>
            </w:r>
          </w:p>
        </w:tc>
      </w:tr>
      <w:tr w14:paraId="09C65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0FEA960C">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19</w:t>
            </w:r>
          </w:p>
        </w:tc>
        <w:tc>
          <w:tcPr>
            <w:tcW w:w="7088" w:type="dxa"/>
            <w:vAlign w:val="center"/>
          </w:tcPr>
          <w:p w14:paraId="75688203">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乙肝病毒P区耐药基因测序</w:t>
            </w:r>
          </w:p>
        </w:tc>
      </w:tr>
      <w:tr w14:paraId="2AED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06877BB8">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20</w:t>
            </w:r>
          </w:p>
        </w:tc>
        <w:tc>
          <w:tcPr>
            <w:tcW w:w="7088" w:type="dxa"/>
            <w:vAlign w:val="center"/>
          </w:tcPr>
          <w:p w14:paraId="5A10B25C">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高灵敏度丙肝RNA(低拷贝HCV-RNA)</w:t>
            </w:r>
          </w:p>
        </w:tc>
      </w:tr>
      <w:tr w14:paraId="4DAC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7FCE1BBF">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21</w:t>
            </w:r>
          </w:p>
        </w:tc>
        <w:tc>
          <w:tcPr>
            <w:tcW w:w="7088" w:type="dxa"/>
            <w:vAlign w:val="center"/>
          </w:tcPr>
          <w:p w14:paraId="1086D84F">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幽门螺杆菌培养及鉴定+药敏试验</w:t>
            </w:r>
          </w:p>
        </w:tc>
      </w:tr>
      <w:tr w14:paraId="4F95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094441A4">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22</w:t>
            </w:r>
          </w:p>
        </w:tc>
        <w:tc>
          <w:tcPr>
            <w:tcW w:w="7088" w:type="dxa"/>
            <w:vAlign w:val="center"/>
          </w:tcPr>
          <w:p w14:paraId="61424E37">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环孢素(CYP3A4多态性)</w:t>
            </w:r>
          </w:p>
        </w:tc>
      </w:tr>
      <w:tr w14:paraId="1241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57C5C364">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23</w:t>
            </w:r>
          </w:p>
        </w:tc>
        <w:tc>
          <w:tcPr>
            <w:tcW w:w="7088" w:type="dxa"/>
            <w:vAlign w:val="center"/>
          </w:tcPr>
          <w:p w14:paraId="34745305">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化学药物用药指导的基因检测</w:t>
            </w:r>
          </w:p>
        </w:tc>
      </w:tr>
      <w:tr w14:paraId="7137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60B731BE">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24</w:t>
            </w:r>
          </w:p>
        </w:tc>
        <w:tc>
          <w:tcPr>
            <w:tcW w:w="7088" w:type="dxa"/>
            <w:vAlign w:val="center"/>
          </w:tcPr>
          <w:p w14:paraId="16C60EDC">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肺炎支原体RNA检测</w:t>
            </w:r>
          </w:p>
        </w:tc>
      </w:tr>
      <w:tr w14:paraId="4E706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024B2FA7">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25</w:t>
            </w:r>
          </w:p>
        </w:tc>
        <w:tc>
          <w:tcPr>
            <w:tcW w:w="7088" w:type="dxa"/>
            <w:vAlign w:val="center"/>
          </w:tcPr>
          <w:p w14:paraId="11CB539F">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遗传性耳聋基因检测</w:t>
            </w:r>
          </w:p>
        </w:tc>
      </w:tr>
      <w:tr w14:paraId="41EF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2000B36D">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26</w:t>
            </w:r>
          </w:p>
        </w:tc>
        <w:tc>
          <w:tcPr>
            <w:tcW w:w="7088" w:type="dxa"/>
            <w:vAlign w:val="center"/>
          </w:tcPr>
          <w:p w14:paraId="39DE6272">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地中海贫血基因检测（α-突变、α-缺失、β-突变）</w:t>
            </w:r>
          </w:p>
        </w:tc>
      </w:tr>
      <w:tr w14:paraId="0F67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2B9BA160">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27</w:t>
            </w:r>
          </w:p>
        </w:tc>
        <w:tc>
          <w:tcPr>
            <w:tcW w:w="7088" w:type="dxa"/>
            <w:vAlign w:val="center"/>
          </w:tcPr>
          <w:p w14:paraId="69CE78C7">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儿茶酚胺三项/五项（质谱法）</w:t>
            </w:r>
          </w:p>
        </w:tc>
      </w:tr>
      <w:tr w14:paraId="196B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7505C42C">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28</w:t>
            </w:r>
          </w:p>
        </w:tc>
        <w:tc>
          <w:tcPr>
            <w:tcW w:w="7088" w:type="dxa"/>
            <w:vAlign w:val="center"/>
          </w:tcPr>
          <w:p w14:paraId="08509578">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（1-3）-β-D葡聚糖检测（真菌G试验）</w:t>
            </w:r>
          </w:p>
        </w:tc>
      </w:tr>
      <w:tr w14:paraId="017C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515151E1">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29</w:t>
            </w:r>
          </w:p>
        </w:tc>
        <w:tc>
          <w:tcPr>
            <w:tcW w:w="7088" w:type="dxa"/>
            <w:vAlign w:val="center"/>
          </w:tcPr>
          <w:p w14:paraId="51CD6FA5">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曲霉菌抗原（GM试验）</w:t>
            </w:r>
          </w:p>
        </w:tc>
      </w:tr>
      <w:tr w14:paraId="3F5D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3CDAB322">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30</w:t>
            </w:r>
          </w:p>
        </w:tc>
        <w:tc>
          <w:tcPr>
            <w:tcW w:w="7088" w:type="dxa"/>
            <w:vAlign w:val="center"/>
          </w:tcPr>
          <w:p w14:paraId="0552169C">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VAP血脂亚组分</w:t>
            </w:r>
          </w:p>
        </w:tc>
      </w:tr>
      <w:tr w14:paraId="75EB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1D163A56">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31</w:t>
            </w:r>
          </w:p>
        </w:tc>
        <w:tc>
          <w:tcPr>
            <w:tcW w:w="7088" w:type="dxa"/>
            <w:vAlign w:val="center"/>
          </w:tcPr>
          <w:p w14:paraId="120191D0">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胆汁酸谱 16 项（质谱法）</w:t>
            </w:r>
          </w:p>
        </w:tc>
      </w:tr>
      <w:tr w14:paraId="42C6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32C48B3D">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32</w:t>
            </w:r>
          </w:p>
        </w:tc>
        <w:tc>
          <w:tcPr>
            <w:tcW w:w="7088" w:type="dxa"/>
            <w:vAlign w:val="center"/>
          </w:tcPr>
          <w:p w14:paraId="45DDFA5D">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类固醇激素 11 项（质谱法）</w:t>
            </w:r>
          </w:p>
        </w:tc>
      </w:tr>
      <w:tr w14:paraId="35EF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1B19F481">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33</w:t>
            </w:r>
          </w:p>
        </w:tc>
        <w:tc>
          <w:tcPr>
            <w:tcW w:w="7088" w:type="dxa"/>
            <w:vAlign w:val="center"/>
          </w:tcPr>
          <w:p w14:paraId="0C53297F">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HLA-B27基因分型检测(基因)</w:t>
            </w:r>
          </w:p>
        </w:tc>
      </w:tr>
      <w:tr w14:paraId="072C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43DA6DB5">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34</w:t>
            </w:r>
          </w:p>
        </w:tc>
        <w:tc>
          <w:tcPr>
            <w:tcW w:w="7088" w:type="dxa"/>
            <w:vAlign w:val="center"/>
          </w:tcPr>
          <w:p w14:paraId="0138D127">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异常糖链糖蛋白（TAP）</w:t>
            </w:r>
          </w:p>
        </w:tc>
      </w:tr>
      <w:tr w14:paraId="2877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3D3F7DAE">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35</w:t>
            </w:r>
          </w:p>
        </w:tc>
        <w:tc>
          <w:tcPr>
            <w:tcW w:w="7088" w:type="dxa"/>
            <w:vAlign w:val="center"/>
          </w:tcPr>
          <w:p w14:paraId="484D4AE4">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抗缪勒管激素（AMH）</w:t>
            </w:r>
          </w:p>
        </w:tc>
      </w:tr>
      <w:tr w14:paraId="33CC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5F5482DA">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36</w:t>
            </w:r>
          </w:p>
        </w:tc>
        <w:tc>
          <w:tcPr>
            <w:tcW w:w="7088" w:type="dxa"/>
            <w:vAlign w:val="center"/>
          </w:tcPr>
          <w:p w14:paraId="2753E55A">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亚甲基四氢叶酸还原酶</w:t>
            </w:r>
          </w:p>
        </w:tc>
      </w:tr>
      <w:tr w14:paraId="3D15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442E1B49">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37</w:t>
            </w:r>
          </w:p>
        </w:tc>
        <w:tc>
          <w:tcPr>
            <w:tcW w:w="7088" w:type="dxa"/>
            <w:vAlign w:val="center"/>
          </w:tcPr>
          <w:p w14:paraId="3EE9C0FB">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人附睾蛋白H4</w:t>
            </w:r>
          </w:p>
        </w:tc>
      </w:tr>
      <w:tr w14:paraId="2E22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031F7397">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38</w:t>
            </w:r>
          </w:p>
        </w:tc>
        <w:tc>
          <w:tcPr>
            <w:tcW w:w="7088" w:type="dxa"/>
            <w:vAlign w:val="center"/>
          </w:tcPr>
          <w:p w14:paraId="2FBFFF62">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别嘌呤醇(HLA-B多态性)</w:t>
            </w:r>
          </w:p>
        </w:tc>
      </w:tr>
      <w:tr w14:paraId="075F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77C98CE3">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39</w:t>
            </w:r>
          </w:p>
        </w:tc>
        <w:tc>
          <w:tcPr>
            <w:tcW w:w="7088" w:type="dxa"/>
            <w:vAlign w:val="center"/>
          </w:tcPr>
          <w:p w14:paraId="5348722B">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壳多糖酶3样蛋白1</w:t>
            </w:r>
          </w:p>
        </w:tc>
      </w:tr>
      <w:tr w14:paraId="089C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67F3EB99">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40</w:t>
            </w:r>
          </w:p>
        </w:tc>
        <w:tc>
          <w:tcPr>
            <w:tcW w:w="7088" w:type="dxa"/>
            <w:vAlign w:val="center"/>
          </w:tcPr>
          <w:p w14:paraId="643CF8EB">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结直肠癌血浆游离SEPT9甲基化检测</w:t>
            </w:r>
          </w:p>
        </w:tc>
      </w:tr>
      <w:tr w14:paraId="5F52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3D325369">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41</w:t>
            </w:r>
          </w:p>
        </w:tc>
        <w:tc>
          <w:tcPr>
            <w:tcW w:w="7088" w:type="dxa"/>
            <w:vAlign w:val="center"/>
          </w:tcPr>
          <w:p w14:paraId="54E5C3C0">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氨基酸 10 项</w:t>
            </w:r>
          </w:p>
        </w:tc>
      </w:tr>
      <w:tr w14:paraId="12AE0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5A6DACEF">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42</w:t>
            </w:r>
          </w:p>
        </w:tc>
        <w:tc>
          <w:tcPr>
            <w:tcW w:w="7088" w:type="dxa"/>
            <w:vAlign w:val="center"/>
          </w:tcPr>
          <w:p w14:paraId="6FAB34D0">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高血压基因检测</w:t>
            </w:r>
          </w:p>
        </w:tc>
      </w:tr>
      <w:tr w14:paraId="0E2F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45BD53DE">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43</w:t>
            </w:r>
          </w:p>
        </w:tc>
        <w:tc>
          <w:tcPr>
            <w:tcW w:w="7088" w:type="dxa"/>
            <w:vAlign w:val="center"/>
          </w:tcPr>
          <w:p w14:paraId="459F4278">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叶酸及含叶酸类药物(MTHFR多态性)</w:t>
            </w:r>
          </w:p>
        </w:tc>
      </w:tr>
      <w:tr w14:paraId="7DA7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2CBE1820">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44</w:t>
            </w:r>
          </w:p>
        </w:tc>
        <w:tc>
          <w:tcPr>
            <w:tcW w:w="7088" w:type="dxa"/>
            <w:vAlign w:val="center"/>
          </w:tcPr>
          <w:p w14:paraId="4F4264B7">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糖尿病基因检测</w:t>
            </w:r>
          </w:p>
        </w:tc>
      </w:tr>
      <w:tr w14:paraId="059E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4A61314F">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45</w:t>
            </w:r>
          </w:p>
        </w:tc>
        <w:tc>
          <w:tcPr>
            <w:tcW w:w="7088" w:type="dxa"/>
            <w:vAlign w:val="center"/>
          </w:tcPr>
          <w:p w14:paraId="07FAFED3">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诺如病毒核糖核酸定性检测</w:t>
            </w:r>
          </w:p>
        </w:tc>
      </w:tr>
      <w:tr w14:paraId="53C0D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3929350B">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46</w:t>
            </w:r>
          </w:p>
        </w:tc>
        <w:tc>
          <w:tcPr>
            <w:tcW w:w="7088" w:type="dxa"/>
            <w:vAlign w:val="center"/>
          </w:tcPr>
          <w:p w14:paraId="2D3E834E">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外周血染色体核型分析（400带）</w:t>
            </w:r>
          </w:p>
        </w:tc>
      </w:tr>
      <w:tr w14:paraId="29F5D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09F1BD9E">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47</w:t>
            </w:r>
          </w:p>
        </w:tc>
        <w:tc>
          <w:tcPr>
            <w:tcW w:w="7088" w:type="dxa"/>
            <w:vAlign w:val="center"/>
          </w:tcPr>
          <w:p w14:paraId="44B5F141">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柯萨奇病毒RNA检测</w:t>
            </w:r>
          </w:p>
        </w:tc>
      </w:tr>
      <w:tr w14:paraId="3A4B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245BF755">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48</w:t>
            </w:r>
          </w:p>
        </w:tc>
        <w:tc>
          <w:tcPr>
            <w:tcW w:w="7088" w:type="dxa"/>
            <w:vAlign w:val="center"/>
          </w:tcPr>
          <w:p w14:paraId="4E38648C">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肠道病毒70RNA检测</w:t>
            </w:r>
          </w:p>
        </w:tc>
      </w:tr>
      <w:tr w14:paraId="7F5F5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62AD5CC9">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49</w:t>
            </w:r>
          </w:p>
        </w:tc>
        <w:tc>
          <w:tcPr>
            <w:tcW w:w="7088" w:type="dxa"/>
            <w:vAlign w:val="center"/>
          </w:tcPr>
          <w:p w14:paraId="16EF4BCD">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手足口病EV-RNA</w:t>
            </w:r>
          </w:p>
        </w:tc>
      </w:tr>
      <w:tr w14:paraId="7DD7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124DD3AA">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50</w:t>
            </w:r>
          </w:p>
        </w:tc>
        <w:tc>
          <w:tcPr>
            <w:tcW w:w="7088" w:type="dxa"/>
            <w:vAlign w:val="center"/>
          </w:tcPr>
          <w:p w14:paraId="3C8E3395">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龋齿易感性检测</w:t>
            </w:r>
          </w:p>
        </w:tc>
      </w:tr>
      <w:tr w14:paraId="3355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3498C141">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51</w:t>
            </w:r>
          </w:p>
        </w:tc>
        <w:tc>
          <w:tcPr>
            <w:tcW w:w="7088" w:type="dxa"/>
            <w:vAlign w:val="center"/>
          </w:tcPr>
          <w:p w14:paraId="5CD12B53">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P16/Ki-67四联检</w:t>
            </w:r>
          </w:p>
        </w:tc>
      </w:tr>
      <w:tr w14:paraId="01EE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20032856">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52</w:t>
            </w:r>
          </w:p>
        </w:tc>
        <w:tc>
          <w:tcPr>
            <w:tcW w:w="7088" w:type="dxa"/>
            <w:vAlign w:val="center"/>
          </w:tcPr>
          <w:p w14:paraId="07C3E360">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百日咳杆菌核酸检测</w:t>
            </w:r>
          </w:p>
        </w:tc>
      </w:tr>
      <w:tr w14:paraId="53A2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0EE7D69D">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53</w:t>
            </w:r>
          </w:p>
        </w:tc>
        <w:tc>
          <w:tcPr>
            <w:tcW w:w="7088" w:type="dxa"/>
            <w:vAlign w:val="center"/>
          </w:tcPr>
          <w:p w14:paraId="5C21B8DA">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乙肝RNA检测</w:t>
            </w:r>
          </w:p>
        </w:tc>
      </w:tr>
      <w:tr w14:paraId="7402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0EBE4CB5">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54</w:t>
            </w:r>
          </w:p>
        </w:tc>
        <w:tc>
          <w:tcPr>
            <w:tcW w:w="7088" w:type="dxa"/>
            <w:vAlign w:val="center"/>
          </w:tcPr>
          <w:p w14:paraId="1E558EE0">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新生儿遗传代谢病筛查</w:t>
            </w:r>
          </w:p>
        </w:tc>
      </w:tr>
      <w:tr w14:paraId="42AF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250E279F">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55</w:t>
            </w:r>
          </w:p>
        </w:tc>
        <w:tc>
          <w:tcPr>
            <w:tcW w:w="7088" w:type="dxa"/>
            <w:vAlign w:val="center"/>
          </w:tcPr>
          <w:p w14:paraId="12CE8227">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他汀类药物（ApoE多态性+SLCO1B1多态性）</w:t>
            </w:r>
          </w:p>
        </w:tc>
      </w:tr>
      <w:tr w14:paraId="26C8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089B7368">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56</w:t>
            </w:r>
          </w:p>
        </w:tc>
        <w:tc>
          <w:tcPr>
            <w:tcW w:w="7088" w:type="dxa"/>
            <w:vAlign w:val="center"/>
          </w:tcPr>
          <w:p w14:paraId="32919D15">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阿司匹林(COX-1多态性)</w:t>
            </w:r>
          </w:p>
        </w:tc>
      </w:tr>
      <w:tr w14:paraId="1DA2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0F1CAA86">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57</w:t>
            </w:r>
          </w:p>
        </w:tc>
        <w:tc>
          <w:tcPr>
            <w:tcW w:w="7088" w:type="dxa"/>
            <w:vAlign w:val="center"/>
          </w:tcPr>
          <w:p w14:paraId="6B228840">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阿司匹林(GPIa多态性)</w:t>
            </w:r>
          </w:p>
        </w:tc>
      </w:tr>
      <w:tr w14:paraId="433B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47D38E54">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58</w:t>
            </w:r>
          </w:p>
        </w:tc>
        <w:tc>
          <w:tcPr>
            <w:tcW w:w="7088" w:type="dxa"/>
            <w:vAlign w:val="center"/>
          </w:tcPr>
          <w:p w14:paraId="44C1B78E">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老年痴呆风险预测（AOPE）</w:t>
            </w:r>
          </w:p>
        </w:tc>
      </w:tr>
      <w:tr w14:paraId="66AA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2C45998C">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59</w:t>
            </w:r>
          </w:p>
        </w:tc>
        <w:tc>
          <w:tcPr>
            <w:tcW w:w="7088" w:type="dxa"/>
            <w:vAlign w:val="center"/>
          </w:tcPr>
          <w:p w14:paraId="2789D0A2">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H型高血压(脑卒中风险)(MTHFR多态性)</w:t>
            </w:r>
          </w:p>
        </w:tc>
      </w:tr>
      <w:tr w14:paraId="42FD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422E6A5C">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60</w:t>
            </w:r>
          </w:p>
        </w:tc>
        <w:tc>
          <w:tcPr>
            <w:tcW w:w="7088" w:type="dxa"/>
            <w:vAlign w:val="center"/>
          </w:tcPr>
          <w:p w14:paraId="3CF037D2">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“高血压，高血糖，高血脂”用药基因检测</w:t>
            </w:r>
          </w:p>
          <w:p w14:paraId="0CCB4C87">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（66 位点，27 种药物）</w:t>
            </w:r>
          </w:p>
        </w:tc>
      </w:tr>
      <w:tr w14:paraId="687D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60C8B935">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61</w:t>
            </w:r>
          </w:p>
        </w:tc>
        <w:tc>
          <w:tcPr>
            <w:tcW w:w="7088" w:type="dxa"/>
            <w:vAlign w:val="center"/>
          </w:tcPr>
          <w:p w14:paraId="52B589A4">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肺结节良恶性鉴别DNA甲基化检测</w:t>
            </w:r>
          </w:p>
        </w:tc>
      </w:tr>
      <w:tr w14:paraId="38118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5BBD76B9">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62</w:t>
            </w:r>
          </w:p>
        </w:tc>
        <w:tc>
          <w:tcPr>
            <w:tcW w:w="7088" w:type="dxa"/>
            <w:vAlign w:val="center"/>
          </w:tcPr>
          <w:p w14:paraId="026D3729">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真菌DNA检测</w:t>
            </w:r>
          </w:p>
        </w:tc>
      </w:tr>
      <w:tr w14:paraId="488ED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27F641CD">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63</w:t>
            </w:r>
          </w:p>
        </w:tc>
        <w:tc>
          <w:tcPr>
            <w:tcW w:w="7088" w:type="dxa"/>
            <w:vAlign w:val="center"/>
          </w:tcPr>
          <w:p w14:paraId="155167B6">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肺炎支原体核酸及耐药突变位点检测</w:t>
            </w:r>
          </w:p>
        </w:tc>
      </w:tr>
      <w:tr w14:paraId="2456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58623C82">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64</w:t>
            </w:r>
          </w:p>
        </w:tc>
        <w:tc>
          <w:tcPr>
            <w:tcW w:w="7088" w:type="dxa"/>
            <w:vAlign w:val="center"/>
          </w:tcPr>
          <w:p w14:paraId="3FC106B0">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胃部疾病相关检测组合三项（胃泌素-17、胃蛋白酶原-I、胃蛋白酶原-II）</w:t>
            </w:r>
          </w:p>
        </w:tc>
      </w:tr>
      <w:tr w14:paraId="21D0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1E860D98">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65</w:t>
            </w:r>
          </w:p>
        </w:tc>
        <w:tc>
          <w:tcPr>
            <w:tcW w:w="7088" w:type="dxa"/>
            <w:vAlign w:val="center"/>
          </w:tcPr>
          <w:p w14:paraId="4B5D8EE2">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呼吸道12项病原体核酸检测</w:t>
            </w:r>
          </w:p>
        </w:tc>
      </w:tr>
      <w:tr w14:paraId="38FF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3952F844">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66</w:t>
            </w:r>
          </w:p>
        </w:tc>
        <w:tc>
          <w:tcPr>
            <w:tcW w:w="7088" w:type="dxa"/>
            <w:vAlign w:val="center"/>
          </w:tcPr>
          <w:p w14:paraId="5A7AE220">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呼吸道病原体核酸检测7项（甲型流感病毒、乙型流感病毒、呼吸道合胞病毒、人副流感病毒、腺病毒、肺炎支原体、肺炎衣原体）</w:t>
            </w:r>
          </w:p>
        </w:tc>
      </w:tr>
      <w:tr w14:paraId="399FC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55879383">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67</w:t>
            </w:r>
          </w:p>
        </w:tc>
        <w:tc>
          <w:tcPr>
            <w:tcW w:w="7088" w:type="dxa"/>
            <w:vAlign w:val="center"/>
          </w:tcPr>
          <w:p w14:paraId="71E83307">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呼吸道病原体核酸检测2项（肺炎支原体、肺炎衣原体）</w:t>
            </w:r>
          </w:p>
        </w:tc>
      </w:tr>
      <w:tr w14:paraId="7288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00CA297B">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68</w:t>
            </w:r>
          </w:p>
        </w:tc>
        <w:tc>
          <w:tcPr>
            <w:tcW w:w="7088" w:type="dxa"/>
            <w:vAlign w:val="center"/>
          </w:tcPr>
          <w:p w14:paraId="29592756">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呼吸道病原体核酸检测3项（呼吸道合胞病毒、人副流感病毒、腺病毒）</w:t>
            </w:r>
          </w:p>
        </w:tc>
      </w:tr>
      <w:tr w14:paraId="180C9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67536C94">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69</w:t>
            </w:r>
          </w:p>
        </w:tc>
        <w:tc>
          <w:tcPr>
            <w:tcW w:w="7088" w:type="dxa"/>
            <w:vAlign w:val="center"/>
          </w:tcPr>
          <w:p w14:paraId="7D477074">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类固醇6项（质谱法）</w:t>
            </w:r>
          </w:p>
        </w:tc>
      </w:tr>
      <w:tr w14:paraId="67FE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5E5E0538">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70</w:t>
            </w:r>
          </w:p>
        </w:tc>
        <w:tc>
          <w:tcPr>
            <w:tcW w:w="7088" w:type="dxa"/>
            <w:vAlign w:val="center"/>
          </w:tcPr>
          <w:p w14:paraId="3DC9DB81">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淋球菌RNA检测</w:t>
            </w:r>
          </w:p>
        </w:tc>
      </w:tr>
      <w:tr w14:paraId="1BB9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74E1C93A">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71</w:t>
            </w:r>
          </w:p>
        </w:tc>
        <w:tc>
          <w:tcPr>
            <w:tcW w:w="7088" w:type="dxa"/>
            <w:vAlign w:val="center"/>
          </w:tcPr>
          <w:p w14:paraId="74D98BD4">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丙戊酸钠（UGT1A6多态性）</w:t>
            </w:r>
          </w:p>
        </w:tc>
      </w:tr>
      <w:tr w14:paraId="197F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1D70226D">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72</w:t>
            </w:r>
          </w:p>
        </w:tc>
        <w:tc>
          <w:tcPr>
            <w:tcW w:w="7088" w:type="dxa"/>
            <w:vAlign w:val="center"/>
          </w:tcPr>
          <w:p w14:paraId="3D842899">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人粪便SDC2甲基化检测</w:t>
            </w:r>
          </w:p>
        </w:tc>
      </w:tr>
      <w:tr w14:paraId="71D3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38A2FCD4">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73</w:t>
            </w:r>
          </w:p>
        </w:tc>
        <w:tc>
          <w:tcPr>
            <w:tcW w:w="7088" w:type="dxa"/>
            <w:vAlign w:val="center"/>
          </w:tcPr>
          <w:p w14:paraId="5ABA121A">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结直肠癌Septin9甲基化检测</w:t>
            </w:r>
          </w:p>
        </w:tc>
      </w:tr>
      <w:tr w14:paraId="17A8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404B7FB9">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74</w:t>
            </w:r>
          </w:p>
        </w:tc>
        <w:tc>
          <w:tcPr>
            <w:tcW w:w="7088" w:type="dxa"/>
            <w:vAlign w:val="center"/>
          </w:tcPr>
          <w:p w14:paraId="6AF0B4D9">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胎盘生长因子（PIGF）</w:t>
            </w:r>
          </w:p>
        </w:tc>
      </w:tr>
      <w:tr w14:paraId="2C69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7865FADA">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75</w:t>
            </w:r>
          </w:p>
        </w:tc>
        <w:tc>
          <w:tcPr>
            <w:tcW w:w="7088" w:type="dxa"/>
            <w:vAlign w:val="center"/>
          </w:tcPr>
          <w:p w14:paraId="31E303CE">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细胞DNA定量检测</w:t>
            </w:r>
          </w:p>
        </w:tc>
      </w:tr>
      <w:tr w14:paraId="1D4D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70E3B3EF">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76</w:t>
            </w:r>
          </w:p>
        </w:tc>
        <w:tc>
          <w:tcPr>
            <w:tcW w:w="7088" w:type="dxa"/>
            <w:vAlign w:val="center"/>
          </w:tcPr>
          <w:p w14:paraId="42949F01">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TORCH核酸检测（TOXO-DNA、RV-RNA、CMY-DNA、HSV-I-DNA、HSV-II-DNA）</w:t>
            </w:r>
          </w:p>
        </w:tc>
      </w:tr>
      <w:tr w14:paraId="40268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11A30105">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77</w:t>
            </w:r>
          </w:p>
        </w:tc>
        <w:tc>
          <w:tcPr>
            <w:tcW w:w="7088" w:type="dxa"/>
            <w:vAlign w:val="center"/>
          </w:tcPr>
          <w:p w14:paraId="5A43B555">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结核分枝杆菌核酸检测</w:t>
            </w:r>
          </w:p>
          <w:p w14:paraId="27DE2651">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（TB-DNA）</w:t>
            </w:r>
          </w:p>
        </w:tc>
      </w:tr>
      <w:tr w14:paraId="57B1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3C896AF8">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78</w:t>
            </w:r>
          </w:p>
        </w:tc>
        <w:tc>
          <w:tcPr>
            <w:tcW w:w="7088" w:type="dxa"/>
            <w:vAlign w:val="center"/>
          </w:tcPr>
          <w:p w14:paraId="6F6EC3D8">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单纯疱疹病毒Ⅰ型/Ⅱ型DNA检测</w:t>
            </w:r>
          </w:p>
        </w:tc>
      </w:tr>
      <w:tr w14:paraId="08BE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439C9006">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79</w:t>
            </w:r>
          </w:p>
        </w:tc>
        <w:tc>
          <w:tcPr>
            <w:tcW w:w="7088" w:type="dxa"/>
            <w:vAlign w:val="center"/>
          </w:tcPr>
          <w:p w14:paraId="5897BD8E">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巨细胞病毒DNA扩增定量检测（CMV-DNA）</w:t>
            </w:r>
          </w:p>
        </w:tc>
      </w:tr>
      <w:tr w14:paraId="0AB97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62E6CB91">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80</w:t>
            </w:r>
          </w:p>
        </w:tc>
        <w:tc>
          <w:tcPr>
            <w:tcW w:w="7088" w:type="dxa"/>
            <w:vAlign w:val="center"/>
          </w:tcPr>
          <w:p w14:paraId="3070F6FA">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EB病毒DNA扩增定量检测</w:t>
            </w:r>
          </w:p>
          <w:p w14:paraId="72B6FAB1">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（EB-DNA）</w:t>
            </w:r>
          </w:p>
        </w:tc>
      </w:tr>
      <w:tr w14:paraId="3252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1342AE0F">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81</w:t>
            </w:r>
          </w:p>
        </w:tc>
        <w:tc>
          <w:tcPr>
            <w:tcW w:w="7088" w:type="dxa"/>
            <w:vAlign w:val="center"/>
          </w:tcPr>
          <w:p w14:paraId="40DFA69A">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感染病原体宏基因组检测（DNA+RNA）</w:t>
            </w:r>
          </w:p>
        </w:tc>
      </w:tr>
      <w:tr w14:paraId="4DDF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3ABA51B1">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82</w:t>
            </w:r>
          </w:p>
        </w:tc>
        <w:tc>
          <w:tcPr>
            <w:tcW w:w="7088" w:type="dxa"/>
            <w:vAlign w:val="center"/>
          </w:tcPr>
          <w:p w14:paraId="3202B657">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感染病原体宏基因组检测（DNA）</w:t>
            </w:r>
          </w:p>
        </w:tc>
      </w:tr>
      <w:tr w14:paraId="3B42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00A32C73">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83</w:t>
            </w:r>
          </w:p>
        </w:tc>
        <w:tc>
          <w:tcPr>
            <w:tcW w:w="7088" w:type="dxa"/>
            <w:vAlign w:val="center"/>
          </w:tcPr>
          <w:p w14:paraId="75433933">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外周血染色体核型分析（550带）</w:t>
            </w:r>
          </w:p>
        </w:tc>
      </w:tr>
      <w:tr w14:paraId="16F4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64409D66">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84</w:t>
            </w:r>
          </w:p>
        </w:tc>
        <w:tc>
          <w:tcPr>
            <w:tcW w:w="7088" w:type="dxa"/>
            <w:vAlign w:val="center"/>
          </w:tcPr>
          <w:p w14:paraId="2250924A">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结核感染T细胞检测(ELISA)</w:t>
            </w:r>
          </w:p>
        </w:tc>
      </w:tr>
      <w:tr w14:paraId="2C46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3FAD5AD9">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85</w:t>
            </w:r>
          </w:p>
        </w:tc>
        <w:tc>
          <w:tcPr>
            <w:tcW w:w="7088" w:type="dxa"/>
            <w:vAlign w:val="center"/>
          </w:tcPr>
          <w:p w14:paraId="5C157C15">
            <w:pPr>
              <w:widowControl/>
              <w:adjustRightInd/>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结核感染T细胞(斑点法)</w:t>
            </w:r>
          </w:p>
        </w:tc>
      </w:tr>
      <w:tr w14:paraId="17800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0CD6F90F">
            <w:pPr>
              <w:widowControl/>
              <w:adjustRightInd/>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86</w:t>
            </w:r>
          </w:p>
        </w:tc>
        <w:tc>
          <w:tcPr>
            <w:tcW w:w="7088" w:type="dxa"/>
            <w:vAlign w:val="center"/>
          </w:tcPr>
          <w:p w14:paraId="7783F404">
            <w:pPr>
              <w:widowControl/>
              <w:adjustRightInd/>
              <w:jc w:val="both"/>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蛋白C活性测定</w:t>
            </w:r>
          </w:p>
        </w:tc>
      </w:tr>
      <w:tr w14:paraId="03BC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3" w:type="dxa"/>
            <w:vAlign w:val="center"/>
          </w:tcPr>
          <w:p w14:paraId="7E206118">
            <w:pPr>
              <w:widowControl/>
              <w:adjustRightInd/>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87</w:t>
            </w:r>
          </w:p>
        </w:tc>
        <w:tc>
          <w:tcPr>
            <w:tcW w:w="7088" w:type="dxa"/>
            <w:vAlign w:val="center"/>
          </w:tcPr>
          <w:p w14:paraId="719F6D63">
            <w:pPr>
              <w:widowControl/>
              <w:adjustRightInd/>
              <w:jc w:val="both"/>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蛋白S活性测定</w:t>
            </w:r>
          </w:p>
        </w:tc>
      </w:tr>
    </w:tbl>
    <w:p w14:paraId="15CBD764">
      <w:pPr>
        <w:widowControl/>
        <w:adjustRightInd/>
        <w:jc w:val="center"/>
        <w:textAlignment w:val="center"/>
        <w:rPr>
          <w:rFonts w:ascii="宋体" w:hAnsi="宋体" w:cs="宋体"/>
          <w:color w:val="auto"/>
          <w:kern w:val="0"/>
          <w:sz w:val="24"/>
          <w:highlight w:val="none"/>
          <w:lang w:bidi="ar"/>
        </w:rPr>
      </w:pPr>
    </w:p>
    <w:p w14:paraId="514FF116">
      <w:pPr>
        <w:numPr>
          <w:ilvl w:val="0"/>
          <w:numId w:val="2"/>
        </w:numPr>
        <w:autoSpaceDE w:val="0"/>
        <w:autoSpaceDN w:val="0"/>
        <w:adjustRightInd/>
        <w:rPr>
          <w:rFonts w:ascii="宋体" w:hAnsi="宋体" w:cs="宋体"/>
          <w:b/>
          <w:bCs/>
          <w:snapToGrid w:val="0"/>
          <w:color w:val="auto"/>
          <w:sz w:val="24"/>
          <w:highlight w:val="none"/>
        </w:rPr>
      </w:pPr>
      <w:r>
        <w:rPr>
          <w:rFonts w:hint="eastAsia" w:ascii="宋体" w:hAnsi="宋体" w:cs="宋体"/>
          <w:b/>
          <w:bCs/>
          <w:snapToGrid w:val="0"/>
          <w:color w:val="auto"/>
          <w:sz w:val="24"/>
          <w:highlight w:val="none"/>
        </w:rPr>
        <w:t>维生素检测项目清单：</w:t>
      </w:r>
    </w:p>
    <w:tbl>
      <w:tblPr>
        <w:tblStyle w:val="63"/>
        <w:tblW w:w="8379"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7088"/>
      </w:tblGrid>
      <w:tr w14:paraId="1B690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1" w:type="dxa"/>
            <w:vAlign w:val="center"/>
          </w:tcPr>
          <w:p w14:paraId="4C777380">
            <w:pPr>
              <w:widowControl/>
              <w:adjustRightInd/>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7088" w:type="dxa"/>
            <w:vAlign w:val="center"/>
          </w:tcPr>
          <w:p w14:paraId="5337565A">
            <w:pPr>
              <w:widowControl/>
              <w:adjustRightInd/>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项目名称</w:t>
            </w:r>
          </w:p>
        </w:tc>
      </w:tr>
      <w:tr w14:paraId="556E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1" w:type="dxa"/>
            <w:vAlign w:val="center"/>
          </w:tcPr>
          <w:p w14:paraId="0DA08723">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7088" w:type="dxa"/>
            <w:vAlign w:val="center"/>
          </w:tcPr>
          <w:p w14:paraId="1BA2E490">
            <w:pPr>
              <w:widowControl/>
              <w:adjustRightInd/>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维生素五项（A、D2、D3、总D、E）</w:t>
            </w:r>
          </w:p>
        </w:tc>
      </w:tr>
      <w:tr w14:paraId="3997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1" w:type="dxa"/>
            <w:vAlign w:val="center"/>
          </w:tcPr>
          <w:p w14:paraId="3620C82C">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w:t>
            </w:r>
          </w:p>
        </w:tc>
        <w:tc>
          <w:tcPr>
            <w:tcW w:w="7088" w:type="dxa"/>
            <w:vAlign w:val="center"/>
          </w:tcPr>
          <w:p w14:paraId="699CCBF2">
            <w:pPr>
              <w:widowControl/>
              <w:adjustRightInd/>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维生素 6 项（A、D2、D3、总D、E、K）</w:t>
            </w:r>
          </w:p>
        </w:tc>
      </w:tr>
      <w:tr w14:paraId="1220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1" w:type="dxa"/>
            <w:vAlign w:val="center"/>
          </w:tcPr>
          <w:p w14:paraId="01205201">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w:t>
            </w:r>
          </w:p>
        </w:tc>
        <w:tc>
          <w:tcPr>
            <w:tcW w:w="7088" w:type="dxa"/>
            <w:vAlign w:val="center"/>
          </w:tcPr>
          <w:p w14:paraId="16FE7727">
            <w:pPr>
              <w:widowControl/>
              <w:adjustRightInd/>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维生素 9项（A、D2、D3、总D、E、K、B1、B2、B9）</w:t>
            </w:r>
          </w:p>
        </w:tc>
      </w:tr>
      <w:tr w14:paraId="77DF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1" w:type="dxa"/>
            <w:vAlign w:val="center"/>
          </w:tcPr>
          <w:p w14:paraId="1B0BA717">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w:t>
            </w:r>
          </w:p>
        </w:tc>
        <w:tc>
          <w:tcPr>
            <w:tcW w:w="7088" w:type="dxa"/>
            <w:vAlign w:val="center"/>
          </w:tcPr>
          <w:p w14:paraId="001287BF">
            <w:pPr>
              <w:widowControl/>
              <w:adjustRightInd/>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维生素14项（A、D2、D3、总D、E、K、B1、B2、B3、B5、B6、B7、B9、B12）</w:t>
            </w:r>
          </w:p>
        </w:tc>
      </w:tr>
      <w:tr w14:paraId="64C6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1" w:type="dxa"/>
            <w:vAlign w:val="center"/>
          </w:tcPr>
          <w:p w14:paraId="5B2E46AD">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w:t>
            </w:r>
          </w:p>
        </w:tc>
        <w:tc>
          <w:tcPr>
            <w:tcW w:w="7088" w:type="dxa"/>
            <w:vAlign w:val="center"/>
          </w:tcPr>
          <w:p w14:paraId="6AF914AD">
            <w:pPr>
              <w:widowControl/>
              <w:adjustRightInd/>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水溶性维生素8项（B1、B2、B3、B5、B6、B7、B9、B12）</w:t>
            </w:r>
          </w:p>
        </w:tc>
      </w:tr>
      <w:tr w14:paraId="0561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1" w:type="dxa"/>
            <w:vAlign w:val="center"/>
          </w:tcPr>
          <w:p w14:paraId="0B27E132">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w:t>
            </w:r>
          </w:p>
        </w:tc>
        <w:tc>
          <w:tcPr>
            <w:tcW w:w="7088" w:type="dxa"/>
            <w:vAlign w:val="center"/>
          </w:tcPr>
          <w:p w14:paraId="2953D492">
            <w:pPr>
              <w:widowControl/>
              <w:adjustRightInd/>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各类维生素检测（质谱法）</w:t>
            </w:r>
          </w:p>
        </w:tc>
      </w:tr>
    </w:tbl>
    <w:p w14:paraId="675C25B3">
      <w:pPr>
        <w:adjustRightInd/>
        <w:spacing w:line="360" w:lineRule="auto"/>
        <w:jc w:val="left"/>
        <w:rPr>
          <w:rFonts w:ascii="宋体" w:hAnsi="宋体" w:cs="宋体"/>
          <w:b/>
          <w:color w:val="auto"/>
          <w:szCs w:val="21"/>
          <w:highlight w:val="none"/>
        </w:rPr>
      </w:pPr>
    </w:p>
    <w:p w14:paraId="05D9B0E9">
      <w:pPr>
        <w:numPr>
          <w:ilvl w:val="0"/>
          <w:numId w:val="2"/>
        </w:numPr>
        <w:autoSpaceDE w:val="0"/>
        <w:autoSpaceDN w:val="0"/>
        <w:adjustRightInd/>
        <w:rPr>
          <w:rFonts w:ascii="宋体" w:hAnsi="宋体" w:cs="宋体"/>
          <w:b/>
          <w:bCs/>
          <w:snapToGrid w:val="0"/>
          <w:color w:val="auto"/>
          <w:sz w:val="24"/>
          <w:highlight w:val="none"/>
        </w:rPr>
      </w:pPr>
      <w:r>
        <w:rPr>
          <w:rFonts w:hint="eastAsia" w:ascii="宋体" w:hAnsi="宋体" w:cs="宋体"/>
          <w:b/>
          <w:bCs/>
          <w:snapToGrid w:val="0"/>
          <w:color w:val="auto"/>
          <w:sz w:val="24"/>
          <w:highlight w:val="none"/>
        </w:rPr>
        <w:t>病理标本诊断项目清单：</w:t>
      </w:r>
    </w:p>
    <w:tbl>
      <w:tblPr>
        <w:tblStyle w:val="63"/>
        <w:tblW w:w="8379"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7088"/>
      </w:tblGrid>
      <w:tr w14:paraId="7A863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1" w:type="dxa"/>
            <w:vAlign w:val="center"/>
          </w:tcPr>
          <w:p w14:paraId="7C963077">
            <w:pPr>
              <w:widowControl/>
              <w:adjustRightInd/>
              <w:jc w:val="center"/>
              <w:textAlignment w:val="center"/>
              <w:rPr>
                <w:rFonts w:ascii="宋体" w:hAnsi="宋体" w:cs="宋体"/>
                <w:color w:val="auto"/>
                <w:sz w:val="24"/>
                <w:highlight w:val="none"/>
              </w:rPr>
            </w:pPr>
            <w:r>
              <w:rPr>
                <w:rFonts w:hint="eastAsia" w:ascii="宋体" w:hAnsi="宋体" w:cs="宋体"/>
                <w:b/>
                <w:bCs/>
                <w:color w:val="auto"/>
                <w:sz w:val="24"/>
                <w:highlight w:val="none"/>
              </w:rPr>
              <w:t>序号</w:t>
            </w:r>
          </w:p>
        </w:tc>
        <w:tc>
          <w:tcPr>
            <w:tcW w:w="7088" w:type="dxa"/>
            <w:vAlign w:val="center"/>
          </w:tcPr>
          <w:p w14:paraId="389C55DF">
            <w:pPr>
              <w:widowControl/>
              <w:adjustRightInd/>
              <w:jc w:val="center"/>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项目名称</w:t>
            </w:r>
          </w:p>
        </w:tc>
      </w:tr>
      <w:tr w14:paraId="5246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1" w:type="dxa"/>
            <w:vAlign w:val="center"/>
          </w:tcPr>
          <w:p w14:paraId="50BCB7D3">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7088" w:type="dxa"/>
            <w:vAlign w:val="center"/>
          </w:tcPr>
          <w:p w14:paraId="490976F2">
            <w:pPr>
              <w:widowControl/>
              <w:adjustRightInd/>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宫颈LEEP标本</w:t>
            </w:r>
          </w:p>
        </w:tc>
      </w:tr>
      <w:tr w14:paraId="2EF2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1" w:type="dxa"/>
            <w:vAlign w:val="center"/>
          </w:tcPr>
          <w:p w14:paraId="64730659">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w:t>
            </w:r>
          </w:p>
        </w:tc>
        <w:tc>
          <w:tcPr>
            <w:tcW w:w="7088" w:type="dxa"/>
            <w:vAlign w:val="center"/>
          </w:tcPr>
          <w:p w14:paraId="09925156">
            <w:pPr>
              <w:widowControl/>
              <w:adjustRightInd/>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各系统肿瘤根治清扫标本</w:t>
            </w:r>
          </w:p>
        </w:tc>
      </w:tr>
      <w:tr w14:paraId="4B1D9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1" w:type="dxa"/>
            <w:vAlign w:val="center"/>
          </w:tcPr>
          <w:p w14:paraId="37777999">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w:t>
            </w:r>
          </w:p>
        </w:tc>
        <w:tc>
          <w:tcPr>
            <w:tcW w:w="7088" w:type="dxa"/>
            <w:vAlign w:val="center"/>
          </w:tcPr>
          <w:p w14:paraId="34A64BFF">
            <w:pPr>
              <w:widowControl/>
              <w:adjustRightInd/>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宫颈活检</w:t>
            </w:r>
          </w:p>
        </w:tc>
      </w:tr>
      <w:tr w14:paraId="5ABD7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1" w:type="dxa"/>
            <w:vAlign w:val="center"/>
          </w:tcPr>
          <w:p w14:paraId="0E30ADCB">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w:t>
            </w:r>
          </w:p>
        </w:tc>
        <w:tc>
          <w:tcPr>
            <w:tcW w:w="7088" w:type="dxa"/>
            <w:vAlign w:val="center"/>
          </w:tcPr>
          <w:p w14:paraId="518389CD">
            <w:pPr>
              <w:widowControl/>
              <w:adjustRightInd/>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宫颈赘生物</w:t>
            </w:r>
          </w:p>
        </w:tc>
      </w:tr>
      <w:tr w14:paraId="3C98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1" w:type="dxa"/>
            <w:vAlign w:val="center"/>
          </w:tcPr>
          <w:p w14:paraId="142211C1">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w:t>
            </w:r>
          </w:p>
        </w:tc>
        <w:tc>
          <w:tcPr>
            <w:tcW w:w="7088" w:type="dxa"/>
            <w:vAlign w:val="center"/>
          </w:tcPr>
          <w:p w14:paraId="5F7B7763">
            <w:pPr>
              <w:widowControl/>
              <w:adjustRightInd/>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阑尾</w:t>
            </w:r>
          </w:p>
        </w:tc>
      </w:tr>
      <w:tr w14:paraId="60DA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1" w:type="dxa"/>
            <w:vAlign w:val="center"/>
          </w:tcPr>
          <w:p w14:paraId="013D9861">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w:t>
            </w:r>
          </w:p>
        </w:tc>
        <w:tc>
          <w:tcPr>
            <w:tcW w:w="7088" w:type="dxa"/>
            <w:vAlign w:val="center"/>
          </w:tcPr>
          <w:p w14:paraId="234DB1F3">
            <w:pPr>
              <w:widowControl/>
              <w:adjustRightInd/>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病理单克隆抗体检测</w:t>
            </w:r>
          </w:p>
        </w:tc>
      </w:tr>
      <w:tr w14:paraId="5073C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1" w:type="dxa"/>
            <w:vAlign w:val="center"/>
          </w:tcPr>
          <w:p w14:paraId="0B5C9FEC">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w:t>
            </w:r>
          </w:p>
        </w:tc>
        <w:tc>
          <w:tcPr>
            <w:tcW w:w="7088" w:type="dxa"/>
            <w:vAlign w:val="center"/>
          </w:tcPr>
          <w:p w14:paraId="18D97A04">
            <w:pPr>
              <w:widowControl/>
              <w:adjustRightInd/>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病理癌基因蛋白检测</w:t>
            </w:r>
          </w:p>
        </w:tc>
      </w:tr>
      <w:tr w14:paraId="3F39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1" w:type="dxa"/>
            <w:vAlign w:val="center"/>
          </w:tcPr>
          <w:p w14:paraId="6D5C09BB">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w:t>
            </w:r>
          </w:p>
        </w:tc>
        <w:tc>
          <w:tcPr>
            <w:tcW w:w="7088" w:type="dxa"/>
            <w:vAlign w:val="center"/>
          </w:tcPr>
          <w:p w14:paraId="707ADD64">
            <w:pPr>
              <w:widowControl/>
              <w:adjustRightInd/>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特殊染色及酶组织化学染色诊断</w:t>
            </w:r>
          </w:p>
        </w:tc>
      </w:tr>
      <w:tr w14:paraId="0E4B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1" w:type="dxa"/>
            <w:vAlign w:val="center"/>
          </w:tcPr>
          <w:p w14:paraId="42A99C63">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w:t>
            </w:r>
          </w:p>
        </w:tc>
        <w:tc>
          <w:tcPr>
            <w:tcW w:w="7088" w:type="dxa"/>
            <w:vAlign w:val="center"/>
          </w:tcPr>
          <w:p w14:paraId="10815C61">
            <w:pPr>
              <w:widowControl/>
              <w:adjustRightInd/>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手术标本</w:t>
            </w:r>
          </w:p>
        </w:tc>
      </w:tr>
      <w:tr w14:paraId="2912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1" w:type="dxa"/>
            <w:vAlign w:val="center"/>
          </w:tcPr>
          <w:p w14:paraId="0332C0B2">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w:t>
            </w:r>
          </w:p>
        </w:tc>
        <w:tc>
          <w:tcPr>
            <w:tcW w:w="7088" w:type="dxa"/>
            <w:vAlign w:val="center"/>
          </w:tcPr>
          <w:p w14:paraId="59E062D1">
            <w:pPr>
              <w:widowControl/>
              <w:adjustRightInd/>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局部切取组织活检检查与诊断</w:t>
            </w:r>
          </w:p>
        </w:tc>
      </w:tr>
      <w:tr w14:paraId="3CC3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1" w:type="dxa"/>
            <w:vAlign w:val="center"/>
          </w:tcPr>
          <w:p w14:paraId="05974562">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w:t>
            </w:r>
          </w:p>
        </w:tc>
        <w:tc>
          <w:tcPr>
            <w:tcW w:w="7088" w:type="dxa"/>
            <w:vAlign w:val="center"/>
          </w:tcPr>
          <w:p w14:paraId="3BD07F9A">
            <w:pPr>
              <w:widowControl/>
              <w:adjustRightInd/>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头面部及体表肿块切除标本</w:t>
            </w:r>
          </w:p>
        </w:tc>
      </w:tr>
      <w:tr w14:paraId="14C5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1" w:type="dxa"/>
            <w:vAlign w:val="center"/>
          </w:tcPr>
          <w:p w14:paraId="24EF3847">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w:t>
            </w:r>
          </w:p>
        </w:tc>
        <w:tc>
          <w:tcPr>
            <w:tcW w:w="7088" w:type="dxa"/>
            <w:vAlign w:val="center"/>
          </w:tcPr>
          <w:p w14:paraId="497F9A21">
            <w:pPr>
              <w:widowControl/>
              <w:adjustRightInd/>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胃镜活检标本</w:t>
            </w:r>
          </w:p>
        </w:tc>
      </w:tr>
      <w:tr w14:paraId="1FE5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1" w:type="dxa"/>
            <w:vAlign w:val="center"/>
          </w:tcPr>
          <w:p w14:paraId="278C6266">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13</w:t>
            </w:r>
          </w:p>
        </w:tc>
        <w:tc>
          <w:tcPr>
            <w:tcW w:w="7088" w:type="dxa"/>
            <w:vAlign w:val="center"/>
          </w:tcPr>
          <w:p w14:paraId="7DECA7B3">
            <w:pPr>
              <w:widowControl/>
              <w:adjustRightInd/>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胸水脱落细胞</w:t>
            </w:r>
          </w:p>
        </w:tc>
      </w:tr>
      <w:tr w14:paraId="592C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1" w:type="dxa"/>
            <w:vAlign w:val="center"/>
          </w:tcPr>
          <w:p w14:paraId="5D63093B">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14</w:t>
            </w:r>
          </w:p>
        </w:tc>
        <w:tc>
          <w:tcPr>
            <w:tcW w:w="7088" w:type="dxa"/>
            <w:vAlign w:val="center"/>
          </w:tcPr>
          <w:p w14:paraId="36DACC80">
            <w:pPr>
              <w:widowControl/>
              <w:adjustRightInd/>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人乳头瘤病毒分型全套（HPV分型）</w:t>
            </w:r>
          </w:p>
        </w:tc>
      </w:tr>
      <w:tr w14:paraId="5D07D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1" w:type="dxa"/>
            <w:vAlign w:val="center"/>
          </w:tcPr>
          <w:p w14:paraId="1A264588">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15</w:t>
            </w:r>
          </w:p>
        </w:tc>
        <w:tc>
          <w:tcPr>
            <w:tcW w:w="7088" w:type="dxa"/>
            <w:vAlign w:val="center"/>
          </w:tcPr>
          <w:p w14:paraId="47EE0C9A">
            <w:pPr>
              <w:widowControl/>
              <w:adjustRightInd/>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液基薄层细胞学(TCT)</w:t>
            </w:r>
          </w:p>
        </w:tc>
      </w:tr>
      <w:tr w14:paraId="18F61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1" w:type="dxa"/>
            <w:vAlign w:val="center"/>
          </w:tcPr>
          <w:p w14:paraId="1001D34C">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16</w:t>
            </w:r>
          </w:p>
        </w:tc>
        <w:tc>
          <w:tcPr>
            <w:tcW w:w="7088" w:type="dxa"/>
            <w:vAlign w:val="center"/>
          </w:tcPr>
          <w:p w14:paraId="6C5E2AD8">
            <w:pPr>
              <w:widowControl/>
              <w:adjustRightInd/>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蜡块</w:t>
            </w:r>
          </w:p>
        </w:tc>
      </w:tr>
      <w:tr w14:paraId="2AE9B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1" w:type="dxa"/>
            <w:vAlign w:val="center"/>
          </w:tcPr>
          <w:p w14:paraId="7EB9EFDA">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17</w:t>
            </w:r>
          </w:p>
        </w:tc>
        <w:tc>
          <w:tcPr>
            <w:tcW w:w="7088" w:type="dxa"/>
            <w:vAlign w:val="center"/>
          </w:tcPr>
          <w:p w14:paraId="28AABB00">
            <w:pPr>
              <w:widowControl/>
              <w:adjustRightInd/>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内镜活检标本</w:t>
            </w:r>
          </w:p>
        </w:tc>
      </w:tr>
    </w:tbl>
    <w:p w14:paraId="36B1D80D">
      <w:pPr>
        <w:pStyle w:val="24"/>
        <w:rPr>
          <w:color w:val="auto"/>
          <w:highlight w:val="none"/>
          <w:lang w:val="en-US"/>
        </w:rPr>
      </w:pPr>
    </w:p>
    <w:p w14:paraId="691285B4">
      <w:pPr>
        <w:numPr>
          <w:ilvl w:val="0"/>
          <w:numId w:val="2"/>
        </w:numPr>
        <w:autoSpaceDE w:val="0"/>
        <w:autoSpaceDN w:val="0"/>
        <w:adjustRightInd/>
        <w:rPr>
          <w:rFonts w:hint="eastAsia" w:ascii="宋体" w:hAnsi="宋体" w:cs="宋体"/>
          <w:b/>
          <w:bCs/>
          <w:snapToGrid w:val="0"/>
          <w:color w:val="auto"/>
          <w:sz w:val="24"/>
          <w:highlight w:val="none"/>
        </w:rPr>
      </w:pPr>
      <w:r>
        <w:rPr>
          <w:rFonts w:hint="eastAsia" w:ascii="宋体" w:hAnsi="宋体" w:cs="宋体"/>
          <w:b/>
          <w:bCs/>
          <w:snapToGrid w:val="0"/>
          <w:color w:val="auto"/>
          <w:sz w:val="24"/>
          <w:highlight w:val="none"/>
        </w:rPr>
        <w:t>血清淀粉样蛋白A项目清单：</w:t>
      </w:r>
    </w:p>
    <w:tbl>
      <w:tblPr>
        <w:tblStyle w:val="63"/>
        <w:tblW w:w="8379"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7088"/>
      </w:tblGrid>
      <w:tr w14:paraId="0A63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1" w:type="dxa"/>
            <w:vAlign w:val="center"/>
          </w:tcPr>
          <w:p w14:paraId="510B7AEE">
            <w:pPr>
              <w:widowControl/>
              <w:adjustRightInd/>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序号</w:t>
            </w:r>
          </w:p>
        </w:tc>
        <w:tc>
          <w:tcPr>
            <w:tcW w:w="7088" w:type="dxa"/>
            <w:vAlign w:val="center"/>
          </w:tcPr>
          <w:p w14:paraId="3A21A008">
            <w:pPr>
              <w:widowControl/>
              <w:adjustRightInd/>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项目名称</w:t>
            </w:r>
          </w:p>
        </w:tc>
      </w:tr>
      <w:tr w14:paraId="19E3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1" w:type="dxa"/>
            <w:vAlign w:val="center"/>
          </w:tcPr>
          <w:p w14:paraId="1D7B4BEE">
            <w:pPr>
              <w:widowControl/>
              <w:adjustRightInd/>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7088" w:type="dxa"/>
            <w:vAlign w:val="center"/>
          </w:tcPr>
          <w:p w14:paraId="23CEC160">
            <w:pPr>
              <w:widowControl/>
              <w:adjustRightInd/>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血清淀粉样蛋白A（SAA）</w:t>
            </w:r>
          </w:p>
        </w:tc>
      </w:tr>
    </w:tbl>
    <w:p w14:paraId="227DA654">
      <w:pPr>
        <w:pStyle w:val="24"/>
        <w:rPr>
          <w:color w:val="auto"/>
          <w:highlight w:val="none"/>
          <w:lang w:val="en-US"/>
        </w:rPr>
      </w:pPr>
    </w:p>
    <w:p w14:paraId="6179E92A">
      <w:pPr>
        <w:rPr>
          <w:color w:val="auto"/>
          <w:highlight w:val="none"/>
        </w:rPr>
      </w:pPr>
    </w:p>
    <w:p w14:paraId="6FD65513">
      <w:pPr>
        <w:numPr>
          <w:ilvl w:val="0"/>
          <w:numId w:val="2"/>
        </w:numPr>
        <w:autoSpaceDE w:val="0"/>
        <w:autoSpaceDN w:val="0"/>
        <w:adjustRightInd/>
        <w:rPr>
          <w:rFonts w:hint="eastAsia" w:ascii="宋体" w:hAnsi="宋体" w:cs="宋体"/>
          <w:b/>
          <w:bCs/>
          <w:snapToGrid w:val="0"/>
          <w:color w:val="auto"/>
          <w:sz w:val="24"/>
          <w:highlight w:val="none"/>
        </w:rPr>
      </w:pPr>
      <w:r>
        <w:rPr>
          <w:rFonts w:hint="eastAsia" w:ascii="宋体" w:hAnsi="宋体" w:cs="宋体"/>
          <w:b/>
          <w:bCs/>
          <w:snapToGrid w:val="0"/>
          <w:color w:val="auto"/>
          <w:sz w:val="24"/>
          <w:highlight w:val="none"/>
        </w:rPr>
        <w:t>设备需求一览表</w:t>
      </w:r>
      <w:r>
        <w:rPr>
          <w:rFonts w:hint="eastAsia" w:ascii="宋体" w:hAnsi="宋体" w:cs="宋体"/>
          <w:b/>
          <w:bCs/>
          <w:snapToGrid w:val="0"/>
          <w:color w:val="auto"/>
          <w:sz w:val="24"/>
          <w:highlight w:val="none"/>
          <w:lang w:eastAsia="zh-CN"/>
        </w:rPr>
        <w:t>：</w:t>
      </w:r>
    </w:p>
    <w:tbl>
      <w:tblPr>
        <w:tblStyle w:val="63"/>
        <w:tblW w:w="8505" w:type="dxa"/>
        <w:tblInd w:w="91" w:type="dxa"/>
        <w:tblLayout w:type="fixed"/>
        <w:tblCellMar>
          <w:top w:w="0" w:type="dxa"/>
          <w:left w:w="108" w:type="dxa"/>
          <w:bottom w:w="0" w:type="dxa"/>
          <w:right w:w="108" w:type="dxa"/>
        </w:tblCellMar>
      </w:tblPr>
      <w:tblGrid>
        <w:gridCol w:w="1215"/>
        <w:gridCol w:w="4575"/>
        <w:gridCol w:w="2715"/>
      </w:tblGrid>
      <w:tr w14:paraId="7296D6CE">
        <w:tblPrEx>
          <w:tblCellMar>
            <w:top w:w="0" w:type="dxa"/>
            <w:left w:w="108" w:type="dxa"/>
            <w:bottom w:w="0" w:type="dxa"/>
            <w:right w:w="108" w:type="dxa"/>
          </w:tblCellMar>
        </w:tblPrEx>
        <w:trPr>
          <w:trHeight w:val="567"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8F59E">
            <w:pPr>
              <w:widowControl/>
              <w:adjustRightInd/>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序号</w:t>
            </w:r>
          </w:p>
        </w:tc>
        <w:tc>
          <w:tcPr>
            <w:tcW w:w="4575" w:type="dxa"/>
            <w:tcBorders>
              <w:top w:val="single" w:color="000000" w:sz="4" w:space="0"/>
              <w:left w:val="nil"/>
              <w:bottom w:val="single" w:color="000000" w:sz="4" w:space="0"/>
              <w:right w:val="single" w:color="000000" w:sz="4" w:space="0"/>
            </w:tcBorders>
            <w:shd w:val="clear" w:color="auto" w:fill="auto"/>
            <w:noWrap/>
            <w:vAlign w:val="center"/>
          </w:tcPr>
          <w:p w14:paraId="785FAD05">
            <w:pPr>
              <w:widowControl/>
              <w:adjustRightInd/>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仪器名称</w:t>
            </w:r>
          </w:p>
        </w:tc>
        <w:tc>
          <w:tcPr>
            <w:tcW w:w="2715" w:type="dxa"/>
            <w:tcBorders>
              <w:top w:val="single" w:color="000000" w:sz="4" w:space="0"/>
              <w:left w:val="nil"/>
              <w:bottom w:val="single" w:color="000000" w:sz="4" w:space="0"/>
              <w:right w:val="single" w:color="000000" w:sz="4" w:space="0"/>
            </w:tcBorders>
            <w:shd w:val="clear" w:color="auto" w:fill="auto"/>
            <w:noWrap/>
            <w:vAlign w:val="center"/>
          </w:tcPr>
          <w:p w14:paraId="0ABD8002">
            <w:pPr>
              <w:widowControl/>
              <w:adjustRightInd/>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仪器品牌</w:t>
            </w:r>
          </w:p>
        </w:tc>
      </w:tr>
      <w:tr w14:paraId="2934D5A7">
        <w:tblPrEx>
          <w:tblCellMar>
            <w:top w:w="0" w:type="dxa"/>
            <w:left w:w="108" w:type="dxa"/>
            <w:bottom w:w="0" w:type="dxa"/>
            <w:right w:w="108" w:type="dxa"/>
          </w:tblCellMar>
        </w:tblPrEx>
        <w:trPr>
          <w:trHeight w:val="567"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9E99">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4575" w:type="dxa"/>
            <w:tcBorders>
              <w:top w:val="single" w:color="000000" w:sz="4" w:space="0"/>
              <w:left w:val="nil"/>
              <w:bottom w:val="single" w:color="000000" w:sz="4" w:space="0"/>
              <w:right w:val="single" w:color="000000" w:sz="4" w:space="0"/>
            </w:tcBorders>
            <w:shd w:val="clear" w:color="auto" w:fill="auto"/>
            <w:noWrap/>
            <w:vAlign w:val="center"/>
          </w:tcPr>
          <w:p w14:paraId="79FCF863">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血液细胞分析仪（血常规）</w:t>
            </w:r>
          </w:p>
        </w:tc>
        <w:tc>
          <w:tcPr>
            <w:tcW w:w="2715" w:type="dxa"/>
            <w:tcBorders>
              <w:top w:val="single" w:color="000000" w:sz="4" w:space="0"/>
              <w:left w:val="nil"/>
              <w:bottom w:val="single" w:color="000000" w:sz="4" w:space="0"/>
              <w:right w:val="single" w:color="000000" w:sz="4" w:space="0"/>
            </w:tcBorders>
            <w:shd w:val="clear" w:color="auto" w:fill="auto"/>
            <w:noWrap/>
            <w:vAlign w:val="center"/>
          </w:tcPr>
          <w:p w14:paraId="6EF29803">
            <w:pPr>
              <w:widowControl/>
              <w:jc w:val="center"/>
              <w:textAlignment w:val="center"/>
              <w:rPr>
                <w:rFonts w:ascii="宋体" w:hAnsi="宋体" w:cs="宋体"/>
                <w:color w:val="auto"/>
                <w:sz w:val="24"/>
                <w:highlight w:val="none"/>
              </w:rPr>
            </w:pPr>
          </w:p>
        </w:tc>
      </w:tr>
      <w:tr w14:paraId="78C11324">
        <w:tblPrEx>
          <w:tblCellMar>
            <w:top w:w="0" w:type="dxa"/>
            <w:left w:w="108" w:type="dxa"/>
            <w:bottom w:w="0" w:type="dxa"/>
            <w:right w:w="108" w:type="dxa"/>
          </w:tblCellMar>
        </w:tblPrEx>
        <w:trPr>
          <w:trHeight w:val="567"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85D5F">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2</w:t>
            </w:r>
          </w:p>
        </w:tc>
        <w:tc>
          <w:tcPr>
            <w:tcW w:w="4575" w:type="dxa"/>
            <w:tcBorders>
              <w:top w:val="single" w:color="000000" w:sz="4" w:space="0"/>
              <w:left w:val="nil"/>
              <w:bottom w:val="single" w:color="000000" w:sz="4" w:space="0"/>
              <w:right w:val="single" w:color="000000" w:sz="4" w:space="0"/>
            </w:tcBorders>
            <w:shd w:val="clear" w:color="auto" w:fill="auto"/>
            <w:noWrap/>
            <w:vAlign w:val="center"/>
          </w:tcPr>
          <w:p w14:paraId="0FCE8D8D">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尿沉渣检测分析仪（尿沉渣）</w:t>
            </w:r>
          </w:p>
        </w:tc>
        <w:tc>
          <w:tcPr>
            <w:tcW w:w="2715" w:type="dxa"/>
            <w:tcBorders>
              <w:top w:val="single" w:color="000000" w:sz="4" w:space="0"/>
              <w:left w:val="nil"/>
              <w:bottom w:val="single" w:color="000000" w:sz="4" w:space="0"/>
              <w:right w:val="single" w:color="000000" w:sz="4" w:space="0"/>
            </w:tcBorders>
            <w:shd w:val="clear" w:color="auto" w:fill="auto"/>
            <w:noWrap/>
            <w:vAlign w:val="center"/>
          </w:tcPr>
          <w:p w14:paraId="75337783">
            <w:pPr>
              <w:widowControl/>
              <w:jc w:val="center"/>
              <w:textAlignment w:val="center"/>
              <w:rPr>
                <w:rFonts w:ascii="宋体" w:hAnsi="宋体" w:cs="宋体"/>
                <w:color w:val="auto"/>
                <w:sz w:val="24"/>
                <w:highlight w:val="none"/>
              </w:rPr>
            </w:pPr>
          </w:p>
        </w:tc>
      </w:tr>
      <w:tr w14:paraId="7B4B679A">
        <w:tblPrEx>
          <w:tblCellMar>
            <w:top w:w="0" w:type="dxa"/>
            <w:left w:w="108" w:type="dxa"/>
            <w:bottom w:w="0" w:type="dxa"/>
            <w:right w:w="108" w:type="dxa"/>
          </w:tblCellMar>
        </w:tblPrEx>
        <w:trPr>
          <w:trHeight w:val="567"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7DC2">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3</w:t>
            </w:r>
          </w:p>
        </w:tc>
        <w:tc>
          <w:tcPr>
            <w:tcW w:w="4575" w:type="dxa"/>
            <w:tcBorders>
              <w:top w:val="single" w:color="000000" w:sz="4" w:space="0"/>
              <w:left w:val="nil"/>
              <w:bottom w:val="single" w:color="000000" w:sz="4" w:space="0"/>
              <w:right w:val="single" w:color="000000" w:sz="4" w:space="0"/>
            </w:tcBorders>
            <w:shd w:val="clear" w:color="auto" w:fill="auto"/>
            <w:noWrap/>
            <w:vAlign w:val="center"/>
          </w:tcPr>
          <w:p w14:paraId="01635478">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尿液干化学分析仪（尿干化）</w:t>
            </w:r>
          </w:p>
        </w:tc>
        <w:tc>
          <w:tcPr>
            <w:tcW w:w="2715" w:type="dxa"/>
            <w:tcBorders>
              <w:top w:val="single" w:color="000000" w:sz="4" w:space="0"/>
              <w:left w:val="nil"/>
              <w:bottom w:val="single" w:color="000000" w:sz="4" w:space="0"/>
              <w:right w:val="single" w:color="000000" w:sz="4" w:space="0"/>
            </w:tcBorders>
            <w:shd w:val="clear" w:color="auto" w:fill="auto"/>
            <w:noWrap/>
            <w:vAlign w:val="center"/>
          </w:tcPr>
          <w:p w14:paraId="5B77078B">
            <w:pPr>
              <w:widowControl/>
              <w:jc w:val="center"/>
              <w:textAlignment w:val="center"/>
              <w:rPr>
                <w:rFonts w:ascii="宋体" w:hAnsi="宋体" w:cs="宋体"/>
                <w:color w:val="auto"/>
                <w:sz w:val="24"/>
                <w:highlight w:val="none"/>
              </w:rPr>
            </w:pPr>
          </w:p>
        </w:tc>
      </w:tr>
      <w:tr w14:paraId="12BEAE59">
        <w:tblPrEx>
          <w:tblCellMar>
            <w:top w:w="0" w:type="dxa"/>
            <w:left w:w="108" w:type="dxa"/>
            <w:bottom w:w="0" w:type="dxa"/>
            <w:right w:w="108" w:type="dxa"/>
          </w:tblCellMar>
        </w:tblPrEx>
        <w:trPr>
          <w:trHeight w:val="567"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3CA1">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4</w:t>
            </w:r>
          </w:p>
        </w:tc>
        <w:tc>
          <w:tcPr>
            <w:tcW w:w="4575" w:type="dxa"/>
            <w:tcBorders>
              <w:top w:val="single" w:color="000000" w:sz="4" w:space="0"/>
              <w:left w:val="nil"/>
              <w:bottom w:val="single" w:color="000000" w:sz="4" w:space="0"/>
              <w:right w:val="single" w:color="000000" w:sz="4" w:space="0"/>
            </w:tcBorders>
            <w:shd w:val="clear" w:color="auto" w:fill="auto"/>
            <w:noWrap/>
            <w:vAlign w:val="center"/>
          </w:tcPr>
          <w:p w14:paraId="20F92A36">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血清淀粉样蛋白检测仪（SAA）</w:t>
            </w:r>
          </w:p>
        </w:tc>
        <w:tc>
          <w:tcPr>
            <w:tcW w:w="2715" w:type="dxa"/>
            <w:tcBorders>
              <w:top w:val="single" w:color="000000" w:sz="4" w:space="0"/>
              <w:left w:val="nil"/>
              <w:bottom w:val="single" w:color="000000" w:sz="4" w:space="0"/>
              <w:right w:val="single" w:color="000000" w:sz="4" w:space="0"/>
            </w:tcBorders>
            <w:shd w:val="clear" w:color="auto" w:fill="auto"/>
            <w:noWrap/>
            <w:vAlign w:val="center"/>
          </w:tcPr>
          <w:p w14:paraId="7D9AE694">
            <w:pPr>
              <w:widowControl/>
              <w:jc w:val="center"/>
              <w:textAlignment w:val="center"/>
              <w:rPr>
                <w:rFonts w:ascii="宋体" w:hAnsi="宋体" w:cs="宋体"/>
                <w:color w:val="auto"/>
                <w:sz w:val="24"/>
                <w:highlight w:val="none"/>
              </w:rPr>
            </w:pPr>
          </w:p>
        </w:tc>
      </w:tr>
      <w:tr w14:paraId="589C9D04">
        <w:tblPrEx>
          <w:tblCellMar>
            <w:top w:w="0" w:type="dxa"/>
            <w:left w:w="108" w:type="dxa"/>
            <w:bottom w:w="0" w:type="dxa"/>
            <w:right w:w="108" w:type="dxa"/>
          </w:tblCellMar>
        </w:tblPrEx>
        <w:trPr>
          <w:trHeight w:val="567"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449F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4575" w:type="dxa"/>
            <w:tcBorders>
              <w:top w:val="single" w:color="000000" w:sz="4" w:space="0"/>
              <w:left w:val="nil"/>
              <w:bottom w:val="single" w:color="000000" w:sz="4" w:space="0"/>
              <w:right w:val="single" w:color="000000" w:sz="4" w:space="0"/>
            </w:tcBorders>
            <w:shd w:val="clear" w:color="auto" w:fill="auto"/>
            <w:noWrap/>
            <w:vAlign w:val="center"/>
          </w:tcPr>
          <w:p w14:paraId="50C00419">
            <w:pPr>
              <w:widowControl/>
              <w:jc w:val="center"/>
              <w:textAlignment w:val="center"/>
              <w:rPr>
                <w:rFonts w:ascii="宋体" w:hAnsi="宋体" w:eastAsia="微软雅黑" w:cs="宋体"/>
                <w:color w:val="auto"/>
                <w:sz w:val="24"/>
                <w:highlight w:val="none"/>
              </w:rPr>
            </w:pPr>
            <w:r>
              <w:rPr>
                <w:rFonts w:hint="eastAsia" w:ascii="宋体" w:hAnsi="宋体" w:cs="宋体"/>
                <w:color w:val="auto"/>
                <w:sz w:val="24"/>
                <w:highlight w:val="none"/>
              </w:rPr>
              <w:t>C反应蛋白分析仪(CRP）</w:t>
            </w:r>
          </w:p>
        </w:tc>
        <w:tc>
          <w:tcPr>
            <w:tcW w:w="2715" w:type="dxa"/>
            <w:tcBorders>
              <w:top w:val="single" w:color="000000" w:sz="4" w:space="0"/>
              <w:left w:val="nil"/>
              <w:bottom w:val="single" w:color="000000" w:sz="4" w:space="0"/>
              <w:right w:val="single" w:color="000000" w:sz="4" w:space="0"/>
            </w:tcBorders>
            <w:shd w:val="clear" w:color="auto" w:fill="auto"/>
            <w:noWrap/>
            <w:vAlign w:val="center"/>
          </w:tcPr>
          <w:p w14:paraId="6E4AF515">
            <w:pPr>
              <w:widowControl/>
              <w:jc w:val="center"/>
              <w:textAlignment w:val="center"/>
              <w:rPr>
                <w:rFonts w:ascii="宋体" w:hAnsi="宋体" w:cs="宋体"/>
                <w:color w:val="auto"/>
                <w:sz w:val="24"/>
                <w:highlight w:val="none"/>
              </w:rPr>
            </w:pPr>
          </w:p>
        </w:tc>
      </w:tr>
    </w:tbl>
    <w:p w14:paraId="5D32722B">
      <w:pPr>
        <w:spacing w:line="360" w:lineRule="auto"/>
        <w:ind w:firstLine="480" w:firstLineChars="200"/>
        <w:textAlignment w:val="baseline"/>
        <w:rPr>
          <w:rFonts w:hint="eastAsia" w:ascii="宋体" w:hAnsi="宋体" w:eastAsia="宋体" w:cs="宋体"/>
          <w:color w:val="auto"/>
          <w:sz w:val="24"/>
          <w:highlight w:val="none"/>
          <w:lang w:eastAsia="zh-CN" w:bidi="ar"/>
        </w:rPr>
      </w:pPr>
      <w:r>
        <w:rPr>
          <w:rFonts w:hint="eastAsia" w:ascii="宋体" w:hAnsi="宋体" w:cs="宋体"/>
          <w:color w:val="auto"/>
          <w:sz w:val="24"/>
          <w:highlight w:val="none"/>
          <w:lang w:bidi="ar"/>
        </w:rPr>
        <w:t>注：1.血常规、尿沉渣、尿干化、CRP、SAA等为医院自己开展的项目，供应商免费提供相应的检测设备（检测设备必须满足使用需求并经使用人确认后方可投入，投标文件中提供具体设备清单）</w:t>
      </w:r>
      <w:r>
        <w:rPr>
          <w:rFonts w:hint="eastAsia" w:ascii="宋体" w:hAnsi="宋体" w:cs="宋体"/>
          <w:color w:val="auto"/>
          <w:sz w:val="24"/>
          <w:highlight w:val="none"/>
          <w:lang w:eastAsia="zh-CN" w:bidi="ar"/>
        </w:rPr>
        <w:t>；</w:t>
      </w:r>
    </w:p>
    <w:p w14:paraId="780F5ECF">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lang w:val="en-US" w:eastAsia="zh-CN" w:bidi="ar"/>
        </w:rPr>
        <w:t>2.</w:t>
      </w:r>
      <w:r>
        <w:rPr>
          <w:rFonts w:hint="eastAsia" w:ascii="宋体" w:hAnsi="宋体" w:cs="宋体"/>
          <w:color w:val="auto"/>
          <w:sz w:val="24"/>
          <w:highlight w:val="none"/>
          <w:lang w:bidi="ar"/>
        </w:rPr>
        <w:t>本表所列新增设备仅代表初期需投入的主要设备，并非指</w:t>
      </w:r>
      <w:r>
        <w:rPr>
          <w:rFonts w:hint="eastAsia" w:ascii="宋体" w:hAnsi="宋体" w:cs="宋体"/>
          <w:color w:val="auto"/>
          <w:sz w:val="24"/>
          <w:highlight w:val="none"/>
          <w:lang w:val="en-US" w:eastAsia="zh-CN" w:bidi="ar"/>
        </w:rPr>
        <w:t>医院</w:t>
      </w:r>
      <w:r>
        <w:rPr>
          <w:rFonts w:hint="eastAsia" w:ascii="宋体" w:hAnsi="宋体" w:cs="宋体"/>
          <w:color w:val="auto"/>
          <w:sz w:val="24"/>
          <w:highlight w:val="none"/>
          <w:lang w:bidi="ar"/>
        </w:rPr>
        <w:t>为了开展项目所需要的所有设备。因此，中标人不能据此免除后期因开展项目需要免费提供设备的义务。也就是说后期仍有需要新增设备时也应视为本次在本项目所列清单的范畴之内</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bidi="ar"/>
        </w:rPr>
        <w:t>且新增设备的各项参数应满足采购人的要求。</w:t>
      </w:r>
    </w:p>
    <w:p w14:paraId="68D94D8F">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lang w:val="en-US" w:eastAsia="zh-CN" w:bidi="ar"/>
        </w:rPr>
        <w:t>3</w:t>
      </w:r>
      <w:r>
        <w:rPr>
          <w:rFonts w:hint="eastAsia" w:ascii="宋体" w:hAnsi="宋体" w:cs="宋体"/>
          <w:color w:val="auto"/>
          <w:sz w:val="24"/>
          <w:highlight w:val="none"/>
          <w:lang w:bidi="ar"/>
        </w:rPr>
        <w:t>.供应商针对本项目提供的仪器设备必须是全新原装设备。</w:t>
      </w:r>
    </w:p>
    <w:p w14:paraId="355C20D2">
      <w:p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lang w:val="en-US" w:eastAsia="zh-CN" w:bidi="ar"/>
        </w:rPr>
        <w:t>4</w:t>
      </w:r>
      <w:r>
        <w:rPr>
          <w:rFonts w:hint="eastAsia" w:ascii="宋体" w:hAnsi="宋体" w:cs="宋体"/>
          <w:color w:val="auto"/>
          <w:sz w:val="24"/>
          <w:highlight w:val="none"/>
          <w:lang w:bidi="ar"/>
        </w:rPr>
        <w:t>.供应商需在报价文件中对该表所列设备进行单独报价。</w:t>
      </w:r>
    </w:p>
    <w:p w14:paraId="54B3FE7B">
      <w:pPr>
        <w:adjustRightInd/>
        <w:spacing w:line="360" w:lineRule="auto"/>
        <w:textAlignment w:val="baseline"/>
        <w:rPr>
          <w:rFonts w:ascii="宋体" w:hAnsi="宋体" w:cs="宋体"/>
          <w:b/>
          <w:bCs/>
          <w:color w:val="auto"/>
          <w:sz w:val="24"/>
          <w:highlight w:val="none"/>
        </w:rPr>
      </w:pPr>
    </w:p>
    <w:p w14:paraId="6D0AE29E">
      <w:pPr>
        <w:adjustRightInd/>
        <w:spacing w:line="360" w:lineRule="auto"/>
        <w:textAlignment w:val="baseline"/>
        <w:rPr>
          <w:rFonts w:ascii="宋体" w:hAnsi="宋体" w:cs="宋体"/>
          <w:b/>
          <w:bCs/>
          <w:color w:val="auto"/>
          <w:sz w:val="24"/>
          <w:highlight w:val="none"/>
        </w:rPr>
      </w:pPr>
    </w:p>
    <w:p w14:paraId="7FB7C996">
      <w:pPr>
        <w:adjustRightInd/>
        <w:spacing w:line="360" w:lineRule="auto"/>
        <w:textAlignment w:val="baseline"/>
        <w:rPr>
          <w:rFonts w:ascii="宋体" w:hAnsi="宋体" w:cs="宋体"/>
          <w:b/>
          <w:bCs/>
          <w:color w:val="auto"/>
          <w:sz w:val="24"/>
          <w:highlight w:val="none"/>
        </w:rPr>
      </w:pPr>
    </w:p>
    <w:p w14:paraId="48F558CD">
      <w:pPr>
        <w:adjustRightInd/>
        <w:spacing w:line="360" w:lineRule="auto"/>
        <w:textAlignment w:val="baseline"/>
        <w:rPr>
          <w:rFonts w:hint="eastAsia" w:ascii="宋体" w:hAnsi="宋体" w:cs="宋体"/>
          <w:b/>
          <w:bCs/>
          <w:color w:val="auto"/>
          <w:sz w:val="24"/>
          <w:highlight w:val="none"/>
        </w:rPr>
      </w:pPr>
    </w:p>
    <w:p w14:paraId="0C0BB74A">
      <w:pPr>
        <w:adjustRightInd/>
        <w:spacing w:line="360" w:lineRule="auto"/>
        <w:textAlignment w:val="baseline"/>
        <w:rPr>
          <w:rFonts w:hint="eastAsia" w:ascii="宋体" w:hAnsi="宋体" w:cs="宋体"/>
          <w:b/>
          <w:bCs/>
          <w:color w:val="auto"/>
          <w:sz w:val="24"/>
          <w:highlight w:val="none"/>
        </w:rPr>
      </w:pPr>
    </w:p>
    <w:p w14:paraId="10877EF5">
      <w:pPr>
        <w:adjustRightInd/>
        <w:spacing w:line="360" w:lineRule="auto"/>
        <w:textAlignment w:val="baseline"/>
        <w:rPr>
          <w:rFonts w:ascii="宋体" w:hAnsi="宋体" w:cs="宋体"/>
          <w:b/>
          <w:bCs/>
          <w:color w:val="auto"/>
          <w:sz w:val="24"/>
          <w:highlight w:val="none"/>
        </w:rPr>
      </w:pPr>
      <w:r>
        <w:rPr>
          <w:rFonts w:hint="eastAsia" w:ascii="宋体" w:hAnsi="宋体" w:cs="宋体"/>
          <w:b/>
          <w:bCs/>
          <w:color w:val="auto"/>
          <w:sz w:val="24"/>
          <w:highlight w:val="none"/>
        </w:rPr>
        <w:t>三、投标要求</w:t>
      </w:r>
    </w:p>
    <w:p w14:paraId="1A52BC67">
      <w:pPr>
        <w:adjustRightInd/>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供应商需在投标文件中提供完善全面的结果报送方案、标本收集方案、运输方案、检测方案、应急保证措施、报告单格式和实验室检测方法学、实验室团队人员、资质证书、人员培训方案、增值供应商案、保密措施、数据对接方案和业绩等。</w:t>
      </w:r>
    </w:p>
    <w:p w14:paraId="19DA0184">
      <w:pPr>
        <w:spacing w:line="360" w:lineRule="auto"/>
        <w:jc w:val="center"/>
        <w:outlineLvl w:val="0"/>
        <w:rPr>
          <w:rFonts w:ascii="宋体" w:hAnsi="宋体" w:cs="宋体"/>
          <w:b/>
          <w:color w:val="auto"/>
          <w:sz w:val="36"/>
          <w:szCs w:val="36"/>
          <w:highlight w:val="none"/>
        </w:rPr>
      </w:pPr>
      <w:bookmarkStart w:id="33" w:name="_Toc20574"/>
    </w:p>
    <w:p w14:paraId="672BC8EA">
      <w:pPr>
        <w:spacing w:line="360" w:lineRule="auto"/>
        <w:jc w:val="center"/>
        <w:outlineLvl w:val="0"/>
        <w:rPr>
          <w:rFonts w:ascii="宋体" w:hAnsi="宋体" w:cs="宋体"/>
          <w:b/>
          <w:color w:val="auto"/>
          <w:sz w:val="36"/>
          <w:szCs w:val="36"/>
          <w:highlight w:val="none"/>
        </w:rPr>
      </w:pPr>
    </w:p>
    <w:p w14:paraId="16F9ECCF">
      <w:pPr>
        <w:spacing w:line="360" w:lineRule="auto"/>
        <w:ind w:firstLine="2530" w:firstLineChars="700"/>
        <w:outlineLvl w:val="0"/>
        <w:rPr>
          <w:rFonts w:ascii="宋体" w:hAnsi="宋体" w:cs="宋体"/>
          <w:b/>
          <w:color w:val="auto"/>
          <w:sz w:val="36"/>
          <w:szCs w:val="36"/>
          <w:highlight w:val="none"/>
        </w:rPr>
      </w:pPr>
    </w:p>
    <w:p w14:paraId="70E9722D">
      <w:pPr>
        <w:spacing w:line="360" w:lineRule="auto"/>
        <w:ind w:firstLine="2530" w:firstLineChars="700"/>
        <w:outlineLvl w:val="0"/>
        <w:rPr>
          <w:rFonts w:ascii="宋体" w:hAnsi="宋体" w:cs="宋体"/>
          <w:b/>
          <w:color w:val="auto"/>
          <w:sz w:val="36"/>
          <w:szCs w:val="36"/>
          <w:highlight w:val="none"/>
        </w:rPr>
      </w:pPr>
    </w:p>
    <w:p w14:paraId="383955DE">
      <w:pPr>
        <w:spacing w:line="360" w:lineRule="auto"/>
        <w:ind w:firstLine="2530" w:firstLineChars="700"/>
        <w:outlineLvl w:val="0"/>
        <w:rPr>
          <w:rFonts w:ascii="宋体" w:hAnsi="宋体" w:cs="宋体"/>
          <w:b/>
          <w:color w:val="auto"/>
          <w:sz w:val="36"/>
          <w:szCs w:val="36"/>
          <w:highlight w:val="none"/>
        </w:rPr>
      </w:pPr>
    </w:p>
    <w:p w14:paraId="2D45097D">
      <w:pPr>
        <w:spacing w:line="360" w:lineRule="auto"/>
        <w:ind w:firstLine="2530" w:firstLineChars="700"/>
        <w:outlineLvl w:val="0"/>
        <w:rPr>
          <w:rFonts w:ascii="宋体" w:hAnsi="宋体" w:cs="宋体"/>
          <w:b/>
          <w:color w:val="auto"/>
          <w:sz w:val="36"/>
          <w:szCs w:val="36"/>
          <w:highlight w:val="none"/>
        </w:rPr>
      </w:pPr>
    </w:p>
    <w:p w14:paraId="06911A56">
      <w:pPr>
        <w:spacing w:line="360" w:lineRule="auto"/>
        <w:ind w:firstLine="2530" w:firstLineChars="700"/>
        <w:outlineLvl w:val="0"/>
        <w:rPr>
          <w:rFonts w:ascii="宋体" w:hAnsi="宋体" w:cs="宋体"/>
          <w:b/>
          <w:color w:val="auto"/>
          <w:sz w:val="36"/>
          <w:szCs w:val="36"/>
          <w:highlight w:val="none"/>
        </w:rPr>
      </w:pPr>
    </w:p>
    <w:p w14:paraId="6B805DB2">
      <w:pPr>
        <w:spacing w:line="360" w:lineRule="auto"/>
        <w:ind w:firstLine="2530" w:firstLineChars="700"/>
        <w:outlineLvl w:val="0"/>
        <w:rPr>
          <w:rFonts w:ascii="宋体" w:hAnsi="宋体" w:cs="宋体"/>
          <w:b/>
          <w:color w:val="auto"/>
          <w:sz w:val="36"/>
          <w:szCs w:val="36"/>
          <w:highlight w:val="none"/>
        </w:rPr>
      </w:pPr>
    </w:p>
    <w:p w14:paraId="4A3C0FA8">
      <w:pPr>
        <w:spacing w:line="360" w:lineRule="auto"/>
        <w:ind w:firstLine="2530" w:firstLineChars="700"/>
        <w:outlineLvl w:val="0"/>
        <w:rPr>
          <w:rFonts w:ascii="宋体" w:hAnsi="宋体" w:cs="宋体"/>
          <w:b/>
          <w:color w:val="auto"/>
          <w:sz w:val="36"/>
          <w:szCs w:val="36"/>
          <w:highlight w:val="none"/>
        </w:rPr>
      </w:pPr>
    </w:p>
    <w:p w14:paraId="65D7EF6F">
      <w:pPr>
        <w:spacing w:line="360" w:lineRule="auto"/>
        <w:ind w:firstLine="2530" w:firstLineChars="700"/>
        <w:outlineLvl w:val="0"/>
        <w:rPr>
          <w:rFonts w:ascii="宋体" w:hAnsi="宋体" w:cs="宋体"/>
          <w:b/>
          <w:color w:val="auto"/>
          <w:sz w:val="36"/>
          <w:szCs w:val="36"/>
          <w:highlight w:val="none"/>
        </w:rPr>
      </w:pPr>
    </w:p>
    <w:p w14:paraId="5F64FE23">
      <w:pPr>
        <w:spacing w:line="360" w:lineRule="auto"/>
        <w:ind w:firstLine="2530" w:firstLineChars="700"/>
        <w:outlineLvl w:val="0"/>
        <w:rPr>
          <w:rFonts w:ascii="宋体" w:hAnsi="宋体" w:cs="宋体"/>
          <w:b/>
          <w:color w:val="auto"/>
          <w:sz w:val="36"/>
          <w:szCs w:val="36"/>
          <w:highlight w:val="none"/>
        </w:rPr>
      </w:pPr>
    </w:p>
    <w:p w14:paraId="7810AAD3">
      <w:pPr>
        <w:spacing w:line="360" w:lineRule="auto"/>
        <w:ind w:firstLine="2530" w:firstLineChars="700"/>
        <w:outlineLvl w:val="0"/>
        <w:rPr>
          <w:rFonts w:ascii="宋体" w:hAnsi="宋体" w:cs="宋体"/>
          <w:b/>
          <w:color w:val="auto"/>
          <w:sz w:val="36"/>
          <w:szCs w:val="36"/>
          <w:highlight w:val="none"/>
        </w:rPr>
      </w:pPr>
    </w:p>
    <w:p w14:paraId="2E20A197">
      <w:pPr>
        <w:spacing w:line="360" w:lineRule="auto"/>
        <w:ind w:firstLine="2530" w:firstLineChars="700"/>
        <w:outlineLvl w:val="0"/>
        <w:rPr>
          <w:rFonts w:ascii="宋体" w:hAnsi="宋体" w:cs="宋体"/>
          <w:b/>
          <w:color w:val="auto"/>
          <w:sz w:val="36"/>
          <w:szCs w:val="36"/>
          <w:highlight w:val="none"/>
        </w:rPr>
      </w:pPr>
    </w:p>
    <w:p w14:paraId="5D66BC53">
      <w:pPr>
        <w:spacing w:line="360" w:lineRule="auto"/>
        <w:ind w:firstLine="2530" w:firstLineChars="700"/>
        <w:outlineLvl w:val="0"/>
        <w:rPr>
          <w:rFonts w:ascii="宋体" w:hAnsi="宋体" w:cs="宋体"/>
          <w:b/>
          <w:color w:val="auto"/>
          <w:sz w:val="36"/>
          <w:szCs w:val="36"/>
          <w:highlight w:val="none"/>
        </w:rPr>
      </w:pPr>
    </w:p>
    <w:p w14:paraId="76D295B7">
      <w:pPr>
        <w:spacing w:line="360" w:lineRule="auto"/>
        <w:ind w:firstLine="2530" w:firstLineChars="700"/>
        <w:outlineLvl w:val="0"/>
        <w:rPr>
          <w:rFonts w:ascii="宋体" w:hAnsi="宋体" w:cs="宋体"/>
          <w:b/>
          <w:color w:val="auto"/>
          <w:sz w:val="36"/>
          <w:szCs w:val="36"/>
          <w:highlight w:val="none"/>
        </w:rPr>
      </w:pPr>
    </w:p>
    <w:p w14:paraId="7282C107">
      <w:pPr>
        <w:spacing w:line="360" w:lineRule="auto"/>
        <w:ind w:firstLine="2530" w:firstLineChars="700"/>
        <w:outlineLvl w:val="0"/>
        <w:rPr>
          <w:rFonts w:ascii="宋体" w:hAnsi="宋体" w:cs="宋体"/>
          <w:b/>
          <w:color w:val="auto"/>
          <w:sz w:val="36"/>
          <w:szCs w:val="36"/>
          <w:highlight w:val="none"/>
        </w:rPr>
      </w:pPr>
    </w:p>
    <w:p w14:paraId="5DA4BEC2">
      <w:pPr>
        <w:spacing w:line="360" w:lineRule="auto"/>
        <w:ind w:firstLine="2530" w:firstLineChars="7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4" w:name="_Toc184313286"/>
      <w:bookmarkEnd w:id="34"/>
      <w:bookmarkStart w:id="35" w:name="_Toc184308076"/>
      <w:bookmarkEnd w:id="35"/>
      <w:bookmarkStart w:id="36" w:name="_Toc184310273"/>
      <w:bookmarkEnd w:id="36"/>
      <w:bookmarkStart w:id="37" w:name="_Toc184310284"/>
      <w:bookmarkEnd w:id="37"/>
      <w:bookmarkStart w:id="38" w:name="_Toc184314434"/>
      <w:bookmarkEnd w:id="38"/>
      <w:bookmarkStart w:id="39" w:name="_Toc184308103"/>
      <w:bookmarkEnd w:id="39"/>
      <w:bookmarkStart w:id="40" w:name="_Toc184310275"/>
      <w:bookmarkEnd w:id="40"/>
      <w:bookmarkStart w:id="41" w:name="_Toc184308044"/>
      <w:bookmarkEnd w:id="41"/>
      <w:bookmarkStart w:id="42" w:name="_Toc184313306"/>
      <w:bookmarkEnd w:id="42"/>
      <w:bookmarkStart w:id="43" w:name="_Toc184308063"/>
      <w:bookmarkEnd w:id="43"/>
      <w:bookmarkStart w:id="44" w:name="_Toc184312100"/>
      <w:bookmarkEnd w:id="44"/>
      <w:bookmarkStart w:id="45" w:name="_Toc184312093"/>
      <w:bookmarkEnd w:id="45"/>
      <w:bookmarkStart w:id="46" w:name="_Toc184313273"/>
      <w:bookmarkEnd w:id="46"/>
      <w:bookmarkStart w:id="47" w:name="_Toc184314425"/>
      <w:bookmarkEnd w:id="47"/>
      <w:bookmarkStart w:id="48" w:name="_Toc184313281"/>
      <w:bookmarkEnd w:id="48"/>
      <w:bookmarkStart w:id="49" w:name="_Toc184310311"/>
      <w:bookmarkEnd w:id="49"/>
      <w:bookmarkStart w:id="50" w:name="_Toc184312108"/>
      <w:bookmarkEnd w:id="50"/>
      <w:bookmarkStart w:id="51" w:name="_Toc184308041"/>
      <w:bookmarkEnd w:id="51"/>
      <w:bookmarkStart w:id="52" w:name="_Toc184312139"/>
      <w:bookmarkEnd w:id="52"/>
      <w:bookmarkStart w:id="53" w:name="_Toc184308073"/>
      <w:bookmarkEnd w:id="53"/>
      <w:bookmarkStart w:id="54" w:name="_Toc184308104"/>
      <w:bookmarkEnd w:id="54"/>
      <w:bookmarkStart w:id="55" w:name="_Toc184313264"/>
      <w:bookmarkEnd w:id="55"/>
      <w:bookmarkStart w:id="56" w:name="_Toc184312069"/>
      <w:bookmarkEnd w:id="56"/>
      <w:bookmarkStart w:id="57" w:name="_Toc184310303"/>
      <w:bookmarkEnd w:id="57"/>
      <w:bookmarkStart w:id="58" w:name="_Toc184308042"/>
      <w:bookmarkEnd w:id="58"/>
      <w:bookmarkStart w:id="59" w:name="_Toc184312085"/>
      <w:bookmarkEnd w:id="59"/>
      <w:bookmarkStart w:id="60" w:name="_Toc184312126"/>
      <w:bookmarkEnd w:id="60"/>
      <w:bookmarkStart w:id="61" w:name="_Toc184313276"/>
      <w:bookmarkEnd w:id="61"/>
      <w:bookmarkStart w:id="62" w:name="_Toc184310294"/>
      <w:bookmarkEnd w:id="62"/>
      <w:bookmarkStart w:id="63" w:name="_Toc184312122"/>
      <w:bookmarkEnd w:id="63"/>
      <w:bookmarkStart w:id="64" w:name="_Toc184313300"/>
      <w:bookmarkEnd w:id="64"/>
      <w:bookmarkStart w:id="65" w:name="_Toc184310332"/>
      <w:bookmarkEnd w:id="65"/>
      <w:bookmarkStart w:id="66" w:name="_Toc184314481"/>
      <w:bookmarkEnd w:id="66"/>
      <w:bookmarkStart w:id="67" w:name="_Toc184313293"/>
      <w:bookmarkEnd w:id="67"/>
      <w:bookmarkStart w:id="68" w:name="_Toc184312128"/>
      <w:bookmarkEnd w:id="68"/>
      <w:bookmarkStart w:id="69" w:name="_Toc184313251"/>
      <w:bookmarkEnd w:id="69"/>
      <w:bookmarkStart w:id="70" w:name="_Toc184312124"/>
      <w:bookmarkEnd w:id="70"/>
      <w:bookmarkStart w:id="71" w:name="_Toc184308065"/>
      <w:bookmarkEnd w:id="71"/>
      <w:bookmarkStart w:id="72" w:name="_Toc184310341"/>
      <w:bookmarkEnd w:id="72"/>
      <w:bookmarkStart w:id="73" w:name="_Toc184314410"/>
      <w:bookmarkEnd w:id="73"/>
      <w:bookmarkStart w:id="74" w:name="_Toc184310331"/>
      <w:bookmarkEnd w:id="74"/>
      <w:bookmarkStart w:id="75" w:name="_Toc184314462"/>
      <w:bookmarkEnd w:id="75"/>
      <w:bookmarkStart w:id="76" w:name="_Toc184310288"/>
      <w:bookmarkEnd w:id="76"/>
      <w:bookmarkStart w:id="77" w:name="_Toc184308062"/>
      <w:bookmarkEnd w:id="77"/>
      <w:bookmarkStart w:id="78" w:name="_Toc184310308"/>
      <w:bookmarkEnd w:id="78"/>
      <w:bookmarkStart w:id="79" w:name="_Toc184308097"/>
      <w:bookmarkEnd w:id="79"/>
      <w:bookmarkStart w:id="80" w:name="_Toc184314448"/>
      <w:bookmarkEnd w:id="80"/>
      <w:bookmarkStart w:id="81" w:name="_Toc184312129"/>
      <w:bookmarkEnd w:id="81"/>
      <w:bookmarkStart w:id="82" w:name="_Toc184313292"/>
      <w:bookmarkEnd w:id="82"/>
      <w:bookmarkStart w:id="83" w:name="_Toc184313287"/>
      <w:bookmarkEnd w:id="83"/>
      <w:bookmarkStart w:id="84" w:name="_Toc184314420"/>
      <w:bookmarkEnd w:id="84"/>
      <w:bookmarkStart w:id="85" w:name="_Toc184312127"/>
      <w:bookmarkEnd w:id="85"/>
      <w:bookmarkStart w:id="86" w:name="_Toc184314419"/>
      <w:bookmarkEnd w:id="86"/>
      <w:bookmarkStart w:id="87" w:name="_Toc184314423"/>
      <w:bookmarkEnd w:id="87"/>
      <w:bookmarkStart w:id="88" w:name="_Toc184313305"/>
      <w:bookmarkEnd w:id="88"/>
      <w:bookmarkStart w:id="89" w:name="_Toc184313285"/>
      <w:bookmarkEnd w:id="89"/>
      <w:bookmarkStart w:id="90" w:name="_Toc184310325"/>
      <w:bookmarkEnd w:id="90"/>
      <w:bookmarkStart w:id="91" w:name="_Toc184313258"/>
      <w:bookmarkEnd w:id="91"/>
      <w:bookmarkStart w:id="92" w:name="_Toc184313272"/>
      <w:bookmarkEnd w:id="92"/>
      <w:bookmarkStart w:id="93" w:name="_Toc184312121"/>
      <w:bookmarkEnd w:id="93"/>
      <w:bookmarkStart w:id="94" w:name="_Toc184308057"/>
      <w:bookmarkEnd w:id="94"/>
      <w:bookmarkStart w:id="95" w:name="_Toc184313283"/>
      <w:bookmarkEnd w:id="95"/>
      <w:bookmarkStart w:id="96" w:name="_Toc184312132"/>
      <w:bookmarkEnd w:id="96"/>
      <w:bookmarkStart w:id="97" w:name="_Toc184313238"/>
      <w:bookmarkEnd w:id="97"/>
      <w:bookmarkStart w:id="98" w:name="_Toc184312082"/>
      <w:bookmarkEnd w:id="98"/>
      <w:bookmarkStart w:id="99" w:name="_Toc184308056"/>
      <w:bookmarkEnd w:id="99"/>
      <w:bookmarkStart w:id="100" w:name="_Toc184308098"/>
      <w:bookmarkEnd w:id="100"/>
      <w:bookmarkStart w:id="101" w:name="_Toc184313244"/>
      <w:bookmarkEnd w:id="101"/>
      <w:bookmarkStart w:id="102" w:name="_Toc184313307"/>
      <w:bookmarkEnd w:id="102"/>
      <w:bookmarkStart w:id="103" w:name="_Toc184310330"/>
      <w:bookmarkEnd w:id="103"/>
      <w:bookmarkStart w:id="104" w:name="_Toc184314469"/>
      <w:bookmarkEnd w:id="104"/>
      <w:bookmarkStart w:id="105" w:name="_Toc184313267"/>
      <w:bookmarkEnd w:id="105"/>
      <w:bookmarkStart w:id="106" w:name="_Toc184310278"/>
      <w:bookmarkEnd w:id="106"/>
      <w:bookmarkStart w:id="107" w:name="_Toc184310295"/>
      <w:bookmarkEnd w:id="107"/>
      <w:bookmarkStart w:id="108" w:name="_Toc184314427"/>
      <w:bookmarkEnd w:id="108"/>
      <w:bookmarkStart w:id="109" w:name="_Toc184310336"/>
      <w:bookmarkEnd w:id="109"/>
      <w:bookmarkStart w:id="110" w:name="_Toc184310339"/>
      <w:bookmarkEnd w:id="110"/>
      <w:bookmarkStart w:id="111" w:name="_Toc184310299"/>
      <w:bookmarkEnd w:id="111"/>
      <w:bookmarkStart w:id="112" w:name="_Toc184312130"/>
      <w:bookmarkEnd w:id="112"/>
      <w:bookmarkStart w:id="113" w:name="_Toc184310323"/>
      <w:bookmarkEnd w:id="113"/>
      <w:bookmarkStart w:id="114" w:name="_Toc184312067"/>
      <w:bookmarkEnd w:id="114"/>
      <w:bookmarkStart w:id="115" w:name="_Toc184308050"/>
      <w:bookmarkEnd w:id="115"/>
      <w:bookmarkStart w:id="116" w:name="_Toc184310300"/>
      <w:bookmarkEnd w:id="116"/>
      <w:bookmarkStart w:id="117" w:name="_Toc184310306"/>
      <w:bookmarkEnd w:id="117"/>
      <w:bookmarkStart w:id="118" w:name="_Toc184312073"/>
      <w:bookmarkEnd w:id="118"/>
      <w:bookmarkStart w:id="119" w:name="_Toc184308077"/>
      <w:bookmarkEnd w:id="119"/>
      <w:bookmarkStart w:id="120" w:name="_Toc184313243"/>
      <w:bookmarkEnd w:id="120"/>
      <w:bookmarkStart w:id="121" w:name="_Toc184314441"/>
      <w:bookmarkEnd w:id="121"/>
      <w:bookmarkStart w:id="122" w:name="_Toc184312112"/>
      <w:bookmarkEnd w:id="122"/>
      <w:bookmarkStart w:id="123" w:name="_Toc184308094"/>
      <w:bookmarkEnd w:id="123"/>
      <w:bookmarkStart w:id="124" w:name="_Toc184314463"/>
      <w:bookmarkEnd w:id="124"/>
      <w:bookmarkStart w:id="125" w:name="_Toc184308039"/>
      <w:bookmarkEnd w:id="125"/>
      <w:bookmarkStart w:id="126" w:name="_Toc184313240"/>
      <w:bookmarkEnd w:id="126"/>
      <w:bookmarkStart w:id="127" w:name="_Toc184308059"/>
      <w:bookmarkEnd w:id="127"/>
      <w:bookmarkStart w:id="128" w:name="_Toc184312098"/>
      <w:bookmarkEnd w:id="128"/>
      <w:bookmarkStart w:id="129" w:name="_Toc184312068"/>
      <w:bookmarkEnd w:id="129"/>
      <w:bookmarkStart w:id="130" w:name="_Toc184308054"/>
      <w:bookmarkEnd w:id="130"/>
      <w:bookmarkStart w:id="131" w:name="_Toc184310274"/>
      <w:bookmarkEnd w:id="131"/>
      <w:bookmarkStart w:id="132" w:name="_Toc184313302"/>
      <w:bookmarkEnd w:id="132"/>
      <w:bookmarkStart w:id="133" w:name="_Toc184312135"/>
      <w:bookmarkEnd w:id="133"/>
      <w:bookmarkStart w:id="134" w:name="_Toc184313249"/>
      <w:bookmarkEnd w:id="134"/>
      <w:bookmarkStart w:id="135" w:name="_Toc184314443"/>
      <w:bookmarkEnd w:id="135"/>
      <w:bookmarkStart w:id="136" w:name="_Toc184310287"/>
      <w:bookmarkEnd w:id="136"/>
      <w:bookmarkStart w:id="137" w:name="_Toc184313250"/>
      <w:bookmarkEnd w:id="137"/>
      <w:bookmarkStart w:id="138" w:name="_Toc184308055"/>
      <w:bookmarkEnd w:id="138"/>
      <w:bookmarkStart w:id="139" w:name="_Toc184314431"/>
      <w:bookmarkEnd w:id="139"/>
      <w:bookmarkStart w:id="140" w:name="_Toc184308075"/>
      <w:bookmarkEnd w:id="140"/>
      <w:bookmarkStart w:id="141" w:name="_Toc184308081"/>
      <w:bookmarkEnd w:id="141"/>
      <w:bookmarkStart w:id="142" w:name="_Toc184313295"/>
      <w:bookmarkEnd w:id="142"/>
      <w:bookmarkStart w:id="143" w:name="_Toc184312088"/>
      <w:bookmarkEnd w:id="143"/>
      <w:bookmarkStart w:id="144" w:name="_Toc184308074"/>
      <w:bookmarkEnd w:id="144"/>
      <w:bookmarkStart w:id="145" w:name="_Toc184310322"/>
      <w:bookmarkEnd w:id="145"/>
      <w:bookmarkStart w:id="146" w:name="_Toc184313239"/>
      <w:bookmarkEnd w:id="146"/>
      <w:bookmarkStart w:id="147" w:name="_Toc184310277"/>
      <w:bookmarkEnd w:id="147"/>
      <w:bookmarkStart w:id="148" w:name="_Toc184310309"/>
      <w:bookmarkEnd w:id="148"/>
      <w:bookmarkStart w:id="149" w:name="_Toc184308095"/>
      <w:bookmarkEnd w:id="149"/>
      <w:bookmarkStart w:id="150" w:name="_Toc184313297"/>
      <w:bookmarkEnd w:id="150"/>
      <w:bookmarkStart w:id="151" w:name="_Toc184314424"/>
      <w:bookmarkEnd w:id="151"/>
      <w:bookmarkStart w:id="152" w:name="_Toc184308085"/>
      <w:bookmarkEnd w:id="152"/>
      <w:bookmarkStart w:id="153" w:name="_Toc184314413"/>
      <w:bookmarkEnd w:id="153"/>
      <w:bookmarkStart w:id="154" w:name="_Toc184312109"/>
      <w:bookmarkEnd w:id="154"/>
      <w:bookmarkStart w:id="155" w:name="_Toc184312084"/>
      <w:bookmarkEnd w:id="155"/>
      <w:bookmarkStart w:id="156" w:name="_Toc184308107"/>
      <w:bookmarkEnd w:id="156"/>
      <w:bookmarkStart w:id="157" w:name="_Toc184310298"/>
      <w:bookmarkEnd w:id="157"/>
      <w:bookmarkStart w:id="158" w:name="_Toc184313256"/>
      <w:bookmarkEnd w:id="158"/>
      <w:bookmarkStart w:id="159" w:name="_Toc184310276"/>
      <w:bookmarkEnd w:id="159"/>
      <w:bookmarkStart w:id="160" w:name="_Toc184314412"/>
      <w:bookmarkEnd w:id="160"/>
      <w:bookmarkStart w:id="161" w:name="_Toc184312074"/>
      <w:bookmarkEnd w:id="161"/>
      <w:bookmarkStart w:id="162" w:name="_Toc184313282"/>
      <w:bookmarkEnd w:id="162"/>
      <w:bookmarkStart w:id="163" w:name="_Toc184313246"/>
      <w:bookmarkEnd w:id="163"/>
      <w:bookmarkStart w:id="164" w:name="_Toc184314426"/>
      <w:bookmarkEnd w:id="164"/>
      <w:bookmarkStart w:id="165" w:name="_Toc184310286"/>
      <w:bookmarkEnd w:id="165"/>
      <w:bookmarkStart w:id="166" w:name="_Toc184314474"/>
      <w:bookmarkEnd w:id="166"/>
      <w:bookmarkStart w:id="167" w:name="_Toc184313252"/>
      <w:bookmarkEnd w:id="167"/>
      <w:bookmarkStart w:id="168" w:name="_Toc184308058"/>
      <w:bookmarkEnd w:id="168"/>
      <w:bookmarkStart w:id="169" w:name="_Toc184312087"/>
      <w:bookmarkEnd w:id="169"/>
      <w:bookmarkStart w:id="170" w:name="_Toc184308060"/>
      <w:bookmarkEnd w:id="170"/>
      <w:bookmarkStart w:id="171" w:name="_Toc184313303"/>
      <w:bookmarkEnd w:id="171"/>
      <w:bookmarkStart w:id="172" w:name="_Toc184313296"/>
      <w:bookmarkEnd w:id="172"/>
      <w:bookmarkStart w:id="173" w:name="_Toc184313241"/>
      <w:bookmarkEnd w:id="173"/>
      <w:bookmarkStart w:id="174" w:name="_Toc184314460"/>
      <w:bookmarkEnd w:id="174"/>
      <w:bookmarkStart w:id="175" w:name="_Toc184308102"/>
      <w:bookmarkEnd w:id="175"/>
      <w:bookmarkStart w:id="176" w:name="_Toc184308108"/>
      <w:bookmarkEnd w:id="176"/>
      <w:bookmarkStart w:id="177" w:name="_Toc184314451"/>
      <w:bookmarkEnd w:id="177"/>
      <w:bookmarkStart w:id="178" w:name="_Toc184308080"/>
      <w:bookmarkEnd w:id="178"/>
      <w:bookmarkStart w:id="179" w:name="_Toc184313259"/>
      <w:bookmarkEnd w:id="179"/>
      <w:bookmarkStart w:id="180" w:name="_Toc184312101"/>
      <w:bookmarkEnd w:id="180"/>
      <w:bookmarkStart w:id="181" w:name="_Toc184312092"/>
      <w:bookmarkEnd w:id="181"/>
      <w:bookmarkStart w:id="182" w:name="_Toc184314411"/>
      <w:bookmarkEnd w:id="182"/>
      <w:bookmarkStart w:id="183" w:name="_Toc184314439"/>
      <w:bookmarkEnd w:id="183"/>
      <w:bookmarkStart w:id="184" w:name="_Toc184312114"/>
      <w:bookmarkEnd w:id="184"/>
      <w:bookmarkStart w:id="185" w:name="_Toc184310329"/>
      <w:bookmarkEnd w:id="185"/>
      <w:bookmarkStart w:id="186" w:name="_Toc184314458"/>
      <w:bookmarkEnd w:id="186"/>
      <w:bookmarkStart w:id="187" w:name="_Toc184310281"/>
      <w:bookmarkEnd w:id="187"/>
      <w:bookmarkStart w:id="188" w:name="_Toc184312089"/>
      <w:bookmarkEnd w:id="188"/>
      <w:bookmarkStart w:id="189" w:name="_Toc184312075"/>
      <w:bookmarkEnd w:id="189"/>
      <w:bookmarkStart w:id="190" w:name="_Toc184310333"/>
      <w:bookmarkEnd w:id="190"/>
      <w:bookmarkStart w:id="191" w:name="_Toc184312079"/>
      <w:bookmarkEnd w:id="191"/>
      <w:bookmarkStart w:id="192" w:name="_Toc184308101"/>
      <w:bookmarkEnd w:id="192"/>
      <w:bookmarkStart w:id="193" w:name="_Toc184314440"/>
      <w:bookmarkEnd w:id="193"/>
      <w:bookmarkStart w:id="194" w:name="_Toc184313299"/>
      <w:bookmarkEnd w:id="194"/>
      <w:bookmarkStart w:id="195" w:name="_Toc184312113"/>
      <w:bookmarkEnd w:id="195"/>
      <w:bookmarkStart w:id="196" w:name="_Toc184310297"/>
      <w:bookmarkEnd w:id="196"/>
      <w:bookmarkStart w:id="197" w:name="_Toc184314429"/>
      <w:bookmarkEnd w:id="197"/>
      <w:bookmarkStart w:id="198" w:name="_Toc184312104"/>
      <w:bookmarkEnd w:id="198"/>
      <w:bookmarkStart w:id="199" w:name="_Toc184313263"/>
      <w:bookmarkEnd w:id="199"/>
      <w:bookmarkStart w:id="200" w:name="_Toc184312138"/>
      <w:bookmarkEnd w:id="200"/>
      <w:bookmarkStart w:id="201" w:name="_Toc184312090"/>
      <w:bookmarkEnd w:id="201"/>
      <w:bookmarkStart w:id="202" w:name="_Toc184313279"/>
      <w:bookmarkEnd w:id="202"/>
      <w:bookmarkStart w:id="203" w:name="_Toc184314452"/>
      <w:bookmarkEnd w:id="203"/>
      <w:bookmarkStart w:id="204" w:name="_Toc184308048"/>
      <w:bookmarkEnd w:id="204"/>
      <w:bookmarkStart w:id="205" w:name="_Toc184313253"/>
      <w:bookmarkEnd w:id="205"/>
      <w:bookmarkStart w:id="206" w:name="_Toc184314446"/>
      <w:bookmarkEnd w:id="206"/>
      <w:bookmarkStart w:id="207" w:name="_Toc184314479"/>
      <w:bookmarkEnd w:id="207"/>
      <w:bookmarkStart w:id="208" w:name="_Toc184313257"/>
      <w:bookmarkEnd w:id="208"/>
      <w:bookmarkStart w:id="209" w:name="_Toc184313304"/>
      <w:bookmarkEnd w:id="209"/>
      <w:bookmarkStart w:id="210" w:name="_Toc184314476"/>
      <w:bookmarkEnd w:id="210"/>
      <w:bookmarkStart w:id="211" w:name="_Toc184313260"/>
      <w:bookmarkEnd w:id="211"/>
      <w:bookmarkStart w:id="212" w:name="_Toc184313284"/>
      <w:bookmarkEnd w:id="212"/>
      <w:bookmarkStart w:id="213" w:name="_Toc184314447"/>
      <w:bookmarkEnd w:id="213"/>
      <w:bookmarkStart w:id="214" w:name="_Toc184313298"/>
      <w:bookmarkEnd w:id="214"/>
      <w:bookmarkStart w:id="215" w:name="_Toc184314471"/>
      <w:bookmarkEnd w:id="215"/>
      <w:bookmarkStart w:id="216" w:name="_Toc184313262"/>
      <w:bookmarkEnd w:id="216"/>
      <w:bookmarkStart w:id="217" w:name="_Toc184308069"/>
      <w:bookmarkEnd w:id="217"/>
      <w:bookmarkStart w:id="218" w:name="_Toc184310296"/>
      <w:bookmarkEnd w:id="218"/>
      <w:bookmarkStart w:id="219" w:name="_Toc184312119"/>
      <w:bookmarkEnd w:id="219"/>
      <w:bookmarkStart w:id="220" w:name="_Toc184308071"/>
      <w:bookmarkEnd w:id="220"/>
      <w:bookmarkStart w:id="221" w:name="_Toc184313265"/>
      <w:bookmarkEnd w:id="221"/>
      <w:bookmarkStart w:id="222" w:name="_Toc184308068"/>
      <w:bookmarkEnd w:id="222"/>
      <w:bookmarkStart w:id="223" w:name="_Toc184312072"/>
      <w:bookmarkEnd w:id="223"/>
      <w:bookmarkStart w:id="224" w:name="_Toc184314466"/>
      <w:bookmarkEnd w:id="224"/>
      <w:bookmarkStart w:id="225" w:name="_Toc184314428"/>
      <w:bookmarkEnd w:id="225"/>
      <w:bookmarkStart w:id="226" w:name="_Toc184310315"/>
      <w:bookmarkEnd w:id="226"/>
      <w:bookmarkStart w:id="227" w:name="_Toc184308040"/>
      <w:bookmarkEnd w:id="227"/>
      <w:bookmarkStart w:id="228" w:name="_Toc184313309"/>
      <w:bookmarkEnd w:id="228"/>
      <w:bookmarkStart w:id="229" w:name="_Toc184313277"/>
      <w:bookmarkEnd w:id="229"/>
      <w:bookmarkStart w:id="230" w:name="_Toc184314482"/>
      <w:bookmarkEnd w:id="230"/>
      <w:bookmarkStart w:id="231" w:name="_Toc184310316"/>
      <w:bookmarkEnd w:id="231"/>
      <w:bookmarkStart w:id="232" w:name="_Toc184314457"/>
      <w:bookmarkEnd w:id="232"/>
      <w:bookmarkStart w:id="233" w:name="_Toc184310317"/>
      <w:bookmarkEnd w:id="233"/>
      <w:bookmarkStart w:id="234" w:name="_Toc184314456"/>
      <w:bookmarkEnd w:id="234"/>
      <w:bookmarkStart w:id="235" w:name="_Toc184313242"/>
      <w:bookmarkEnd w:id="235"/>
      <w:bookmarkStart w:id="236" w:name="_Toc184312106"/>
      <w:bookmarkEnd w:id="236"/>
      <w:bookmarkStart w:id="237" w:name="_Toc184313255"/>
      <w:bookmarkEnd w:id="237"/>
      <w:bookmarkStart w:id="238" w:name="_Toc184310318"/>
      <w:bookmarkEnd w:id="238"/>
      <w:bookmarkStart w:id="239" w:name="_Toc184308067"/>
      <w:bookmarkEnd w:id="239"/>
      <w:bookmarkStart w:id="240" w:name="_Toc184308070"/>
      <w:bookmarkEnd w:id="240"/>
      <w:bookmarkStart w:id="241" w:name="_Toc184310334"/>
      <w:bookmarkEnd w:id="241"/>
      <w:bookmarkStart w:id="242" w:name="_Toc184314455"/>
      <w:bookmarkEnd w:id="242"/>
      <w:bookmarkStart w:id="243" w:name="_Toc184312091"/>
      <w:bookmarkEnd w:id="243"/>
      <w:bookmarkStart w:id="244" w:name="_Toc184310312"/>
      <w:bookmarkEnd w:id="244"/>
      <w:bookmarkStart w:id="245" w:name="_Toc184312105"/>
      <w:bookmarkEnd w:id="245"/>
      <w:bookmarkStart w:id="246" w:name="_Toc184310290"/>
      <w:bookmarkEnd w:id="246"/>
      <w:bookmarkStart w:id="247" w:name="_Toc184312083"/>
      <w:bookmarkEnd w:id="247"/>
      <w:bookmarkStart w:id="248" w:name="_Toc184308036"/>
      <w:bookmarkEnd w:id="248"/>
      <w:bookmarkStart w:id="249" w:name="_Toc184308066"/>
      <w:bookmarkEnd w:id="249"/>
      <w:bookmarkStart w:id="250" w:name="_Toc184314445"/>
      <w:bookmarkEnd w:id="250"/>
      <w:bookmarkStart w:id="251" w:name="_Toc184314480"/>
      <w:bookmarkEnd w:id="251"/>
      <w:bookmarkStart w:id="252" w:name="_Toc184312071"/>
      <w:bookmarkEnd w:id="252"/>
      <w:bookmarkStart w:id="253" w:name="_Toc184310283"/>
      <w:bookmarkEnd w:id="253"/>
      <w:bookmarkStart w:id="254" w:name="_Toc184310302"/>
      <w:bookmarkEnd w:id="254"/>
      <w:bookmarkStart w:id="255" w:name="_Toc184314468"/>
      <w:bookmarkEnd w:id="255"/>
      <w:bookmarkStart w:id="256" w:name="_Toc184313275"/>
      <w:bookmarkEnd w:id="256"/>
      <w:bookmarkStart w:id="257" w:name="_Toc184314444"/>
      <w:bookmarkEnd w:id="257"/>
      <w:bookmarkStart w:id="258" w:name="_Toc184308092"/>
      <w:bookmarkEnd w:id="258"/>
      <w:bookmarkStart w:id="259" w:name="_Toc184312096"/>
      <w:bookmarkEnd w:id="259"/>
      <w:bookmarkStart w:id="260" w:name="_Toc184314422"/>
      <w:bookmarkEnd w:id="260"/>
      <w:bookmarkStart w:id="261" w:name="_Toc184314416"/>
      <w:bookmarkEnd w:id="261"/>
      <w:bookmarkStart w:id="262" w:name="_Toc184312111"/>
      <w:bookmarkEnd w:id="262"/>
      <w:bookmarkStart w:id="263" w:name="_Toc184313245"/>
      <w:bookmarkEnd w:id="263"/>
      <w:bookmarkStart w:id="264" w:name="_Toc184312095"/>
      <w:bookmarkEnd w:id="264"/>
      <w:bookmarkStart w:id="265" w:name="_Toc184312131"/>
      <w:bookmarkEnd w:id="265"/>
      <w:bookmarkStart w:id="266" w:name="_Toc184310272"/>
      <w:bookmarkEnd w:id="266"/>
      <w:bookmarkStart w:id="267" w:name="_Toc184313310"/>
      <w:bookmarkEnd w:id="267"/>
      <w:bookmarkStart w:id="268" w:name="_Toc184314475"/>
      <w:bookmarkEnd w:id="268"/>
      <w:bookmarkStart w:id="269" w:name="_Toc184313294"/>
      <w:bookmarkEnd w:id="269"/>
      <w:bookmarkStart w:id="270" w:name="_Toc184314432"/>
      <w:bookmarkEnd w:id="270"/>
      <w:bookmarkStart w:id="271" w:name="_Toc184308051"/>
      <w:bookmarkEnd w:id="271"/>
      <w:bookmarkStart w:id="272" w:name="_Toc184314435"/>
      <w:bookmarkEnd w:id="272"/>
      <w:bookmarkStart w:id="273" w:name="_Toc184310304"/>
      <w:bookmarkEnd w:id="273"/>
      <w:bookmarkStart w:id="274" w:name="_Toc184312117"/>
      <w:bookmarkEnd w:id="274"/>
      <w:bookmarkStart w:id="275" w:name="_Toc184314415"/>
      <w:bookmarkEnd w:id="275"/>
      <w:bookmarkStart w:id="276" w:name="_Toc184314430"/>
      <w:bookmarkEnd w:id="276"/>
      <w:bookmarkStart w:id="277" w:name="_Toc184308093"/>
      <w:bookmarkEnd w:id="277"/>
      <w:bookmarkStart w:id="278" w:name="_Toc184313288"/>
      <w:bookmarkEnd w:id="278"/>
      <w:bookmarkStart w:id="279" w:name="_Toc184313301"/>
      <w:bookmarkEnd w:id="279"/>
      <w:bookmarkStart w:id="280" w:name="_Toc184310340"/>
      <w:bookmarkEnd w:id="280"/>
      <w:bookmarkStart w:id="281" w:name="_Toc184313270"/>
      <w:bookmarkEnd w:id="281"/>
      <w:bookmarkStart w:id="282" w:name="_Toc184312102"/>
      <w:bookmarkEnd w:id="282"/>
      <w:bookmarkStart w:id="283" w:name="_Toc184312133"/>
      <w:bookmarkEnd w:id="283"/>
      <w:bookmarkStart w:id="284" w:name="_Toc184313308"/>
      <w:bookmarkEnd w:id="284"/>
      <w:bookmarkStart w:id="285" w:name="_Toc184314450"/>
      <w:bookmarkEnd w:id="285"/>
      <w:bookmarkStart w:id="286" w:name="_Toc184314472"/>
      <w:bookmarkEnd w:id="286"/>
      <w:bookmarkStart w:id="287" w:name="_Toc184312080"/>
      <w:bookmarkEnd w:id="287"/>
      <w:bookmarkStart w:id="288" w:name="_Toc184314477"/>
      <w:bookmarkEnd w:id="288"/>
      <w:bookmarkStart w:id="289" w:name="_Toc184312116"/>
      <w:bookmarkEnd w:id="289"/>
      <w:bookmarkStart w:id="290" w:name="_Toc184312078"/>
      <w:bookmarkEnd w:id="290"/>
      <w:bookmarkStart w:id="291" w:name="_Toc184310314"/>
      <w:bookmarkEnd w:id="291"/>
      <w:bookmarkStart w:id="292" w:name="_Toc184310310"/>
      <w:bookmarkEnd w:id="292"/>
      <w:bookmarkStart w:id="293" w:name="_Toc184313254"/>
      <w:bookmarkEnd w:id="293"/>
      <w:bookmarkStart w:id="294" w:name="_Toc184308045"/>
      <w:bookmarkEnd w:id="294"/>
      <w:bookmarkStart w:id="295" w:name="_Toc184308053"/>
      <w:bookmarkEnd w:id="295"/>
      <w:bookmarkStart w:id="296" w:name="_Toc184308037"/>
      <w:bookmarkEnd w:id="296"/>
      <w:bookmarkStart w:id="297" w:name="_Toc184313266"/>
      <w:bookmarkEnd w:id="297"/>
      <w:bookmarkStart w:id="298" w:name="_Toc184308078"/>
      <w:bookmarkEnd w:id="298"/>
      <w:bookmarkStart w:id="299" w:name="_Toc184312125"/>
      <w:bookmarkEnd w:id="299"/>
      <w:bookmarkStart w:id="300" w:name="_Toc184308082"/>
      <w:bookmarkEnd w:id="300"/>
      <w:bookmarkStart w:id="301" w:name="_Toc184308052"/>
      <w:bookmarkEnd w:id="301"/>
      <w:bookmarkStart w:id="302" w:name="_Toc184308087"/>
      <w:bookmarkEnd w:id="302"/>
      <w:bookmarkStart w:id="303" w:name="_Toc184312136"/>
      <w:bookmarkEnd w:id="303"/>
      <w:bookmarkStart w:id="304" w:name="_Toc184308072"/>
      <w:bookmarkEnd w:id="304"/>
      <w:bookmarkStart w:id="305" w:name="_Toc184312070"/>
      <w:bookmarkEnd w:id="305"/>
      <w:bookmarkStart w:id="306" w:name="_Toc184308090"/>
      <w:bookmarkEnd w:id="306"/>
      <w:bookmarkStart w:id="307" w:name="_Toc184310342"/>
      <w:bookmarkEnd w:id="307"/>
      <w:bookmarkStart w:id="308" w:name="_Toc184308089"/>
      <w:bookmarkEnd w:id="308"/>
      <w:bookmarkStart w:id="309" w:name="_Toc184308083"/>
      <w:bookmarkEnd w:id="309"/>
      <w:bookmarkStart w:id="310" w:name="_Toc184308043"/>
      <w:bookmarkEnd w:id="310"/>
      <w:bookmarkStart w:id="311" w:name="_Toc184310337"/>
      <w:bookmarkEnd w:id="311"/>
      <w:bookmarkStart w:id="312" w:name="_Toc184308099"/>
      <w:bookmarkEnd w:id="312"/>
      <w:bookmarkStart w:id="313" w:name="_Toc184314436"/>
      <w:bookmarkEnd w:id="313"/>
      <w:bookmarkStart w:id="314" w:name="_Toc184314437"/>
      <w:bookmarkEnd w:id="314"/>
      <w:bookmarkStart w:id="315" w:name="_Toc184313289"/>
      <w:bookmarkEnd w:id="315"/>
      <w:bookmarkStart w:id="316" w:name="_Toc184308088"/>
      <w:bookmarkEnd w:id="316"/>
      <w:bookmarkStart w:id="317" w:name="_Toc184308038"/>
      <w:bookmarkEnd w:id="317"/>
      <w:bookmarkStart w:id="318" w:name="_Toc184310307"/>
      <w:bookmarkEnd w:id="318"/>
      <w:bookmarkStart w:id="319" w:name="_Toc184310282"/>
      <w:bookmarkEnd w:id="319"/>
      <w:bookmarkStart w:id="320" w:name="_Toc184310328"/>
      <w:bookmarkEnd w:id="320"/>
      <w:bookmarkStart w:id="321" w:name="_Toc184313290"/>
      <w:bookmarkEnd w:id="321"/>
      <w:bookmarkStart w:id="322" w:name="_Toc184310301"/>
      <w:bookmarkEnd w:id="322"/>
      <w:bookmarkStart w:id="323" w:name="_Toc184310292"/>
      <w:bookmarkEnd w:id="323"/>
      <w:bookmarkStart w:id="324" w:name="_Toc184312094"/>
      <w:bookmarkEnd w:id="324"/>
      <w:bookmarkStart w:id="325" w:name="_Toc184313278"/>
      <w:bookmarkEnd w:id="325"/>
      <w:bookmarkStart w:id="326" w:name="_Toc184313248"/>
      <w:bookmarkEnd w:id="326"/>
      <w:bookmarkStart w:id="327" w:name="_Toc184312110"/>
      <w:bookmarkEnd w:id="327"/>
      <w:bookmarkStart w:id="328" w:name="_Toc184314473"/>
      <w:bookmarkEnd w:id="328"/>
      <w:bookmarkStart w:id="329" w:name="_Toc184310335"/>
      <w:bookmarkEnd w:id="329"/>
      <w:bookmarkStart w:id="330" w:name="_Toc184308106"/>
      <w:bookmarkEnd w:id="330"/>
      <w:bookmarkStart w:id="331" w:name="_Toc184313261"/>
      <w:bookmarkEnd w:id="331"/>
      <w:bookmarkStart w:id="332" w:name="_Toc184312097"/>
      <w:bookmarkEnd w:id="332"/>
      <w:bookmarkStart w:id="333" w:name="_Toc184312115"/>
      <w:bookmarkEnd w:id="333"/>
      <w:bookmarkStart w:id="334" w:name="_Toc184310279"/>
      <w:bookmarkEnd w:id="334"/>
      <w:bookmarkStart w:id="335" w:name="_Toc184313247"/>
      <w:bookmarkEnd w:id="335"/>
      <w:bookmarkStart w:id="336" w:name="_Toc184308061"/>
      <w:bookmarkEnd w:id="336"/>
      <w:bookmarkStart w:id="337" w:name="_Toc184312107"/>
      <w:bookmarkEnd w:id="337"/>
      <w:bookmarkStart w:id="338" w:name="_Toc184313291"/>
      <w:bookmarkEnd w:id="338"/>
      <w:bookmarkStart w:id="339" w:name="_Toc184310291"/>
      <w:bookmarkEnd w:id="339"/>
      <w:bookmarkStart w:id="340" w:name="_Toc184314438"/>
      <w:bookmarkEnd w:id="340"/>
      <w:bookmarkStart w:id="341" w:name="_Toc184314417"/>
      <w:bookmarkEnd w:id="341"/>
      <w:bookmarkStart w:id="342" w:name="_Toc184310313"/>
      <w:bookmarkEnd w:id="342"/>
      <w:bookmarkStart w:id="343" w:name="_Toc184314459"/>
      <w:bookmarkEnd w:id="343"/>
      <w:bookmarkStart w:id="344" w:name="_Toc184312076"/>
      <w:bookmarkEnd w:id="344"/>
      <w:bookmarkStart w:id="345" w:name="_Toc184310285"/>
      <w:bookmarkEnd w:id="345"/>
      <w:bookmarkStart w:id="346" w:name="_Toc184313268"/>
      <w:bookmarkEnd w:id="346"/>
      <w:bookmarkStart w:id="347" w:name="_Toc184310324"/>
      <w:bookmarkEnd w:id="347"/>
      <w:bookmarkStart w:id="348" w:name="_Toc184308079"/>
      <w:bookmarkEnd w:id="348"/>
      <w:bookmarkStart w:id="349" w:name="_Toc184314470"/>
      <w:bookmarkEnd w:id="349"/>
      <w:bookmarkStart w:id="350" w:name="_Toc184314418"/>
      <w:bookmarkEnd w:id="350"/>
      <w:bookmarkStart w:id="351" w:name="_Toc184314467"/>
      <w:bookmarkEnd w:id="351"/>
      <w:bookmarkStart w:id="352" w:name="_Toc184314414"/>
      <w:bookmarkEnd w:id="352"/>
      <w:bookmarkStart w:id="353" w:name="_Toc184308105"/>
      <w:bookmarkEnd w:id="353"/>
      <w:bookmarkStart w:id="354" w:name="_Toc184310321"/>
      <w:bookmarkEnd w:id="354"/>
      <w:bookmarkStart w:id="355" w:name="_Toc184314465"/>
      <w:bookmarkEnd w:id="355"/>
      <w:bookmarkStart w:id="356" w:name="_Toc184308100"/>
      <w:bookmarkEnd w:id="356"/>
      <w:bookmarkStart w:id="357" w:name="_Toc184312099"/>
      <w:bookmarkEnd w:id="357"/>
      <w:bookmarkStart w:id="358" w:name="_Toc184312086"/>
      <w:bookmarkEnd w:id="358"/>
      <w:bookmarkStart w:id="359" w:name="_Toc184313271"/>
      <w:bookmarkEnd w:id="359"/>
      <w:bookmarkStart w:id="360" w:name="_Toc184310320"/>
      <w:bookmarkEnd w:id="360"/>
      <w:bookmarkStart w:id="361" w:name="_Toc184308049"/>
      <w:bookmarkEnd w:id="361"/>
      <w:bookmarkStart w:id="362" w:name="_Toc184312077"/>
      <w:bookmarkEnd w:id="362"/>
      <w:bookmarkStart w:id="363" w:name="_Toc184312134"/>
      <w:bookmarkEnd w:id="363"/>
      <w:bookmarkStart w:id="364" w:name="_Toc184314433"/>
      <w:bookmarkEnd w:id="364"/>
      <w:bookmarkStart w:id="365" w:name="_Toc184310289"/>
      <w:bookmarkEnd w:id="365"/>
      <w:bookmarkStart w:id="366" w:name="_Toc184313269"/>
      <w:bookmarkEnd w:id="366"/>
      <w:bookmarkStart w:id="367" w:name="_Toc184312103"/>
      <w:bookmarkEnd w:id="367"/>
      <w:bookmarkStart w:id="368" w:name="_Toc184308047"/>
      <w:bookmarkEnd w:id="368"/>
      <w:bookmarkStart w:id="369" w:name="_Toc184312137"/>
      <w:bookmarkEnd w:id="369"/>
      <w:bookmarkStart w:id="370" w:name="_Toc184310327"/>
      <w:bookmarkEnd w:id="370"/>
      <w:bookmarkStart w:id="371" w:name="_Toc184312120"/>
      <w:bookmarkEnd w:id="371"/>
      <w:bookmarkStart w:id="372" w:name="_Toc184310344"/>
      <w:bookmarkEnd w:id="372"/>
      <w:bookmarkStart w:id="373" w:name="_Toc184310305"/>
      <w:bookmarkEnd w:id="373"/>
      <w:bookmarkStart w:id="374" w:name="_Toc184312123"/>
      <w:bookmarkEnd w:id="374"/>
      <w:bookmarkStart w:id="375" w:name="_Toc184313280"/>
      <w:bookmarkEnd w:id="375"/>
      <w:bookmarkStart w:id="376" w:name="_Toc184314454"/>
      <w:bookmarkEnd w:id="376"/>
      <w:bookmarkStart w:id="377" w:name="_Toc184310338"/>
      <w:bookmarkEnd w:id="377"/>
      <w:bookmarkStart w:id="378" w:name="_Toc184314453"/>
      <w:bookmarkEnd w:id="378"/>
      <w:bookmarkStart w:id="379" w:name="_Toc184310293"/>
      <w:bookmarkEnd w:id="379"/>
      <w:bookmarkStart w:id="380" w:name="_Toc184308096"/>
      <w:bookmarkEnd w:id="380"/>
      <w:bookmarkStart w:id="381" w:name="_Toc184308086"/>
      <w:bookmarkEnd w:id="381"/>
      <w:bookmarkStart w:id="382" w:name="_Toc184308064"/>
      <w:bookmarkEnd w:id="382"/>
      <w:bookmarkStart w:id="383" w:name="_Toc184314449"/>
      <w:bookmarkEnd w:id="383"/>
      <w:bookmarkStart w:id="384" w:name="_Toc184308091"/>
      <w:bookmarkEnd w:id="384"/>
      <w:bookmarkStart w:id="385" w:name="_Toc184312081"/>
      <w:bookmarkEnd w:id="385"/>
      <w:bookmarkStart w:id="386" w:name="_Toc184308046"/>
      <w:bookmarkEnd w:id="386"/>
      <w:bookmarkStart w:id="387" w:name="_Toc184314461"/>
      <w:bookmarkEnd w:id="387"/>
      <w:bookmarkStart w:id="388" w:name="_Toc184308084"/>
      <w:bookmarkEnd w:id="388"/>
      <w:bookmarkStart w:id="389" w:name="_Toc184314421"/>
      <w:bookmarkEnd w:id="389"/>
      <w:bookmarkStart w:id="390" w:name="_Toc184313274"/>
      <w:bookmarkEnd w:id="390"/>
      <w:bookmarkStart w:id="391" w:name="_Toc184314478"/>
      <w:bookmarkEnd w:id="391"/>
      <w:bookmarkStart w:id="392" w:name="_Toc184310326"/>
      <w:bookmarkEnd w:id="392"/>
      <w:bookmarkStart w:id="393" w:name="_Toc184310343"/>
      <w:bookmarkEnd w:id="393"/>
      <w:bookmarkStart w:id="394" w:name="_Toc184312118"/>
      <w:bookmarkEnd w:id="394"/>
      <w:bookmarkStart w:id="395" w:name="_Toc184314442"/>
      <w:bookmarkEnd w:id="395"/>
      <w:bookmarkStart w:id="396" w:name="_Toc184314464"/>
      <w:bookmarkEnd w:id="396"/>
      <w:bookmarkStart w:id="397" w:name="_Toc184310280"/>
      <w:bookmarkEnd w:id="397"/>
      <w:bookmarkStart w:id="398" w:name="_Toc184310319"/>
      <w:bookmarkEnd w:id="398"/>
      <w:r>
        <w:rPr>
          <w:rFonts w:hint="eastAsia" w:ascii="宋体" w:hAnsi="宋体" w:cs="宋体"/>
          <w:b/>
          <w:color w:val="auto"/>
          <w:sz w:val="36"/>
          <w:szCs w:val="36"/>
          <w:highlight w:val="none"/>
        </w:rPr>
        <w:t>评标办法</w:t>
      </w:r>
      <w:bookmarkEnd w:id="33"/>
    </w:p>
    <w:p w14:paraId="5298A375">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089"/>
        <w:gridCol w:w="298"/>
        <w:gridCol w:w="5040"/>
        <w:gridCol w:w="605"/>
        <w:gridCol w:w="748"/>
      </w:tblGrid>
      <w:tr w14:paraId="275FD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08" w:type="dxa"/>
            <w:gridSpan w:val="4"/>
            <w:tcBorders>
              <w:top w:val="single" w:color="auto" w:sz="4" w:space="0"/>
              <w:left w:val="single" w:color="auto" w:sz="4" w:space="0"/>
              <w:bottom w:val="single" w:color="auto" w:sz="4" w:space="0"/>
              <w:right w:val="single" w:color="auto" w:sz="2" w:space="0"/>
            </w:tcBorders>
            <w:vAlign w:val="center"/>
          </w:tcPr>
          <w:p w14:paraId="0D12E78D">
            <w:pPr>
              <w:adjustRightInd/>
              <w:spacing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评分项及分值</w:t>
            </w:r>
          </w:p>
        </w:tc>
        <w:tc>
          <w:tcPr>
            <w:tcW w:w="605" w:type="dxa"/>
            <w:tcBorders>
              <w:top w:val="single" w:color="auto" w:sz="4" w:space="0"/>
              <w:left w:val="single" w:color="auto" w:sz="4" w:space="0"/>
              <w:bottom w:val="single" w:color="auto" w:sz="4" w:space="0"/>
              <w:right w:val="single" w:color="auto" w:sz="2" w:space="0"/>
            </w:tcBorders>
            <w:vAlign w:val="center"/>
          </w:tcPr>
          <w:p w14:paraId="0FFF428C">
            <w:pPr>
              <w:adjustRightInd/>
              <w:spacing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分值</w:t>
            </w:r>
          </w:p>
        </w:tc>
        <w:tc>
          <w:tcPr>
            <w:tcW w:w="748" w:type="dxa"/>
            <w:tcBorders>
              <w:top w:val="single" w:color="auto" w:sz="4" w:space="0"/>
              <w:left w:val="single" w:color="auto" w:sz="4" w:space="0"/>
              <w:bottom w:val="single" w:color="auto" w:sz="4" w:space="0"/>
              <w:right w:val="single" w:color="auto" w:sz="2" w:space="0"/>
            </w:tcBorders>
            <w:vAlign w:val="center"/>
          </w:tcPr>
          <w:p w14:paraId="78EE7959">
            <w:pPr>
              <w:adjustRightInd/>
              <w:spacing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分值类型</w:t>
            </w:r>
          </w:p>
        </w:tc>
      </w:tr>
      <w:tr w14:paraId="47B6D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1" w:type="dxa"/>
            <w:vMerge w:val="restart"/>
            <w:tcBorders>
              <w:top w:val="single" w:color="auto" w:sz="4" w:space="0"/>
              <w:left w:val="single" w:color="auto" w:sz="4" w:space="0"/>
              <w:right w:val="single" w:color="auto" w:sz="2" w:space="0"/>
            </w:tcBorders>
            <w:vAlign w:val="center"/>
          </w:tcPr>
          <w:p w14:paraId="6C1FD98E">
            <w:pPr>
              <w:adjustRightInd/>
              <w:spacing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商务技术分（80分）</w:t>
            </w:r>
          </w:p>
        </w:tc>
        <w:tc>
          <w:tcPr>
            <w:tcW w:w="6427" w:type="dxa"/>
            <w:gridSpan w:val="3"/>
            <w:tcBorders>
              <w:top w:val="single" w:color="auto" w:sz="4" w:space="0"/>
              <w:left w:val="single" w:color="auto" w:sz="4" w:space="0"/>
              <w:bottom w:val="single" w:color="auto" w:sz="4" w:space="0"/>
              <w:right w:val="single" w:color="auto" w:sz="2" w:space="0"/>
            </w:tcBorders>
            <w:vAlign w:val="center"/>
          </w:tcPr>
          <w:p w14:paraId="525EE9D3">
            <w:pPr>
              <w:widowControl/>
              <w:adjustRightInd/>
              <w:spacing w:line="288" w:lineRule="auto"/>
              <w:jc w:val="left"/>
              <w:rPr>
                <w:rFonts w:ascii="宋体" w:hAnsi="宋体" w:cs="宋体"/>
                <w:color w:val="auto"/>
                <w:sz w:val="24"/>
                <w:highlight w:val="none"/>
              </w:rPr>
            </w:pPr>
            <w:r>
              <w:rPr>
                <w:rFonts w:hint="eastAsia" w:ascii="宋体" w:hAnsi="宋体" w:cs="宋体"/>
                <w:color w:val="auto"/>
                <w:sz w:val="24"/>
                <w:highlight w:val="none"/>
              </w:rPr>
              <w:t>1、对供应商的需求响应进行评议（24分）：</w:t>
            </w:r>
          </w:p>
          <w:p w14:paraId="5D3F2CC1">
            <w:pPr>
              <w:spacing w:line="288" w:lineRule="auto"/>
              <w:rPr>
                <w:rFonts w:ascii="宋体" w:hAnsi="宋体" w:cs="宋体"/>
                <w:bCs/>
                <w:color w:val="auto"/>
                <w:kern w:val="0"/>
                <w:sz w:val="24"/>
                <w:highlight w:val="none"/>
              </w:rPr>
            </w:pPr>
            <w:r>
              <w:rPr>
                <w:rFonts w:hint="eastAsia" w:ascii="宋体" w:hAnsi="宋体" w:cs="宋体"/>
                <w:bCs/>
                <w:color w:val="auto"/>
                <w:kern w:val="0"/>
                <w:sz w:val="24"/>
                <w:highlight w:val="none"/>
                <w:lang w:bidi="ar"/>
              </w:rPr>
              <w:t>（1）完全响应招标文件 “第三部分 采购需求 二、服务内容及要求”中所有指标的得24分；</w:t>
            </w:r>
          </w:p>
          <w:p w14:paraId="6773DCF3">
            <w:pPr>
              <w:spacing w:line="288" w:lineRule="auto"/>
              <w:rPr>
                <w:rFonts w:ascii="宋体" w:hAnsi="宋体" w:cs="宋体"/>
                <w:bCs/>
                <w:color w:val="auto"/>
                <w:kern w:val="0"/>
                <w:sz w:val="24"/>
                <w:highlight w:val="none"/>
              </w:rPr>
            </w:pPr>
            <w:r>
              <w:rPr>
                <w:rFonts w:hint="eastAsia" w:ascii="宋体" w:hAnsi="宋体" w:cs="宋体"/>
                <w:bCs/>
                <w:color w:val="auto"/>
                <w:kern w:val="0"/>
                <w:sz w:val="24"/>
                <w:highlight w:val="none"/>
                <w:lang w:bidi="ar"/>
              </w:rPr>
              <w:t>（2）“第三部分 采购需求 二、服务内容及要求”中标“▲”的指标，每负偏离一条扣3分；</w:t>
            </w:r>
          </w:p>
          <w:p w14:paraId="7CEA8AEC">
            <w:pPr>
              <w:spacing w:line="288" w:lineRule="auto"/>
              <w:rPr>
                <w:rFonts w:ascii="宋体" w:hAnsi="宋体" w:cs="宋体"/>
                <w:bCs/>
                <w:color w:val="auto"/>
                <w:kern w:val="0"/>
                <w:sz w:val="24"/>
                <w:highlight w:val="none"/>
              </w:rPr>
            </w:pPr>
            <w:r>
              <w:rPr>
                <w:rFonts w:hint="eastAsia" w:ascii="宋体" w:hAnsi="宋体" w:cs="宋体"/>
                <w:bCs/>
                <w:color w:val="auto"/>
                <w:kern w:val="0"/>
                <w:sz w:val="24"/>
                <w:highlight w:val="none"/>
                <w:lang w:bidi="ar"/>
              </w:rPr>
              <w:t>（3）“第三部分 采购需求 二、服务内容及要求”中未标“▲”的指标，每负偏离一条扣1分。</w:t>
            </w:r>
          </w:p>
          <w:p w14:paraId="06A021FF">
            <w:pPr>
              <w:spacing w:line="288" w:lineRule="auto"/>
              <w:rPr>
                <w:rFonts w:ascii="宋体" w:hAnsi="宋体" w:cs="宋体"/>
                <w:color w:val="auto"/>
                <w:sz w:val="24"/>
                <w:highlight w:val="none"/>
              </w:rPr>
            </w:pPr>
            <w:r>
              <w:rPr>
                <w:rFonts w:hint="eastAsia" w:ascii="宋体" w:hAnsi="宋体" w:cs="宋体"/>
                <w:b/>
                <w:color w:val="auto"/>
                <w:kern w:val="0"/>
                <w:sz w:val="24"/>
                <w:highlight w:val="none"/>
                <w:lang w:bidi="ar"/>
              </w:rPr>
              <w:t>注：当有供应商此项分值扣减至0分时，其投标文件作无效标处理，不再进行评审。</w:t>
            </w:r>
          </w:p>
        </w:tc>
        <w:tc>
          <w:tcPr>
            <w:tcW w:w="605" w:type="dxa"/>
            <w:tcBorders>
              <w:top w:val="single" w:color="auto" w:sz="4" w:space="0"/>
              <w:left w:val="single" w:color="auto" w:sz="4" w:space="0"/>
              <w:bottom w:val="single" w:color="auto" w:sz="4" w:space="0"/>
              <w:right w:val="single" w:color="auto" w:sz="2" w:space="0"/>
            </w:tcBorders>
            <w:vAlign w:val="center"/>
          </w:tcPr>
          <w:p w14:paraId="16E0E9BA">
            <w:pPr>
              <w:adjustRightInd/>
              <w:spacing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24</w:t>
            </w:r>
          </w:p>
        </w:tc>
        <w:tc>
          <w:tcPr>
            <w:tcW w:w="748" w:type="dxa"/>
            <w:tcBorders>
              <w:top w:val="single" w:color="auto" w:sz="4" w:space="0"/>
              <w:left w:val="single" w:color="auto" w:sz="4" w:space="0"/>
              <w:bottom w:val="single" w:color="auto" w:sz="4" w:space="0"/>
              <w:right w:val="single" w:color="auto" w:sz="2" w:space="0"/>
            </w:tcBorders>
            <w:vAlign w:val="center"/>
          </w:tcPr>
          <w:p w14:paraId="2E1B8177">
            <w:pPr>
              <w:adjustRightInd/>
              <w:spacing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客观评议</w:t>
            </w:r>
          </w:p>
        </w:tc>
      </w:tr>
      <w:tr w14:paraId="3254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1" w:type="dxa"/>
            <w:vMerge w:val="continue"/>
            <w:tcBorders>
              <w:left w:val="single" w:color="auto" w:sz="4" w:space="0"/>
              <w:right w:val="single" w:color="auto" w:sz="2" w:space="0"/>
            </w:tcBorders>
            <w:vAlign w:val="center"/>
          </w:tcPr>
          <w:p w14:paraId="0B8D9F12">
            <w:pPr>
              <w:adjustRightInd/>
              <w:spacing w:line="288" w:lineRule="auto"/>
              <w:jc w:val="center"/>
              <w:rPr>
                <w:rFonts w:ascii="宋体" w:hAnsi="宋体" w:cs="宋体"/>
                <w:snapToGrid w:val="0"/>
                <w:color w:val="auto"/>
                <w:spacing w:val="-4"/>
                <w:sz w:val="24"/>
                <w:highlight w:val="none"/>
              </w:rPr>
            </w:pPr>
          </w:p>
        </w:tc>
        <w:tc>
          <w:tcPr>
            <w:tcW w:w="6427" w:type="dxa"/>
            <w:gridSpan w:val="3"/>
            <w:tcBorders>
              <w:top w:val="single" w:color="auto" w:sz="4" w:space="0"/>
              <w:left w:val="single" w:color="auto" w:sz="4" w:space="0"/>
              <w:bottom w:val="single" w:color="auto" w:sz="4" w:space="0"/>
              <w:right w:val="single" w:color="auto" w:sz="2" w:space="0"/>
            </w:tcBorders>
            <w:vAlign w:val="center"/>
          </w:tcPr>
          <w:p w14:paraId="3B13B584">
            <w:pPr>
              <w:widowControl/>
              <w:adjustRightInd/>
              <w:spacing w:line="288" w:lineRule="auto"/>
              <w:jc w:val="left"/>
              <w:rPr>
                <w:rFonts w:ascii="宋体" w:hAnsi="宋体" w:cs="宋体"/>
                <w:color w:val="auto"/>
                <w:sz w:val="24"/>
                <w:highlight w:val="none"/>
              </w:rPr>
            </w:pPr>
            <w:r>
              <w:rPr>
                <w:rFonts w:hint="eastAsia" w:ascii="宋体" w:hAnsi="宋体" w:cs="宋体"/>
                <w:color w:val="auto"/>
                <w:sz w:val="24"/>
                <w:highlight w:val="none"/>
              </w:rPr>
              <w:t>2、对供应商提供的结果报送方案（①提供检测项目从委托实验室收样至发送报告至委托实验室（电子和/或纸质）的时间（分钟）；②检测结果报送方式是否合理可行；③报送过程中出现问题的处理方案）进行评议：方案完整、科学、合理、可行的得5分；方案基本完整能满足招标需求的得4分；方案基本完整但部分内容缺失的得3分；方案不够完整，存在部分缺陷的得2分；方案不完整，存在明显缺陷，无法满足招标需求的得1分；未提供本项不得分。</w:t>
            </w:r>
          </w:p>
        </w:tc>
        <w:tc>
          <w:tcPr>
            <w:tcW w:w="605" w:type="dxa"/>
            <w:tcBorders>
              <w:top w:val="single" w:color="auto" w:sz="4" w:space="0"/>
              <w:left w:val="single" w:color="auto" w:sz="4" w:space="0"/>
              <w:bottom w:val="single" w:color="auto" w:sz="4" w:space="0"/>
              <w:right w:val="single" w:color="auto" w:sz="2" w:space="0"/>
            </w:tcBorders>
            <w:vAlign w:val="center"/>
          </w:tcPr>
          <w:p w14:paraId="1A136405">
            <w:pPr>
              <w:adjustRightInd/>
              <w:spacing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5</w:t>
            </w:r>
          </w:p>
        </w:tc>
        <w:tc>
          <w:tcPr>
            <w:tcW w:w="748" w:type="dxa"/>
            <w:tcBorders>
              <w:top w:val="single" w:color="auto" w:sz="4" w:space="0"/>
              <w:left w:val="single" w:color="auto" w:sz="4" w:space="0"/>
              <w:bottom w:val="single" w:color="auto" w:sz="4" w:space="0"/>
              <w:right w:val="single" w:color="auto" w:sz="2" w:space="0"/>
            </w:tcBorders>
            <w:vAlign w:val="center"/>
          </w:tcPr>
          <w:p w14:paraId="78A661EE">
            <w:pPr>
              <w:adjustRightInd/>
              <w:spacing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主观评议</w:t>
            </w:r>
          </w:p>
        </w:tc>
      </w:tr>
      <w:tr w14:paraId="3EFF9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1" w:type="dxa"/>
            <w:vMerge w:val="continue"/>
            <w:tcBorders>
              <w:left w:val="single" w:color="auto" w:sz="4" w:space="0"/>
              <w:right w:val="single" w:color="auto" w:sz="2" w:space="0"/>
            </w:tcBorders>
            <w:vAlign w:val="center"/>
          </w:tcPr>
          <w:p w14:paraId="77AA21B9">
            <w:pPr>
              <w:adjustRightInd/>
              <w:spacing w:line="288" w:lineRule="auto"/>
              <w:jc w:val="center"/>
              <w:rPr>
                <w:rFonts w:ascii="宋体" w:hAnsi="宋体" w:cs="宋体"/>
                <w:snapToGrid w:val="0"/>
                <w:color w:val="auto"/>
                <w:spacing w:val="-4"/>
                <w:sz w:val="24"/>
                <w:highlight w:val="none"/>
              </w:rPr>
            </w:pPr>
          </w:p>
        </w:tc>
        <w:tc>
          <w:tcPr>
            <w:tcW w:w="6427" w:type="dxa"/>
            <w:gridSpan w:val="3"/>
            <w:tcBorders>
              <w:top w:val="single" w:color="auto" w:sz="4" w:space="0"/>
              <w:left w:val="single" w:color="auto" w:sz="4" w:space="0"/>
              <w:bottom w:val="single" w:color="auto" w:sz="4" w:space="0"/>
              <w:right w:val="single" w:color="auto" w:sz="2" w:space="0"/>
            </w:tcBorders>
            <w:vAlign w:val="center"/>
          </w:tcPr>
          <w:p w14:paraId="3918E1B6">
            <w:pPr>
              <w:widowControl/>
              <w:adjustRightInd/>
              <w:spacing w:line="288" w:lineRule="auto"/>
              <w:jc w:val="left"/>
              <w:rPr>
                <w:rFonts w:ascii="宋体" w:hAnsi="宋体" w:cs="宋体"/>
                <w:color w:val="auto"/>
                <w:sz w:val="24"/>
                <w:highlight w:val="none"/>
              </w:rPr>
            </w:pPr>
            <w:r>
              <w:rPr>
                <w:rFonts w:hint="eastAsia" w:ascii="宋体" w:hAnsi="宋体" w:cs="宋体"/>
                <w:color w:val="auto"/>
                <w:sz w:val="24"/>
                <w:highlight w:val="none"/>
              </w:rPr>
              <w:t>3、对供应商提供的标本收集方案（①服务质量控制措施是否合理可行；②服务保障措施是否合理可行；③服务流程是否规范）进行评议：方案完整、科学、合理、可行的得5分；方案基本完整能满足招标需求的得4分；方案基本完整但部分内容缺失的得3分；方案不够完整，存在部分缺陷的得2分；方案不完整，存在明显缺陷，无法满足招标需求的得1分；未提供本项不得分。</w:t>
            </w:r>
          </w:p>
        </w:tc>
        <w:tc>
          <w:tcPr>
            <w:tcW w:w="605" w:type="dxa"/>
            <w:tcBorders>
              <w:top w:val="single" w:color="auto" w:sz="4" w:space="0"/>
              <w:left w:val="single" w:color="auto" w:sz="4" w:space="0"/>
              <w:bottom w:val="single" w:color="auto" w:sz="4" w:space="0"/>
              <w:right w:val="single" w:color="auto" w:sz="2" w:space="0"/>
            </w:tcBorders>
            <w:vAlign w:val="center"/>
          </w:tcPr>
          <w:p w14:paraId="6B4B82A1">
            <w:pPr>
              <w:adjustRightInd/>
              <w:spacing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5</w:t>
            </w:r>
          </w:p>
        </w:tc>
        <w:tc>
          <w:tcPr>
            <w:tcW w:w="748" w:type="dxa"/>
            <w:tcBorders>
              <w:top w:val="single" w:color="auto" w:sz="4" w:space="0"/>
              <w:left w:val="single" w:color="auto" w:sz="4" w:space="0"/>
              <w:bottom w:val="single" w:color="auto" w:sz="4" w:space="0"/>
              <w:right w:val="single" w:color="auto" w:sz="2" w:space="0"/>
            </w:tcBorders>
            <w:vAlign w:val="center"/>
          </w:tcPr>
          <w:p w14:paraId="6C585206">
            <w:pPr>
              <w:adjustRightInd/>
              <w:spacing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主观评议</w:t>
            </w:r>
          </w:p>
        </w:tc>
      </w:tr>
      <w:tr w14:paraId="7C6C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1" w:type="dxa"/>
            <w:vMerge w:val="continue"/>
            <w:tcBorders>
              <w:left w:val="single" w:color="auto" w:sz="4" w:space="0"/>
              <w:right w:val="single" w:color="auto" w:sz="2" w:space="0"/>
            </w:tcBorders>
            <w:vAlign w:val="center"/>
          </w:tcPr>
          <w:p w14:paraId="4EA88646">
            <w:pPr>
              <w:adjustRightInd/>
              <w:spacing w:line="288" w:lineRule="auto"/>
              <w:jc w:val="center"/>
              <w:rPr>
                <w:rFonts w:ascii="宋体" w:hAnsi="宋体" w:cs="宋体"/>
                <w:snapToGrid w:val="0"/>
                <w:color w:val="auto"/>
                <w:spacing w:val="-4"/>
                <w:sz w:val="24"/>
                <w:highlight w:val="none"/>
              </w:rPr>
            </w:pPr>
          </w:p>
        </w:tc>
        <w:tc>
          <w:tcPr>
            <w:tcW w:w="6427" w:type="dxa"/>
            <w:gridSpan w:val="3"/>
            <w:tcBorders>
              <w:top w:val="single" w:color="auto" w:sz="4" w:space="0"/>
              <w:left w:val="single" w:color="auto" w:sz="4" w:space="0"/>
              <w:bottom w:val="single" w:color="auto" w:sz="4" w:space="0"/>
              <w:right w:val="single" w:color="auto" w:sz="2" w:space="0"/>
            </w:tcBorders>
            <w:vAlign w:val="center"/>
          </w:tcPr>
          <w:p w14:paraId="7F481F69">
            <w:pPr>
              <w:widowControl/>
              <w:adjustRightInd/>
              <w:spacing w:line="288" w:lineRule="auto"/>
              <w:jc w:val="left"/>
              <w:rPr>
                <w:rFonts w:ascii="宋体" w:hAnsi="宋体" w:cs="宋体"/>
                <w:color w:val="auto"/>
                <w:sz w:val="24"/>
                <w:highlight w:val="none"/>
              </w:rPr>
            </w:pPr>
            <w:r>
              <w:rPr>
                <w:rFonts w:hint="eastAsia" w:ascii="宋体" w:hAnsi="宋体" w:cs="宋体"/>
                <w:color w:val="auto"/>
                <w:sz w:val="24"/>
                <w:highlight w:val="none"/>
              </w:rPr>
              <w:t>4、对供应商提供的运输方案（①是否具有物流冷链资质；②物流方案是否合理可行；③物流人员资质是否符合要求；④标本运输效率）进行评议：方案完整、科学、合理、可行的得5分；方案基本完整能满足招标需求的得4分；方案基本完整但部分内容缺失的得3分；方案不够完整，存在部分缺陷的得2分；方案不完整，存在明显缺陷，无法满足招标需求的得1分；未提供本项不得分。</w:t>
            </w:r>
          </w:p>
        </w:tc>
        <w:tc>
          <w:tcPr>
            <w:tcW w:w="605" w:type="dxa"/>
            <w:tcBorders>
              <w:top w:val="single" w:color="auto" w:sz="4" w:space="0"/>
              <w:left w:val="single" w:color="auto" w:sz="4" w:space="0"/>
              <w:bottom w:val="single" w:color="auto" w:sz="4" w:space="0"/>
              <w:right w:val="single" w:color="auto" w:sz="2" w:space="0"/>
            </w:tcBorders>
            <w:vAlign w:val="center"/>
          </w:tcPr>
          <w:p w14:paraId="20AA73BD">
            <w:pPr>
              <w:adjustRightInd/>
              <w:spacing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5</w:t>
            </w:r>
          </w:p>
        </w:tc>
        <w:tc>
          <w:tcPr>
            <w:tcW w:w="748" w:type="dxa"/>
            <w:tcBorders>
              <w:top w:val="single" w:color="auto" w:sz="4" w:space="0"/>
              <w:left w:val="single" w:color="auto" w:sz="4" w:space="0"/>
              <w:bottom w:val="single" w:color="auto" w:sz="4" w:space="0"/>
              <w:right w:val="single" w:color="auto" w:sz="2" w:space="0"/>
            </w:tcBorders>
            <w:vAlign w:val="center"/>
          </w:tcPr>
          <w:p w14:paraId="2B37127F">
            <w:pPr>
              <w:adjustRightInd/>
              <w:spacing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主观评议</w:t>
            </w:r>
          </w:p>
        </w:tc>
      </w:tr>
      <w:tr w14:paraId="58DBA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1" w:type="dxa"/>
            <w:vMerge w:val="continue"/>
            <w:tcBorders>
              <w:left w:val="single" w:color="auto" w:sz="4" w:space="0"/>
              <w:right w:val="single" w:color="auto" w:sz="2" w:space="0"/>
            </w:tcBorders>
            <w:vAlign w:val="center"/>
          </w:tcPr>
          <w:p w14:paraId="1106A88F">
            <w:pPr>
              <w:adjustRightInd/>
              <w:spacing w:line="288" w:lineRule="auto"/>
              <w:jc w:val="center"/>
              <w:rPr>
                <w:rFonts w:ascii="宋体" w:hAnsi="宋体" w:cs="宋体"/>
                <w:snapToGrid w:val="0"/>
                <w:color w:val="auto"/>
                <w:spacing w:val="-4"/>
                <w:sz w:val="24"/>
                <w:highlight w:val="none"/>
              </w:rPr>
            </w:pPr>
          </w:p>
        </w:tc>
        <w:tc>
          <w:tcPr>
            <w:tcW w:w="6427" w:type="dxa"/>
            <w:gridSpan w:val="3"/>
            <w:tcBorders>
              <w:top w:val="single" w:color="auto" w:sz="4" w:space="0"/>
              <w:left w:val="single" w:color="auto" w:sz="4" w:space="0"/>
              <w:bottom w:val="single" w:color="auto" w:sz="4" w:space="0"/>
              <w:right w:val="single" w:color="auto" w:sz="2" w:space="0"/>
            </w:tcBorders>
            <w:vAlign w:val="center"/>
          </w:tcPr>
          <w:p w14:paraId="19CA81B7">
            <w:pPr>
              <w:widowControl/>
              <w:adjustRightInd/>
              <w:spacing w:line="288" w:lineRule="auto"/>
              <w:jc w:val="left"/>
              <w:rPr>
                <w:rFonts w:ascii="宋体" w:hAnsi="宋体" w:cs="宋体"/>
                <w:color w:val="auto"/>
                <w:sz w:val="24"/>
                <w:highlight w:val="none"/>
              </w:rPr>
            </w:pPr>
            <w:r>
              <w:rPr>
                <w:rFonts w:hint="eastAsia" w:ascii="宋体" w:hAnsi="宋体" w:cs="宋体"/>
                <w:color w:val="auto"/>
                <w:sz w:val="24"/>
                <w:highlight w:val="none"/>
              </w:rPr>
              <w:t>5、对供应商提供的检测方案（①实验室室内控制措施是否合理可行；②提供实验室室间质评（或比对）证明材料；③危急值报告流程）进行评议：方案完整、科学、合理、可行的得5分；方案基本完整能满足招标需求的得4分；方案基本完整但部分内容缺失的得3分；方案不够完整，存在部分缺陷的得2分；方案不完整，存在明显缺陷，无法满足招标需求的得1分；未提供本项不得分。</w:t>
            </w:r>
          </w:p>
        </w:tc>
        <w:tc>
          <w:tcPr>
            <w:tcW w:w="605" w:type="dxa"/>
            <w:tcBorders>
              <w:top w:val="single" w:color="auto" w:sz="4" w:space="0"/>
              <w:left w:val="single" w:color="auto" w:sz="4" w:space="0"/>
              <w:bottom w:val="single" w:color="auto" w:sz="4" w:space="0"/>
              <w:right w:val="single" w:color="auto" w:sz="2" w:space="0"/>
            </w:tcBorders>
            <w:vAlign w:val="center"/>
          </w:tcPr>
          <w:p w14:paraId="768D8300">
            <w:pPr>
              <w:adjustRightInd/>
              <w:spacing w:line="288" w:lineRule="auto"/>
              <w:jc w:val="center"/>
              <w:rPr>
                <w:rFonts w:hint="eastAsia" w:ascii="宋体" w:hAnsi="宋体" w:eastAsia="宋体" w:cs="宋体"/>
                <w:snapToGrid w:val="0"/>
                <w:color w:val="auto"/>
                <w:spacing w:val="-4"/>
                <w:sz w:val="24"/>
                <w:highlight w:val="none"/>
                <w:lang w:eastAsia="zh-CN"/>
              </w:rPr>
            </w:pPr>
            <w:r>
              <w:rPr>
                <w:rFonts w:hint="eastAsia" w:ascii="宋体" w:hAnsi="宋体" w:cs="宋体"/>
                <w:snapToGrid w:val="0"/>
                <w:color w:val="auto"/>
                <w:spacing w:val="-4"/>
                <w:sz w:val="24"/>
                <w:highlight w:val="none"/>
                <w:lang w:val="en-US" w:eastAsia="zh-CN"/>
              </w:rPr>
              <w:t>5</w:t>
            </w:r>
          </w:p>
        </w:tc>
        <w:tc>
          <w:tcPr>
            <w:tcW w:w="748" w:type="dxa"/>
            <w:tcBorders>
              <w:top w:val="single" w:color="auto" w:sz="4" w:space="0"/>
              <w:left w:val="single" w:color="auto" w:sz="4" w:space="0"/>
              <w:bottom w:val="single" w:color="auto" w:sz="4" w:space="0"/>
              <w:right w:val="single" w:color="auto" w:sz="2" w:space="0"/>
            </w:tcBorders>
            <w:vAlign w:val="center"/>
          </w:tcPr>
          <w:p w14:paraId="42FEEED3">
            <w:pPr>
              <w:adjustRightInd/>
              <w:spacing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主观评议</w:t>
            </w:r>
          </w:p>
        </w:tc>
      </w:tr>
      <w:tr w14:paraId="1BF0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4" w:hRule="atLeast"/>
          <w:jc w:val="center"/>
        </w:trPr>
        <w:tc>
          <w:tcPr>
            <w:tcW w:w="881" w:type="dxa"/>
            <w:vMerge w:val="continue"/>
            <w:tcBorders>
              <w:left w:val="single" w:color="auto" w:sz="4" w:space="0"/>
              <w:right w:val="single" w:color="auto" w:sz="2" w:space="0"/>
            </w:tcBorders>
            <w:vAlign w:val="center"/>
          </w:tcPr>
          <w:p w14:paraId="7BABC565">
            <w:pPr>
              <w:adjustRightInd/>
              <w:spacing w:line="288" w:lineRule="auto"/>
              <w:jc w:val="center"/>
              <w:rPr>
                <w:rFonts w:ascii="宋体" w:hAnsi="宋体" w:cs="宋体"/>
                <w:snapToGrid w:val="0"/>
                <w:color w:val="auto"/>
                <w:spacing w:val="-4"/>
                <w:sz w:val="24"/>
                <w:highlight w:val="none"/>
              </w:rPr>
            </w:pPr>
          </w:p>
        </w:tc>
        <w:tc>
          <w:tcPr>
            <w:tcW w:w="6427" w:type="dxa"/>
            <w:gridSpan w:val="3"/>
            <w:tcBorders>
              <w:top w:val="single" w:color="auto" w:sz="4" w:space="0"/>
              <w:left w:val="single" w:color="auto" w:sz="4" w:space="0"/>
              <w:bottom w:val="single" w:color="auto" w:sz="4" w:space="0"/>
              <w:right w:val="single" w:color="auto" w:sz="2" w:space="0"/>
            </w:tcBorders>
            <w:vAlign w:val="center"/>
          </w:tcPr>
          <w:p w14:paraId="51421357">
            <w:pPr>
              <w:widowControl/>
              <w:adjustRightInd/>
              <w:spacing w:line="288" w:lineRule="auto"/>
              <w:jc w:val="left"/>
              <w:rPr>
                <w:rFonts w:ascii="宋体" w:hAnsi="宋体" w:cs="宋体"/>
                <w:color w:val="auto"/>
                <w:sz w:val="24"/>
                <w:highlight w:val="none"/>
              </w:rPr>
            </w:pPr>
            <w:r>
              <w:rPr>
                <w:rFonts w:hint="eastAsia" w:ascii="宋体" w:hAnsi="宋体" w:cs="宋体"/>
                <w:color w:val="auto"/>
                <w:sz w:val="24"/>
                <w:highlight w:val="none"/>
              </w:rPr>
              <w:t>6、对供应商提供的应急保证措施（①根据自身经验对本项目突发状况预判能力；②对突发状况处理能力；③应急响应措施是否完善）进行评议：方案完整、科学、合理、可行的得3分；方案基本完整能满足招标需求的得2分；方案基本完整但部分内容缺失的得1分；未提供本项不得分。</w:t>
            </w:r>
          </w:p>
        </w:tc>
        <w:tc>
          <w:tcPr>
            <w:tcW w:w="605" w:type="dxa"/>
            <w:tcBorders>
              <w:top w:val="single" w:color="auto" w:sz="4" w:space="0"/>
              <w:left w:val="single" w:color="auto" w:sz="4" w:space="0"/>
              <w:bottom w:val="single" w:color="auto" w:sz="4" w:space="0"/>
              <w:right w:val="single" w:color="auto" w:sz="2" w:space="0"/>
            </w:tcBorders>
            <w:vAlign w:val="center"/>
          </w:tcPr>
          <w:p w14:paraId="5B84DBB9">
            <w:pPr>
              <w:adjustRightInd/>
              <w:spacing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3</w:t>
            </w:r>
          </w:p>
        </w:tc>
        <w:tc>
          <w:tcPr>
            <w:tcW w:w="748" w:type="dxa"/>
            <w:tcBorders>
              <w:top w:val="single" w:color="auto" w:sz="4" w:space="0"/>
              <w:left w:val="single" w:color="auto" w:sz="4" w:space="0"/>
              <w:bottom w:val="single" w:color="auto" w:sz="4" w:space="0"/>
              <w:right w:val="single" w:color="auto" w:sz="2" w:space="0"/>
            </w:tcBorders>
            <w:vAlign w:val="center"/>
          </w:tcPr>
          <w:p w14:paraId="22101892">
            <w:pPr>
              <w:adjustRightInd/>
              <w:spacing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主观评议</w:t>
            </w:r>
          </w:p>
        </w:tc>
      </w:tr>
      <w:tr w14:paraId="1AAD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9" w:hRule="atLeast"/>
          <w:jc w:val="center"/>
        </w:trPr>
        <w:tc>
          <w:tcPr>
            <w:tcW w:w="881" w:type="dxa"/>
            <w:vMerge w:val="continue"/>
            <w:tcBorders>
              <w:left w:val="single" w:color="auto" w:sz="4" w:space="0"/>
              <w:right w:val="single" w:color="auto" w:sz="2" w:space="0"/>
            </w:tcBorders>
            <w:vAlign w:val="center"/>
          </w:tcPr>
          <w:p w14:paraId="35E8F851">
            <w:pPr>
              <w:adjustRightInd/>
              <w:spacing w:line="288" w:lineRule="auto"/>
              <w:jc w:val="center"/>
              <w:rPr>
                <w:rFonts w:ascii="宋体" w:hAnsi="宋体" w:cs="宋体"/>
                <w:snapToGrid w:val="0"/>
                <w:color w:val="auto"/>
                <w:spacing w:val="-4"/>
                <w:sz w:val="24"/>
                <w:highlight w:val="none"/>
              </w:rPr>
            </w:pPr>
          </w:p>
        </w:tc>
        <w:tc>
          <w:tcPr>
            <w:tcW w:w="6427" w:type="dxa"/>
            <w:gridSpan w:val="3"/>
            <w:tcBorders>
              <w:top w:val="single" w:color="auto" w:sz="4" w:space="0"/>
              <w:left w:val="single" w:color="auto" w:sz="4" w:space="0"/>
              <w:bottom w:val="single" w:color="auto" w:sz="4" w:space="0"/>
              <w:right w:val="single" w:color="auto" w:sz="2" w:space="0"/>
            </w:tcBorders>
            <w:vAlign w:val="center"/>
          </w:tcPr>
          <w:p w14:paraId="7803DBC7">
            <w:pPr>
              <w:widowControl/>
              <w:adjustRightInd/>
              <w:spacing w:line="288" w:lineRule="auto"/>
              <w:jc w:val="left"/>
              <w:rPr>
                <w:rFonts w:ascii="宋体" w:hAnsi="宋体" w:cs="宋体"/>
                <w:color w:val="auto"/>
                <w:sz w:val="24"/>
                <w:highlight w:val="none"/>
              </w:rPr>
            </w:pPr>
            <w:r>
              <w:rPr>
                <w:rFonts w:hint="eastAsia" w:ascii="宋体" w:hAnsi="宋体" w:cs="宋体"/>
                <w:color w:val="auto"/>
                <w:sz w:val="24"/>
                <w:highlight w:val="none"/>
              </w:rPr>
              <w:t>7、对供应商提供的报告单格式和实验室检测方法学（①报告单格式是否符合规范；②实验室仪器设备和方法学）进行评议：报告单格式符合规范，方法学完全满足采购需求得3分；报告单格式符合规范，方法学基本满足采购需求得2分；报告单格式和实验室检测方法学不完整，存在明显缺陷，无法满足招标需求的得1分；未提供本项不得分。</w:t>
            </w:r>
          </w:p>
        </w:tc>
        <w:tc>
          <w:tcPr>
            <w:tcW w:w="605" w:type="dxa"/>
            <w:tcBorders>
              <w:top w:val="single" w:color="auto" w:sz="4" w:space="0"/>
              <w:left w:val="single" w:color="auto" w:sz="4" w:space="0"/>
              <w:bottom w:val="single" w:color="auto" w:sz="4" w:space="0"/>
              <w:right w:val="single" w:color="auto" w:sz="2" w:space="0"/>
            </w:tcBorders>
            <w:vAlign w:val="center"/>
          </w:tcPr>
          <w:p w14:paraId="0EA5CE2A">
            <w:pPr>
              <w:adjustRightInd/>
              <w:spacing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3</w:t>
            </w:r>
          </w:p>
        </w:tc>
        <w:tc>
          <w:tcPr>
            <w:tcW w:w="748" w:type="dxa"/>
            <w:tcBorders>
              <w:top w:val="single" w:color="auto" w:sz="4" w:space="0"/>
              <w:left w:val="single" w:color="auto" w:sz="4" w:space="0"/>
              <w:bottom w:val="single" w:color="auto" w:sz="4" w:space="0"/>
              <w:right w:val="single" w:color="auto" w:sz="2" w:space="0"/>
            </w:tcBorders>
            <w:vAlign w:val="center"/>
          </w:tcPr>
          <w:p w14:paraId="25589078">
            <w:pPr>
              <w:adjustRightInd/>
              <w:spacing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主观评议</w:t>
            </w:r>
          </w:p>
        </w:tc>
      </w:tr>
      <w:tr w14:paraId="6A9E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9" w:hRule="atLeast"/>
          <w:jc w:val="center"/>
        </w:trPr>
        <w:tc>
          <w:tcPr>
            <w:tcW w:w="881" w:type="dxa"/>
            <w:vMerge w:val="continue"/>
            <w:tcBorders>
              <w:left w:val="single" w:color="auto" w:sz="4" w:space="0"/>
              <w:right w:val="single" w:color="auto" w:sz="2" w:space="0"/>
            </w:tcBorders>
            <w:vAlign w:val="center"/>
          </w:tcPr>
          <w:p w14:paraId="79CD942B">
            <w:pPr>
              <w:adjustRightInd/>
              <w:spacing w:line="288" w:lineRule="auto"/>
              <w:jc w:val="center"/>
              <w:rPr>
                <w:rFonts w:ascii="宋体" w:hAnsi="宋体" w:cs="宋体"/>
                <w:snapToGrid w:val="0"/>
                <w:color w:val="auto"/>
                <w:spacing w:val="-4"/>
                <w:sz w:val="24"/>
                <w:highlight w:val="none"/>
              </w:rPr>
            </w:pPr>
          </w:p>
        </w:tc>
        <w:tc>
          <w:tcPr>
            <w:tcW w:w="6427" w:type="dxa"/>
            <w:gridSpan w:val="3"/>
            <w:tcBorders>
              <w:top w:val="single" w:color="auto" w:sz="4" w:space="0"/>
              <w:left w:val="single" w:color="auto" w:sz="4" w:space="0"/>
              <w:bottom w:val="single" w:color="auto" w:sz="4" w:space="0"/>
              <w:right w:val="single" w:color="auto" w:sz="2" w:space="0"/>
            </w:tcBorders>
            <w:vAlign w:val="center"/>
          </w:tcPr>
          <w:p w14:paraId="3A8E74C7">
            <w:pPr>
              <w:rPr>
                <w:rFonts w:hint="eastAsia" w:ascii="宋体" w:hAnsi="宋体" w:eastAsia="宋体" w:cs="宋体"/>
                <w:color w:val="auto"/>
                <w:sz w:val="24"/>
                <w:highlight w:val="none"/>
                <w:lang w:eastAsia="zh-CN" w:bidi="ar"/>
              </w:rPr>
            </w:pPr>
            <w:r>
              <w:rPr>
                <w:rFonts w:hint="eastAsia" w:ascii="宋体" w:hAnsi="宋体" w:cs="宋体"/>
                <w:color w:val="auto"/>
                <w:sz w:val="24"/>
                <w:highlight w:val="none"/>
                <w:lang w:bidi="ar"/>
              </w:rPr>
              <w:t>8、根据项目要求，对供应商提供的科学、合理、完整的仪器投入方案（仪器种类、数量、技术先进性等）进行评议：仪器充足、种类齐全、技术先进，完全满足采购人项目实际需求的得3分；仪器较充足、种类较齐全、技术较先进，基本满足采购人项目实际需求的得2分；仪器数量基本满足招标文件要求、但种类较少，技术较为落后的得1分；未提供本项不得分。</w:t>
            </w:r>
          </w:p>
          <w:p w14:paraId="3A0A8F08">
            <w:pPr>
              <w:rPr>
                <w:rFonts w:ascii="宋体" w:hAnsi="宋体" w:cs="宋体"/>
                <w:color w:val="auto"/>
                <w:sz w:val="24"/>
                <w:highlight w:val="none"/>
              </w:rPr>
            </w:pPr>
            <w:r>
              <w:rPr>
                <w:rFonts w:hint="eastAsia" w:ascii="宋体" w:hAnsi="宋体" w:cs="宋体"/>
                <w:b/>
                <w:bCs/>
                <w:color w:val="auto"/>
                <w:sz w:val="24"/>
                <w:highlight w:val="none"/>
                <w:lang w:bidi="ar"/>
              </w:rPr>
              <w:t>注：供应商须在投标文件中提供相关设备的照片或彩页作为佐证，未提供的本项不得分。</w:t>
            </w:r>
          </w:p>
        </w:tc>
        <w:tc>
          <w:tcPr>
            <w:tcW w:w="605" w:type="dxa"/>
            <w:tcBorders>
              <w:top w:val="single" w:color="auto" w:sz="4" w:space="0"/>
              <w:left w:val="single" w:color="auto" w:sz="4" w:space="0"/>
              <w:bottom w:val="single" w:color="auto" w:sz="4" w:space="0"/>
              <w:right w:val="single" w:color="auto" w:sz="2" w:space="0"/>
            </w:tcBorders>
            <w:vAlign w:val="center"/>
          </w:tcPr>
          <w:p w14:paraId="72C55CB6">
            <w:pPr>
              <w:adjustRightInd/>
              <w:spacing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3</w:t>
            </w:r>
          </w:p>
        </w:tc>
        <w:tc>
          <w:tcPr>
            <w:tcW w:w="748" w:type="dxa"/>
            <w:tcBorders>
              <w:top w:val="single" w:color="auto" w:sz="4" w:space="0"/>
              <w:left w:val="single" w:color="auto" w:sz="4" w:space="0"/>
              <w:bottom w:val="single" w:color="auto" w:sz="4" w:space="0"/>
              <w:right w:val="single" w:color="auto" w:sz="2" w:space="0"/>
            </w:tcBorders>
            <w:vAlign w:val="center"/>
          </w:tcPr>
          <w:p w14:paraId="0BFC5A5A">
            <w:pPr>
              <w:adjustRightInd/>
              <w:spacing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主观评议</w:t>
            </w:r>
          </w:p>
        </w:tc>
      </w:tr>
      <w:tr w14:paraId="1A0A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881" w:type="dxa"/>
            <w:vMerge w:val="continue"/>
            <w:tcBorders>
              <w:left w:val="single" w:color="auto" w:sz="4" w:space="0"/>
              <w:right w:val="single" w:color="auto" w:sz="2" w:space="0"/>
            </w:tcBorders>
            <w:vAlign w:val="center"/>
          </w:tcPr>
          <w:p w14:paraId="3A4D55EA">
            <w:pPr>
              <w:adjustRightInd/>
              <w:spacing w:line="288" w:lineRule="auto"/>
              <w:jc w:val="center"/>
              <w:rPr>
                <w:rFonts w:ascii="宋体" w:hAnsi="宋体" w:cs="宋体"/>
                <w:snapToGrid w:val="0"/>
                <w:color w:val="auto"/>
                <w:spacing w:val="-4"/>
                <w:sz w:val="24"/>
                <w:highlight w:val="none"/>
              </w:rPr>
            </w:pPr>
          </w:p>
        </w:tc>
        <w:tc>
          <w:tcPr>
            <w:tcW w:w="1387" w:type="dxa"/>
            <w:gridSpan w:val="2"/>
            <w:vMerge w:val="restart"/>
            <w:tcBorders>
              <w:top w:val="single" w:color="auto" w:sz="4" w:space="0"/>
              <w:left w:val="single" w:color="auto" w:sz="4" w:space="0"/>
              <w:right w:val="single" w:color="auto" w:sz="2" w:space="0"/>
            </w:tcBorders>
            <w:vAlign w:val="center"/>
          </w:tcPr>
          <w:p w14:paraId="423E87FB">
            <w:pPr>
              <w:widowControl/>
              <w:adjustRightInd/>
              <w:spacing w:line="288" w:lineRule="auto"/>
              <w:jc w:val="left"/>
              <w:rPr>
                <w:rFonts w:ascii="宋体" w:hAnsi="宋体" w:cs="宋体"/>
                <w:color w:val="auto"/>
                <w:sz w:val="24"/>
                <w:highlight w:val="none"/>
              </w:rPr>
            </w:pPr>
            <w:r>
              <w:rPr>
                <w:rFonts w:hint="eastAsia" w:ascii="宋体" w:hAnsi="宋体" w:cs="宋体"/>
                <w:color w:val="auto"/>
                <w:sz w:val="24"/>
                <w:highlight w:val="none"/>
              </w:rPr>
              <w:t>9、拟投入的实验室团队人员（7分）</w:t>
            </w:r>
          </w:p>
        </w:tc>
        <w:tc>
          <w:tcPr>
            <w:tcW w:w="5040" w:type="dxa"/>
            <w:tcBorders>
              <w:top w:val="single" w:color="auto" w:sz="4" w:space="0"/>
              <w:left w:val="single" w:color="auto" w:sz="4" w:space="0"/>
              <w:bottom w:val="single" w:color="auto" w:sz="4" w:space="0"/>
              <w:right w:val="single" w:color="auto" w:sz="2" w:space="0"/>
            </w:tcBorders>
            <w:vAlign w:val="center"/>
          </w:tcPr>
          <w:p w14:paraId="26BABD16">
            <w:pPr>
              <w:widowControl/>
              <w:adjustRightInd/>
              <w:spacing w:line="288"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9.1、</w:t>
            </w:r>
            <w:r>
              <w:rPr>
                <w:rFonts w:hint="eastAsia" w:ascii="宋体" w:hAnsi="宋体" w:cs="宋体"/>
                <w:color w:val="auto"/>
                <w:sz w:val="24"/>
                <w:highlight w:val="none"/>
              </w:rPr>
              <w:t>实验室团队负责人为病理或检验类专业副高职称及以上的得2分；</w:t>
            </w:r>
          </w:p>
          <w:p w14:paraId="7FC49D2C">
            <w:pPr>
              <w:widowControl/>
              <w:adjustRightInd/>
              <w:spacing w:line="288" w:lineRule="auto"/>
              <w:jc w:val="left"/>
              <w:rPr>
                <w:rFonts w:hint="default" w:ascii="宋体" w:hAnsi="宋体" w:eastAsia="宋体" w:cs="宋体"/>
                <w:color w:val="auto"/>
                <w:sz w:val="24"/>
                <w:highlight w:val="yellow"/>
                <w:lang w:val="en-US" w:eastAsia="zh-CN"/>
              </w:rPr>
            </w:pPr>
            <w:r>
              <w:rPr>
                <w:rFonts w:hint="eastAsia" w:ascii="宋体" w:hAnsi="宋体" w:cs="宋体"/>
                <w:b/>
                <w:bCs/>
                <w:color w:val="auto"/>
                <w:sz w:val="24"/>
                <w:highlight w:val="none"/>
                <w:lang w:val="en-US" w:eastAsia="zh-CN"/>
              </w:rPr>
              <w:t>注：供应商须在投标文件中</w:t>
            </w:r>
            <w:r>
              <w:rPr>
                <w:rFonts w:hint="eastAsia" w:ascii="宋体" w:hAnsi="宋体" w:cs="宋体"/>
                <w:b/>
                <w:bCs/>
                <w:color w:val="auto"/>
                <w:sz w:val="24"/>
                <w:highlight w:val="none"/>
              </w:rPr>
              <w:t>提供职称证书扫描件加盖供应商公章</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未提供的本项不得分。</w:t>
            </w:r>
          </w:p>
        </w:tc>
        <w:tc>
          <w:tcPr>
            <w:tcW w:w="605" w:type="dxa"/>
            <w:tcBorders>
              <w:top w:val="single" w:color="auto" w:sz="4" w:space="0"/>
              <w:left w:val="single" w:color="auto" w:sz="4" w:space="0"/>
              <w:bottom w:val="single" w:color="auto" w:sz="4" w:space="0"/>
              <w:right w:val="single" w:color="auto" w:sz="2" w:space="0"/>
            </w:tcBorders>
            <w:vAlign w:val="center"/>
          </w:tcPr>
          <w:p w14:paraId="36CEC13C">
            <w:pPr>
              <w:adjustRightInd/>
              <w:spacing w:line="288" w:lineRule="auto"/>
              <w:jc w:val="center"/>
              <w:rPr>
                <w:rFonts w:hint="eastAsia" w:ascii="宋体" w:hAnsi="宋体" w:eastAsia="宋体" w:cs="宋体"/>
                <w:snapToGrid w:val="0"/>
                <w:color w:val="auto"/>
                <w:spacing w:val="-4"/>
                <w:sz w:val="24"/>
                <w:highlight w:val="none"/>
                <w:lang w:eastAsia="zh-CN"/>
              </w:rPr>
            </w:pPr>
            <w:r>
              <w:rPr>
                <w:rFonts w:hint="eastAsia" w:ascii="宋体" w:hAnsi="宋体" w:cs="宋体"/>
                <w:snapToGrid w:val="0"/>
                <w:color w:val="auto"/>
                <w:spacing w:val="-4"/>
                <w:sz w:val="24"/>
                <w:highlight w:val="none"/>
                <w:lang w:val="en-US" w:eastAsia="zh-CN"/>
              </w:rPr>
              <w:t>2</w:t>
            </w:r>
          </w:p>
        </w:tc>
        <w:tc>
          <w:tcPr>
            <w:tcW w:w="748" w:type="dxa"/>
            <w:tcBorders>
              <w:top w:val="single" w:color="auto" w:sz="4" w:space="0"/>
              <w:left w:val="single" w:color="auto" w:sz="4" w:space="0"/>
              <w:bottom w:val="single" w:color="auto" w:sz="4" w:space="0"/>
              <w:right w:val="single" w:color="auto" w:sz="2" w:space="0"/>
            </w:tcBorders>
            <w:vAlign w:val="center"/>
          </w:tcPr>
          <w:p w14:paraId="08E23BDD">
            <w:pPr>
              <w:adjustRightInd/>
              <w:spacing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客观评议</w:t>
            </w:r>
          </w:p>
        </w:tc>
      </w:tr>
      <w:tr w14:paraId="7D1A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881" w:type="dxa"/>
            <w:vMerge w:val="continue"/>
            <w:tcBorders>
              <w:left w:val="single" w:color="auto" w:sz="4" w:space="0"/>
              <w:right w:val="single" w:color="auto" w:sz="2" w:space="0"/>
            </w:tcBorders>
            <w:vAlign w:val="center"/>
          </w:tcPr>
          <w:p w14:paraId="1AAE14D9">
            <w:pPr>
              <w:adjustRightInd/>
              <w:spacing w:line="288" w:lineRule="auto"/>
              <w:jc w:val="center"/>
              <w:rPr>
                <w:rFonts w:ascii="宋体" w:hAnsi="宋体" w:cs="宋体"/>
                <w:snapToGrid w:val="0"/>
                <w:color w:val="auto"/>
                <w:spacing w:val="-4"/>
                <w:sz w:val="24"/>
                <w:highlight w:val="none"/>
              </w:rPr>
            </w:pPr>
          </w:p>
        </w:tc>
        <w:tc>
          <w:tcPr>
            <w:tcW w:w="1387" w:type="dxa"/>
            <w:gridSpan w:val="2"/>
            <w:vMerge w:val="continue"/>
            <w:tcBorders>
              <w:left w:val="single" w:color="auto" w:sz="4" w:space="0"/>
              <w:right w:val="single" w:color="auto" w:sz="2" w:space="0"/>
            </w:tcBorders>
            <w:vAlign w:val="center"/>
          </w:tcPr>
          <w:p w14:paraId="48C30B66">
            <w:pPr>
              <w:widowControl/>
              <w:adjustRightInd/>
              <w:spacing w:line="288" w:lineRule="auto"/>
              <w:jc w:val="left"/>
              <w:rPr>
                <w:rFonts w:hint="eastAsia" w:ascii="宋体" w:hAnsi="宋体" w:cs="宋体"/>
                <w:color w:val="auto"/>
                <w:sz w:val="24"/>
                <w:highlight w:val="yellow"/>
              </w:rPr>
            </w:pPr>
          </w:p>
        </w:tc>
        <w:tc>
          <w:tcPr>
            <w:tcW w:w="5040" w:type="dxa"/>
            <w:tcBorders>
              <w:top w:val="single" w:color="auto" w:sz="4" w:space="0"/>
              <w:left w:val="single" w:color="auto" w:sz="4" w:space="0"/>
              <w:bottom w:val="single" w:color="auto" w:sz="4" w:space="0"/>
              <w:right w:val="single" w:color="auto" w:sz="2" w:space="0"/>
            </w:tcBorders>
            <w:vAlign w:val="center"/>
          </w:tcPr>
          <w:p w14:paraId="12F7D188">
            <w:pPr>
              <w:widowControl/>
              <w:adjustRightInd/>
              <w:spacing w:line="288" w:lineRule="auto"/>
              <w:jc w:val="left"/>
              <w:rPr>
                <w:rFonts w:hint="eastAsia" w:ascii="宋体" w:hAnsi="宋体" w:cs="宋体"/>
                <w:color w:val="auto"/>
                <w:sz w:val="24"/>
                <w:highlight w:val="yellow"/>
                <w:lang w:val="en-US" w:eastAsia="zh-CN"/>
              </w:rPr>
            </w:pPr>
            <w:r>
              <w:rPr>
                <w:rFonts w:hint="eastAsia" w:ascii="宋体" w:hAnsi="宋体" w:eastAsia="宋体" w:cs="宋体"/>
                <w:color w:val="auto"/>
                <w:sz w:val="24"/>
                <w:highlight w:val="none"/>
                <w:lang w:val="en-US" w:eastAsia="zh-CN"/>
              </w:rPr>
              <w:t>9.2、对供应商提供的拟投入实验室团队人员（实验室团队负责人除外）进行评议：实验室团队人员配置合理，有较强的人员服务意识，人员素质整体良好且经验丰富，能完全满足采购人需求的得5分；实验室团队人员配置基本可保证合同期间能完成任务的得4分；实验室团队人员配置不够完善，但能确保在合同期内完成检验检测任务的得3分；实验室团队能确保完成任务，但人员质量良莠不齐，经验上略有欠缺的得2分；未提供管理人员成员清单，但有相关内容的得1分；未提供本项不得分。</w:t>
            </w:r>
          </w:p>
        </w:tc>
        <w:tc>
          <w:tcPr>
            <w:tcW w:w="605" w:type="dxa"/>
            <w:tcBorders>
              <w:top w:val="single" w:color="auto" w:sz="4" w:space="0"/>
              <w:left w:val="single" w:color="auto" w:sz="4" w:space="0"/>
              <w:bottom w:val="single" w:color="auto" w:sz="4" w:space="0"/>
              <w:right w:val="single" w:color="auto" w:sz="2" w:space="0"/>
            </w:tcBorders>
            <w:vAlign w:val="center"/>
          </w:tcPr>
          <w:p w14:paraId="5EF8995E">
            <w:pPr>
              <w:adjustRightInd/>
              <w:spacing w:line="288" w:lineRule="auto"/>
              <w:jc w:val="center"/>
              <w:rPr>
                <w:rFonts w:hint="eastAsia" w:ascii="宋体" w:hAnsi="宋体" w:eastAsia="宋体" w:cs="宋体"/>
                <w:snapToGrid w:val="0"/>
                <w:color w:val="auto"/>
                <w:spacing w:val="-4"/>
                <w:sz w:val="24"/>
                <w:highlight w:val="none"/>
                <w:lang w:val="en-US" w:eastAsia="zh-CN"/>
              </w:rPr>
            </w:pPr>
            <w:r>
              <w:rPr>
                <w:rFonts w:hint="eastAsia" w:ascii="宋体" w:hAnsi="宋体" w:cs="宋体"/>
                <w:snapToGrid w:val="0"/>
                <w:color w:val="auto"/>
                <w:spacing w:val="-4"/>
                <w:sz w:val="24"/>
                <w:highlight w:val="none"/>
                <w:lang w:val="en-US" w:eastAsia="zh-CN"/>
              </w:rPr>
              <w:t>5</w:t>
            </w:r>
          </w:p>
        </w:tc>
        <w:tc>
          <w:tcPr>
            <w:tcW w:w="748" w:type="dxa"/>
            <w:tcBorders>
              <w:top w:val="single" w:color="auto" w:sz="4" w:space="0"/>
              <w:left w:val="single" w:color="auto" w:sz="4" w:space="0"/>
              <w:bottom w:val="single" w:color="auto" w:sz="4" w:space="0"/>
              <w:right w:val="single" w:color="auto" w:sz="2" w:space="0"/>
            </w:tcBorders>
            <w:vAlign w:val="center"/>
          </w:tcPr>
          <w:p w14:paraId="146698B5">
            <w:pPr>
              <w:adjustRightInd/>
              <w:spacing w:line="288" w:lineRule="auto"/>
              <w:jc w:val="center"/>
              <w:rPr>
                <w:rFonts w:hint="eastAsia"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主观评议</w:t>
            </w:r>
          </w:p>
        </w:tc>
      </w:tr>
      <w:tr w14:paraId="32704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881" w:type="dxa"/>
            <w:vMerge w:val="continue"/>
            <w:tcBorders>
              <w:left w:val="single" w:color="auto" w:sz="4" w:space="0"/>
              <w:right w:val="single" w:color="auto" w:sz="2" w:space="0"/>
            </w:tcBorders>
            <w:vAlign w:val="center"/>
          </w:tcPr>
          <w:p w14:paraId="4F47D17E">
            <w:pPr>
              <w:adjustRightInd/>
              <w:spacing w:line="288" w:lineRule="auto"/>
              <w:jc w:val="center"/>
              <w:rPr>
                <w:rFonts w:ascii="宋体" w:hAnsi="宋体" w:cs="宋体"/>
                <w:snapToGrid w:val="0"/>
                <w:color w:val="auto"/>
                <w:spacing w:val="-4"/>
                <w:sz w:val="24"/>
                <w:highlight w:val="none"/>
              </w:rPr>
            </w:pPr>
          </w:p>
        </w:tc>
        <w:tc>
          <w:tcPr>
            <w:tcW w:w="1387" w:type="dxa"/>
            <w:gridSpan w:val="2"/>
            <w:vMerge w:val="continue"/>
            <w:tcBorders>
              <w:left w:val="single" w:color="auto" w:sz="4" w:space="0"/>
              <w:bottom w:val="single" w:color="auto" w:sz="4" w:space="0"/>
              <w:right w:val="single" w:color="auto" w:sz="2" w:space="0"/>
            </w:tcBorders>
            <w:vAlign w:val="center"/>
          </w:tcPr>
          <w:p w14:paraId="46F952C9">
            <w:pPr>
              <w:widowControl/>
              <w:adjustRightInd/>
              <w:spacing w:line="288" w:lineRule="auto"/>
              <w:jc w:val="left"/>
              <w:rPr>
                <w:rFonts w:hint="eastAsia" w:ascii="宋体" w:hAnsi="宋体" w:cs="宋体"/>
                <w:color w:val="auto"/>
                <w:sz w:val="24"/>
                <w:highlight w:val="yellow"/>
              </w:rPr>
            </w:pPr>
          </w:p>
        </w:tc>
        <w:tc>
          <w:tcPr>
            <w:tcW w:w="5040" w:type="dxa"/>
            <w:tcBorders>
              <w:top w:val="single" w:color="auto" w:sz="4" w:space="0"/>
              <w:left w:val="single" w:color="auto" w:sz="4" w:space="0"/>
              <w:bottom w:val="single" w:color="auto" w:sz="4" w:space="0"/>
              <w:right w:val="single" w:color="auto" w:sz="2" w:space="0"/>
            </w:tcBorders>
            <w:vAlign w:val="center"/>
          </w:tcPr>
          <w:p w14:paraId="3C497421">
            <w:pPr>
              <w:widowControl/>
              <w:adjustRightInd/>
              <w:spacing w:line="288" w:lineRule="auto"/>
              <w:jc w:val="left"/>
              <w:rPr>
                <w:rFonts w:hint="eastAsia" w:ascii="宋体" w:hAnsi="宋体" w:eastAsia="宋体" w:cs="宋体"/>
                <w:color w:val="auto"/>
                <w:sz w:val="24"/>
                <w:highlight w:val="none"/>
                <w:lang w:val="en-US" w:eastAsia="zh-CN"/>
              </w:rPr>
            </w:pPr>
            <w:r>
              <w:rPr>
                <w:rFonts w:hint="eastAsia" w:ascii="宋体" w:hAnsi="宋体" w:cs="宋体"/>
                <w:b/>
                <w:bCs/>
                <w:color w:val="auto"/>
                <w:sz w:val="24"/>
                <w:highlight w:val="none"/>
                <w:lang w:val="en-US" w:eastAsia="zh-CN"/>
              </w:rPr>
              <w:t>注：以上</w:t>
            </w:r>
            <w:r>
              <w:rPr>
                <w:rFonts w:hint="eastAsia" w:ascii="宋体" w:hAnsi="宋体" w:eastAsia="宋体" w:cs="宋体"/>
                <w:b/>
                <w:bCs/>
                <w:color w:val="auto"/>
                <w:sz w:val="24"/>
                <w:highlight w:val="none"/>
                <w:lang w:val="en-US" w:eastAsia="zh-CN"/>
              </w:rPr>
              <w:t>实验室团队人员应为供应商在职人员，提供社保部门出具的至少包含2024年3月-开标日期间任意一个月供应商单位为其缴纳社保的证明资料扫描件加盖供应商公章，退休返聘人员须提供返聘合同扫描件加盖供应商公章，否则相应项不得分。</w:t>
            </w:r>
          </w:p>
        </w:tc>
        <w:tc>
          <w:tcPr>
            <w:tcW w:w="605" w:type="dxa"/>
            <w:tcBorders>
              <w:top w:val="single" w:color="auto" w:sz="4" w:space="0"/>
              <w:left w:val="single" w:color="auto" w:sz="4" w:space="0"/>
              <w:bottom w:val="single" w:color="auto" w:sz="4" w:space="0"/>
              <w:right w:val="single" w:color="auto" w:sz="2" w:space="0"/>
            </w:tcBorders>
            <w:vAlign w:val="center"/>
          </w:tcPr>
          <w:p w14:paraId="5E48AF64">
            <w:pPr>
              <w:adjustRightInd/>
              <w:spacing w:line="288" w:lineRule="auto"/>
              <w:jc w:val="center"/>
              <w:rPr>
                <w:rFonts w:hint="default" w:ascii="宋体" w:hAnsi="宋体" w:cs="宋体"/>
                <w:snapToGrid w:val="0"/>
                <w:color w:val="auto"/>
                <w:spacing w:val="-4"/>
                <w:sz w:val="24"/>
                <w:highlight w:val="none"/>
                <w:lang w:val="en-US" w:eastAsia="zh-CN"/>
              </w:rPr>
            </w:pPr>
            <w:r>
              <w:rPr>
                <w:rFonts w:hint="eastAsia" w:ascii="宋体" w:hAnsi="宋体" w:cs="宋体"/>
                <w:snapToGrid w:val="0"/>
                <w:color w:val="auto"/>
                <w:spacing w:val="-4"/>
                <w:sz w:val="24"/>
                <w:highlight w:val="none"/>
                <w:lang w:val="en-US" w:eastAsia="zh-CN"/>
              </w:rPr>
              <w:t>//</w:t>
            </w:r>
          </w:p>
        </w:tc>
        <w:tc>
          <w:tcPr>
            <w:tcW w:w="748" w:type="dxa"/>
            <w:tcBorders>
              <w:top w:val="single" w:color="auto" w:sz="4" w:space="0"/>
              <w:left w:val="single" w:color="auto" w:sz="4" w:space="0"/>
              <w:bottom w:val="single" w:color="auto" w:sz="4" w:space="0"/>
              <w:right w:val="single" w:color="auto" w:sz="2" w:space="0"/>
            </w:tcBorders>
            <w:vAlign w:val="center"/>
          </w:tcPr>
          <w:p w14:paraId="277F4B00">
            <w:pPr>
              <w:adjustRightInd/>
              <w:spacing w:line="288" w:lineRule="auto"/>
              <w:jc w:val="center"/>
              <w:rPr>
                <w:rFonts w:hint="default" w:ascii="宋体" w:hAnsi="宋体" w:eastAsia="宋体" w:cs="宋体"/>
                <w:snapToGrid w:val="0"/>
                <w:color w:val="auto"/>
                <w:spacing w:val="-4"/>
                <w:sz w:val="24"/>
                <w:highlight w:val="none"/>
                <w:lang w:val="en-US" w:eastAsia="zh-CN"/>
              </w:rPr>
            </w:pPr>
            <w:r>
              <w:rPr>
                <w:rFonts w:hint="eastAsia" w:ascii="宋体" w:hAnsi="宋体" w:cs="宋体"/>
                <w:snapToGrid w:val="0"/>
                <w:color w:val="auto"/>
                <w:spacing w:val="-4"/>
                <w:sz w:val="24"/>
                <w:highlight w:val="none"/>
                <w:lang w:val="en-US" w:eastAsia="zh-CN"/>
              </w:rPr>
              <w:t>//</w:t>
            </w:r>
          </w:p>
        </w:tc>
      </w:tr>
      <w:tr w14:paraId="5F38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1" w:type="dxa"/>
            <w:vMerge w:val="continue"/>
            <w:tcBorders>
              <w:left w:val="single" w:color="auto" w:sz="4" w:space="0"/>
              <w:right w:val="single" w:color="auto" w:sz="2" w:space="0"/>
            </w:tcBorders>
            <w:vAlign w:val="center"/>
          </w:tcPr>
          <w:p w14:paraId="1319F6C5">
            <w:pPr>
              <w:adjustRightInd/>
              <w:spacing w:line="288" w:lineRule="auto"/>
              <w:jc w:val="center"/>
              <w:rPr>
                <w:rFonts w:ascii="宋体" w:hAnsi="宋体" w:cs="宋体"/>
                <w:snapToGrid w:val="0"/>
                <w:color w:val="auto"/>
                <w:spacing w:val="-4"/>
                <w:sz w:val="24"/>
                <w:highlight w:val="none"/>
              </w:rPr>
            </w:pPr>
          </w:p>
        </w:tc>
        <w:tc>
          <w:tcPr>
            <w:tcW w:w="6427" w:type="dxa"/>
            <w:gridSpan w:val="3"/>
            <w:tcBorders>
              <w:top w:val="single" w:color="auto" w:sz="4" w:space="0"/>
              <w:left w:val="single" w:color="auto" w:sz="4" w:space="0"/>
              <w:bottom w:val="single" w:color="auto" w:sz="4" w:space="0"/>
              <w:right w:val="single" w:color="auto" w:sz="2" w:space="0"/>
            </w:tcBorders>
            <w:vAlign w:val="center"/>
          </w:tcPr>
          <w:p w14:paraId="3A0B58CE">
            <w:pPr>
              <w:widowControl/>
              <w:adjustRightInd/>
              <w:spacing w:line="288" w:lineRule="auto"/>
              <w:jc w:val="left"/>
              <w:rPr>
                <w:rFonts w:ascii="宋体" w:hAnsi="宋体" w:cs="宋体"/>
                <w:color w:val="auto"/>
                <w:sz w:val="24"/>
                <w:highlight w:val="none"/>
              </w:rPr>
            </w:pPr>
            <w:r>
              <w:rPr>
                <w:rFonts w:hint="eastAsia" w:ascii="宋体" w:hAnsi="宋体" w:cs="宋体"/>
                <w:color w:val="auto"/>
                <w:sz w:val="24"/>
                <w:highlight w:val="none"/>
              </w:rPr>
              <w:t>10、</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通过ISO15189实验室认可资质得2分；</w:t>
            </w:r>
            <w:r>
              <w:rPr>
                <w:rFonts w:hint="eastAsia" w:ascii="宋体" w:hAnsi="宋体" w:cs="宋体"/>
                <w:color w:val="auto"/>
                <w:sz w:val="24"/>
                <w:highlight w:val="none"/>
              </w:rPr>
              <w:br w:type="textWrapping"/>
            </w:r>
            <w:r>
              <w:rPr>
                <w:rFonts w:hint="eastAsia" w:ascii="宋体" w:hAnsi="宋体" w:cs="宋体"/>
                <w:b/>
                <w:bCs/>
                <w:color w:val="auto"/>
                <w:sz w:val="24"/>
                <w:highlight w:val="none"/>
              </w:rPr>
              <w:t>注：供应商须在投标文件中提供相关证明材料作为佐证，未提供或无法证明的本项不得分。</w:t>
            </w:r>
          </w:p>
        </w:tc>
        <w:tc>
          <w:tcPr>
            <w:tcW w:w="605" w:type="dxa"/>
            <w:tcBorders>
              <w:top w:val="single" w:color="auto" w:sz="4" w:space="0"/>
              <w:left w:val="single" w:color="auto" w:sz="4" w:space="0"/>
              <w:bottom w:val="single" w:color="auto" w:sz="4" w:space="0"/>
              <w:right w:val="single" w:color="auto" w:sz="2" w:space="0"/>
            </w:tcBorders>
            <w:vAlign w:val="center"/>
          </w:tcPr>
          <w:p w14:paraId="31F5F213">
            <w:pPr>
              <w:adjustRightInd/>
              <w:spacing w:line="288" w:lineRule="auto"/>
              <w:jc w:val="center"/>
              <w:rPr>
                <w:rFonts w:hint="eastAsia" w:ascii="宋体" w:hAnsi="宋体" w:eastAsia="宋体" w:cs="宋体"/>
                <w:snapToGrid w:val="0"/>
                <w:color w:val="auto"/>
                <w:spacing w:val="-4"/>
                <w:sz w:val="24"/>
                <w:highlight w:val="none"/>
                <w:lang w:eastAsia="zh-CN"/>
              </w:rPr>
            </w:pPr>
            <w:r>
              <w:rPr>
                <w:rFonts w:hint="eastAsia" w:ascii="宋体" w:hAnsi="宋体" w:cs="宋体"/>
                <w:snapToGrid w:val="0"/>
                <w:color w:val="auto"/>
                <w:spacing w:val="-4"/>
                <w:sz w:val="24"/>
                <w:highlight w:val="none"/>
                <w:lang w:val="en-US" w:eastAsia="zh-CN"/>
              </w:rPr>
              <w:t>2</w:t>
            </w:r>
          </w:p>
        </w:tc>
        <w:tc>
          <w:tcPr>
            <w:tcW w:w="748" w:type="dxa"/>
            <w:tcBorders>
              <w:top w:val="single" w:color="auto" w:sz="4" w:space="0"/>
              <w:left w:val="single" w:color="auto" w:sz="4" w:space="0"/>
              <w:bottom w:val="single" w:color="auto" w:sz="4" w:space="0"/>
              <w:right w:val="single" w:color="auto" w:sz="2" w:space="0"/>
            </w:tcBorders>
            <w:vAlign w:val="center"/>
          </w:tcPr>
          <w:p w14:paraId="1B9ADF2C">
            <w:pPr>
              <w:adjustRightInd/>
              <w:spacing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客观评议</w:t>
            </w:r>
          </w:p>
        </w:tc>
      </w:tr>
      <w:tr w14:paraId="16915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1" w:type="dxa"/>
            <w:vMerge w:val="continue"/>
            <w:tcBorders>
              <w:left w:val="single" w:color="auto" w:sz="4" w:space="0"/>
              <w:right w:val="single" w:color="auto" w:sz="2" w:space="0"/>
            </w:tcBorders>
            <w:vAlign w:val="center"/>
          </w:tcPr>
          <w:p w14:paraId="16C6C0CF">
            <w:pPr>
              <w:adjustRightInd/>
              <w:spacing w:line="288" w:lineRule="auto"/>
              <w:jc w:val="center"/>
              <w:rPr>
                <w:rFonts w:ascii="宋体" w:hAnsi="宋体" w:cs="宋体"/>
                <w:snapToGrid w:val="0"/>
                <w:color w:val="auto"/>
                <w:spacing w:val="-4"/>
                <w:sz w:val="24"/>
                <w:highlight w:val="none"/>
              </w:rPr>
            </w:pPr>
          </w:p>
        </w:tc>
        <w:tc>
          <w:tcPr>
            <w:tcW w:w="6427" w:type="dxa"/>
            <w:gridSpan w:val="3"/>
            <w:tcBorders>
              <w:top w:val="single" w:color="auto" w:sz="4" w:space="0"/>
              <w:left w:val="single" w:color="auto" w:sz="4" w:space="0"/>
              <w:bottom w:val="single" w:color="auto" w:sz="4" w:space="0"/>
              <w:right w:val="single" w:color="auto" w:sz="2" w:space="0"/>
            </w:tcBorders>
            <w:vAlign w:val="center"/>
          </w:tcPr>
          <w:p w14:paraId="797C2DAE">
            <w:pPr>
              <w:widowControl/>
              <w:adjustRightInd/>
              <w:spacing w:line="288"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11、供应商具有有效的PCR实验室资质证书的得2分。</w:t>
            </w:r>
          </w:p>
          <w:p w14:paraId="32FF5F96">
            <w:pPr>
              <w:widowControl/>
              <w:adjustRightInd/>
              <w:spacing w:line="288" w:lineRule="auto"/>
              <w:jc w:val="left"/>
              <w:rPr>
                <w:rFonts w:ascii="宋体" w:hAnsi="宋体" w:cs="宋体"/>
                <w:color w:val="auto"/>
                <w:sz w:val="24"/>
                <w:highlight w:val="none"/>
              </w:rPr>
            </w:pPr>
            <w:r>
              <w:rPr>
                <w:rFonts w:hint="eastAsia" w:ascii="宋体" w:hAnsi="宋体" w:cs="宋体"/>
                <w:b/>
                <w:bCs/>
                <w:color w:val="auto"/>
                <w:sz w:val="24"/>
                <w:highlight w:val="none"/>
              </w:rPr>
              <w:t>注：供应商须在投标文件中提供相关证明材料作为佐证，未提供或无法证明的本项不得分。</w:t>
            </w:r>
          </w:p>
        </w:tc>
        <w:tc>
          <w:tcPr>
            <w:tcW w:w="605" w:type="dxa"/>
            <w:tcBorders>
              <w:top w:val="single" w:color="auto" w:sz="4" w:space="0"/>
              <w:left w:val="single" w:color="auto" w:sz="4" w:space="0"/>
              <w:bottom w:val="single" w:color="auto" w:sz="4" w:space="0"/>
              <w:right w:val="single" w:color="auto" w:sz="2" w:space="0"/>
            </w:tcBorders>
            <w:vAlign w:val="center"/>
          </w:tcPr>
          <w:p w14:paraId="2B8D5221">
            <w:pPr>
              <w:adjustRightInd/>
              <w:spacing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2</w:t>
            </w:r>
          </w:p>
        </w:tc>
        <w:tc>
          <w:tcPr>
            <w:tcW w:w="748" w:type="dxa"/>
            <w:tcBorders>
              <w:top w:val="single" w:color="auto" w:sz="4" w:space="0"/>
              <w:left w:val="single" w:color="auto" w:sz="4" w:space="0"/>
              <w:bottom w:val="single" w:color="auto" w:sz="4" w:space="0"/>
              <w:right w:val="single" w:color="auto" w:sz="2" w:space="0"/>
            </w:tcBorders>
            <w:vAlign w:val="center"/>
          </w:tcPr>
          <w:p w14:paraId="25D215D3">
            <w:pPr>
              <w:adjustRightInd/>
              <w:spacing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客观评议</w:t>
            </w:r>
          </w:p>
        </w:tc>
      </w:tr>
      <w:tr w14:paraId="5C5D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1" w:type="dxa"/>
            <w:vMerge w:val="continue"/>
            <w:tcBorders>
              <w:left w:val="single" w:color="auto" w:sz="4" w:space="0"/>
              <w:right w:val="single" w:color="auto" w:sz="2" w:space="0"/>
            </w:tcBorders>
            <w:vAlign w:val="center"/>
          </w:tcPr>
          <w:p w14:paraId="39ECC24F">
            <w:pPr>
              <w:adjustRightInd/>
              <w:spacing w:line="288" w:lineRule="auto"/>
              <w:jc w:val="center"/>
              <w:rPr>
                <w:rFonts w:ascii="宋体" w:hAnsi="宋体" w:cs="宋体"/>
                <w:snapToGrid w:val="0"/>
                <w:color w:val="auto"/>
                <w:spacing w:val="-4"/>
                <w:sz w:val="24"/>
                <w:highlight w:val="none"/>
              </w:rPr>
            </w:pPr>
          </w:p>
        </w:tc>
        <w:tc>
          <w:tcPr>
            <w:tcW w:w="6427" w:type="dxa"/>
            <w:gridSpan w:val="3"/>
            <w:tcBorders>
              <w:top w:val="single" w:color="auto" w:sz="4" w:space="0"/>
              <w:left w:val="single" w:color="auto" w:sz="4" w:space="0"/>
              <w:bottom w:val="single" w:color="auto" w:sz="4" w:space="0"/>
              <w:right w:val="single" w:color="auto" w:sz="2" w:space="0"/>
            </w:tcBorders>
            <w:vAlign w:val="center"/>
          </w:tcPr>
          <w:p w14:paraId="2221F3D7">
            <w:pPr>
              <w:widowControl/>
              <w:adjustRightInd/>
              <w:spacing w:line="288"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12、供应商具有有效的CNAS认可的参考实验室资质证书的得2分。</w:t>
            </w:r>
          </w:p>
          <w:p w14:paraId="05140EA4">
            <w:pPr>
              <w:widowControl/>
              <w:adjustRightInd/>
              <w:spacing w:line="288" w:lineRule="auto"/>
              <w:jc w:val="left"/>
              <w:rPr>
                <w:rFonts w:ascii="宋体" w:hAnsi="宋体" w:cs="宋体"/>
                <w:color w:val="auto"/>
                <w:sz w:val="24"/>
                <w:highlight w:val="none"/>
              </w:rPr>
            </w:pPr>
            <w:r>
              <w:rPr>
                <w:rFonts w:hint="eastAsia" w:ascii="宋体" w:hAnsi="宋体" w:cs="宋体"/>
                <w:b/>
                <w:bCs/>
                <w:color w:val="auto"/>
                <w:sz w:val="24"/>
                <w:highlight w:val="none"/>
              </w:rPr>
              <w:t>注：供应商须在投标文件中提供相关证明材料作为佐证，未提供或无法证明的本项不得分。</w:t>
            </w:r>
          </w:p>
        </w:tc>
        <w:tc>
          <w:tcPr>
            <w:tcW w:w="605" w:type="dxa"/>
            <w:tcBorders>
              <w:top w:val="single" w:color="auto" w:sz="4" w:space="0"/>
              <w:left w:val="single" w:color="auto" w:sz="4" w:space="0"/>
              <w:bottom w:val="single" w:color="auto" w:sz="4" w:space="0"/>
              <w:right w:val="single" w:color="auto" w:sz="2" w:space="0"/>
            </w:tcBorders>
            <w:vAlign w:val="center"/>
          </w:tcPr>
          <w:p w14:paraId="68F27ED1">
            <w:pPr>
              <w:adjustRightInd/>
              <w:spacing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2</w:t>
            </w:r>
          </w:p>
        </w:tc>
        <w:tc>
          <w:tcPr>
            <w:tcW w:w="748" w:type="dxa"/>
            <w:tcBorders>
              <w:top w:val="single" w:color="auto" w:sz="4" w:space="0"/>
              <w:left w:val="single" w:color="auto" w:sz="4" w:space="0"/>
              <w:bottom w:val="single" w:color="auto" w:sz="4" w:space="0"/>
              <w:right w:val="single" w:color="auto" w:sz="2" w:space="0"/>
            </w:tcBorders>
            <w:vAlign w:val="center"/>
          </w:tcPr>
          <w:p w14:paraId="35FE3571">
            <w:pPr>
              <w:adjustRightInd/>
              <w:spacing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客观评议</w:t>
            </w:r>
          </w:p>
        </w:tc>
      </w:tr>
      <w:tr w14:paraId="231F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1" w:type="dxa"/>
            <w:vMerge w:val="continue"/>
            <w:tcBorders>
              <w:left w:val="single" w:color="auto" w:sz="4" w:space="0"/>
              <w:right w:val="single" w:color="auto" w:sz="2" w:space="0"/>
            </w:tcBorders>
            <w:vAlign w:val="center"/>
          </w:tcPr>
          <w:p w14:paraId="165586E0">
            <w:pPr>
              <w:adjustRightInd/>
              <w:spacing w:line="288" w:lineRule="auto"/>
              <w:jc w:val="center"/>
              <w:rPr>
                <w:rFonts w:ascii="宋体" w:hAnsi="宋体" w:cs="宋体"/>
                <w:snapToGrid w:val="0"/>
                <w:color w:val="auto"/>
                <w:spacing w:val="-4"/>
                <w:sz w:val="24"/>
                <w:highlight w:val="none"/>
              </w:rPr>
            </w:pPr>
          </w:p>
        </w:tc>
        <w:tc>
          <w:tcPr>
            <w:tcW w:w="6427" w:type="dxa"/>
            <w:gridSpan w:val="3"/>
            <w:tcBorders>
              <w:top w:val="single" w:color="auto" w:sz="4" w:space="0"/>
              <w:left w:val="single" w:color="auto" w:sz="4" w:space="0"/>
              <w:bottom w:val="single" w:color="auto" w:sz="4" w:space="0"/>
              <w:right w:val="single" w:color="auto" w:sz="2" w:space="0"/>
            </w:tcBorders>
            <w:vAlign w:val="center"/>
          </w:tcPr>
          <w:p w14:paraId="00FF932E">
            <w:pPr>
              <w:adjustRightInd/>
              <w:spacing w:line="288" w:lineRule="auto"/>
              <w:jc w:val="left"/>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13、对供应商提供的人员培训方案（</w:t>
            </w:r>
            <w:r>
              <w:rPr>
                <w:rFonts w:hint="eastAsia" w:ascii="宋体" w:hAnsi="宋体" w:cs="宋体"/>
                <w:snapToGrid w:val="0"/>
                <w:color w:val="auto"/>
                <w:spacing w:val="-4"/>
                <w:sz w:val="24"/>
                <w:highlight w:val="none"/>
              </w:rPr>
              <w:fldChar w:fldCharType="begin"/>
            </w:r>
            <w:r>
              <w:rPr>
                <w:rFonts w:hint="eastAsia" w:ascii="宋体" w:hAnsi="宋体" w:cs="宋体"/>
                <w:snapToGrid w:val="0"/>
                <w:color w:val="auto"/>
                <w:spacing w:val="-4"/>
                <w:sz w:val="24"/>
                <w:highlight w:val="none"/>
              </w:rPr>
              <w:instrText xml:space="preserve"> = 1 \* GB3 \* MERGEFORMAT </w:instrText>
            </w:r>
            <w:r>
              <w:rPr>
                <w:rFonts w:hint="eastAsia" w:ascii="宋体" w:hAnsi="宋体" w:cs="宋体"/>
                <w:snapToGrid w:val="0"/>
                <w:color w:val="auto"/>
                <w:spacing w:val="-4"/>
                <w:sz w:val="24"/>
                <w:highlight w:val="none"/>
              </w:rPr>
              <w:fldChar w:fldCharType="separate"/>
            </w:r>
            <w:r>
              <w:rPr>
                <w:rFonts w:hint="eastAsia" w:ascii="宋体" w:hAnsi="宋体" w:cs="宋体"/>
                <w:snapToGrid w:val="0"/>
                <w:color w:val="auto"/>
                <w:spacing w:val="-4"/>
                <w:sz w:val="24"/>
                <w:highlight w:val="none"/>
              </w:rPr>
              <w:t>①</w:t>
            </w:r>
            <w:r>
              <w:rPr>
                <w:rFonts w:hint="eastAsia" w:ascii="宋体" w:hAnsi="宋体" w:cs="宋体"/>
                <w:snapToGrid w:val="0"/>
                <w:color w:val="auto"/>
                <w:spacing w:val="-4"/>
                <w:sz w:val="24"/>
                <w:highlight w:val="none"/>
              </w:rPr>
              <w:fldChar w:fldCharType="end"/>
            </w:r>
            <w:r>
              <w:rPr>
                <w:rFonts w:hint="eastAsia" w:ascii="宋体" w:hAnsi="宋体" w:cs="宋体"/>
                <w:snapToGrid w:val="0"/>
                <w:color w:val="auto"/>
                <w:spacing w:val="-4"/>
                <w:sz w:val="24"/>
                <w:highlight w:val="none"/>
              </w:rPr>
              <w:t>目标是否全面明确；</w:t>
            </w:r>
            <w:r>
              <w:rPr>
                <w:rFonts w:hint="eastAsia" w:ascii="宋体" w:hAnsi="宋体" w:cs="宋体"/>
                <w:snapToGrid w:val="0"/>
                <w:color w:val="auto"/>
                <w:spacing w:val="-4"/>
                <w:sz w:val="24"/>
                <w:highlight w:val="none"/>
              </w:rPr>
              <w:fldChar w:fldCharType="begin"/>
            </w:r>
            <w:r>
              <w:rPr>
                <w:rFonts w:hint="eastAsia" w:ascii="宋体" w:hAnsi="宋体" w:cs="宋体"/>
                <w:snapToGrid w:val="0"/>
                <w:color w:val="auto"/>
                <w:spacing w:val="-4"/>
                <w:sz w:val="24"/>
                <w:highlight w:val="none"/>
              </w:rPr>
              <w:instrText xml:space="preserve"> = 2 \* GB3 \* MERGEFORMAT </w:instrText>
            </w:r>
            <w:r>
              <w:rPr>
                <w:rFonts w:hint="eastAsia" w:ascii="宋体" w:hAnsi="宋体" w:cs="宋体"/>
                <w:snapToGrid w:val="0"/>
                <w:color w:val="auto"/>
                <w:spacing w:val="-4"/>
                <w:sz w:val="24"/>
                <w:highlight w:val="none"/>
              </w:rPr>
              <w:fldChar w:fldCharType="separate"/>
            </w:r>
            <w:r>
              <w:rPr>
                <w:rFonts w:hint="eastAsia" w:ascii="宋体" w:hAnsi="宋体" w:cs="宋体"/>
                <w:snapToGrid w:val="0"/>
                <w:color w:val="auto"/>
                <w:spacing w:val="-4"/>
                <w:sz w:val="24"/>
                <w:highlight w:val="none"/>
              </w:rPr>
              <w:t>②</w:t>
            </w:r>
            <w:r>
              <w:rPr>
                <w:rFonts w:hint="eastAsia" w:ascii="宋体" w:hAnsi="宋体" w:cs="宋体"/>
                <w:snapToGrid w:val="0"/>
                <w:color w:val="auto"/>
                <w:spacing w:val="-4"/>
                <w:sz w:val="24"/>
                <w:highlight w:val="none"/>
              </w:rPr>
              <w:fldChar w:fldCharType="end"/>
            </w:r>
            <w:r>
              <w:rPr>
                <w:rFonts w:hint="eastAsia" w:ascii="宋体" w:hAnsi="宋体" w:cs="宋体"/>
                <w:snapToGrid w:val="0"/>
                <w:color w:val="auto"/>
                <w:spacing w:val="-4"/>
                <w:sz w:val="24"/>
                <w:highlight w:val="none"/>
              </w:rPr>
              <w:t>培训内容是否齐全，</w:t>
            </w:r>
            <w:r>
              <w:rPr>
                <w:rFonts w:hint="eastAsia" w:ascii="宋体" w:hAnsi="宋体" w:cs="宋体"/>
                <w:snapToGrid w:val="0"/>
                <w:color w:val="auto"/>
                <w:spacing w:val="-4"/>
                <w:sz w:val="24"/>
                <w:highlight w:val="none"/>
              </w:rPr>
              <w:fldChar w:fldCharType="begin"/>
            </w:r>
            <w:r>
              <w:rPr>
                <w:rFonts w:hint="eastAsia" w:ascii="宋体" w:hAnsi="宋体" w:cs="宋体"/>
                <w:snapToGrid w:val="0"/>
                <w:color w:val="auto"/>
                <w:spacing w:val="-4"/>
                <w:sz w:val="24"/>
                <w:highlight w:val="none"/>
              </w:rPr>
              <w:instrText xml:space="preserve"> = 3 \* GB3 \* MERGEFORMAT </w:instrText>
            </w:r>
            <w:r>
              <w:rPr>
                <w:rFonts w:hint="eastAsia" w:ascii="宋体" w:hAnsi="宋体" w:cs="宋体"/>
                <w:snapToGrid w:val="0"/>
                <w:color w:val="auto"/>
                <w:spacing w:val="-4"/>
                <w:sz w:val="24"/>
                <w:highlight w:val="none"/>
              </w:rPr>
              <w:fldChar w:fldCharType="separate"/>
            </w:r>
            <w:r>
              <w:rPr>
                <w:rFonts w:hint="eastAsia" w:ascii="宋体" w:hAnsi="宋体" w:cs="宋体"/>
                <w:snapToGrid w:val="0"/>
                <w:color w:val="auto"/>
                <w:spacing w:val="-4"/>
                <w:sz w:val="24"/>
                <w:highlight w:val="none"/>
              </w:rPr>
              <w:t>③</w:t>
            </w:r>
            <w:r>
              <w:rPr>
                <w:rFonts w:hint="eastAsia" w:ascii="宋体" w:hAnsi="宋体" w:cs="宋体"/>
                <w:snapToGrid w:val="0"/>
                <w:color w:val="auto"/>
                <w:spacing w:val="-4"/>
                <w:sz w:val="24"/>
                <w:highlight w:val="none"/>
              </w:rPr>
              <w:fldChar w:fldCharType="end"/>
            </w:r>
            <w:r>
              <w:rPr>
                <w:rFonts w:hint="eastAsia" w:ascii="宋体" w:hAnsi="宋体" w:cs="宋体"/>
                <w:snapToGrid w:val="0"/>
                <w:color w:val="auto"/>
                <w:spacing w:val="-4"/>
                <w:sz w:val="24"/>
                <w:highlight w:val="none"/>
              </w:rPr>
              <w:t>培训方式多样性）进行评议：方案完整、科学、合理、可行的得3分；方案基本完整能满足招标需求的得2分；方案基本完整但部分内容缺失的得1分；未提供本项不得分。</w:t>
            </w:r>
          </w:p>
        </w:tc>
        <w:tc>
          <w:tcPr>
            <w:tcW w:w="605" w:type="dxa"/>
            <w:tcBorders>
              <w:top w:val="single" w:color="auto" w:sz="4" w:space="0"/>
              <w:left w:val="single" w:color="auto" w:sz="4" w:space="0"/>
              <w:bottom w:val="single" w:color="auto" w:sz="4" w:space="0"/>
              <w:right w:val="single" w:color="auto" w:sz="2" w:space="0"/>
            </w:tcBorders>
            <w:vAlign w:val="center"/>
          </w:tcPr>
          <w:p w14:paraId="785C9AF8">
            <w:pPr>
              <w:adjustRightInd/>
              <w:spacing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3</w:t>
            </w:r>
          </w:p>
        </w:tc>
        <w:tc>
          <w:tcPr>
            <w:tcW w:w="748" w:type="dxa"/>
            <w:tcBorders>
              <w:top w:val="single" w:color="auto" w:sz="4" w:space="0"/>
              <w:left w:val="single" w:color="auto" w:sz="4" w:space="0"/>
              <w:bottom w:val="single" w:color="auto" w:sz="4" w:space="0"/>
              <w:right w:val="single" w:color="auto" w:sz="2" w:space="0"/>
            </w:tcBorders>
            <w:vAlign w:val="center"/>
          </w:tcPr>
          <w:p w14:paraId="2AA1D48F">
            <w:pPr>
              <w:adjustRightInd/>
              <w:spacing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主观评议</w:t>
            </w:r>
          </w:p>
        </w:tc>
      </w:tr>
      <w:tr w14:paraId="0784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1" w:type="dxa"/>
            <w:vMerge w:val="continue"/>
            <w:tcBorders>
              <w:left w:val="single" w:color="auto" w:sz="4" w:space="0"/>
              <w:right w:val="single" w:color="auto" w:sz="2" w:space="0"/>
            </w:tcBorders>
            <w:vAlign w:val="center"/>
          </w:tcPr>
          <w:p w14:paraId="160CD6AE">
            <w:pPr>
              <w:adjustRightInd/>
              <w:spacing w:line="288" w:lineRule="auto"/>
              <w:jc w:val="center"/>
              <w:rPr>
                <w:rFonts w:ascii="宋体" w:hAnsi="宋体" w:cs="宋体"/>
                <w:snapToGrid w:val="0"/>
                <w:color w:val="auto"/>
                <w:spacing w:val="-4"/>
                <w:sz w:val="24"/>
                <w:highlight w:val="none"/>
              </w:rPr>
            </w:pPr>
          </w:p>
        </w:tc>
        <w:tc>
          <w:tcPr>
            <w:tcW w:w="6427" w:type="dxa"/>
            <w:gridSpan w:val="3"/>
            <w:tcBorders>
              <w:top w:val="single" w:color="auto" w:sz="4" w:space="0"/>
              <w:left w:val="single" w:color="auto" w:sz="4" w:space="0"/>
              <w:bottom w:val="single" w:color="auto" w:sz="4" w:space="0"/>
              <w:right w:val="single" w:color="auto" w:sz="2" w:space="0"/>
            </w:tcBorders>
            <w:vAlign w:val="center"/>
          </w:tcPr>
          <w:p w14:paraId="5F5C8394">
            <w:pPr>
              <w:adjustRightInd/>
              <w:spacing w:line="288" w:lineRule="auto"/>
              <w:jc w:val="left"/>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14、对供应商提供的增值</w:t>
            </w:r>
            <w:r>
              <w:rPr>
                <w:rFonts w:hint="eastAsia" w:ascii="宋体" w:hAnsi="宋体" w:cs="宋体"/>
                <w:snapToGrid w:val="0"/>
                <w:color w:val="auto"/>
                <w:spacing w:val="-4"/>
                <w:sz w:val="24"/>
                <w:highlight w:val="none"/>
                <w:lang w:val="en-US" w:eastAsia="zh-CN"/>
              </w:rPr>
              <w:t>服务方案</w:t>
            </w:r>
            <w:r>
              <w:rPr>
                <w:rFonts w:hint="eastAsia" w:ascii="宋体" w:hAnsi="宋体" w:cs="宋体"/>
                <w:snapToGrid w:val="0"/>
                <w:color w:val="auto"/>
                <w:spacing w:val="-4"/>
                <w:sz w:val="24"/>
                <w:highlight w:val="none"/>
              </w:rPr>
              <w:t>（①建议合理且具有针对性和可行性；②承诺切实可行）进行评议：增值服务具有实际意义和针对性，且合理可行的得3分；增值服务有一定的意义的得2分；增值服务基本没有实际意义的得1分，未提供本项不得分。</w:t>
            </w:r>
          </w:p>
        </w:tc>
        <w:tc>
          <w:tcPr>
            <w:tcW w:w="605" w:type="dxa"/>
            <w:tcBorders>
              <w:top w:val="single" w:color="auto" w:sz="4" w:space="0"/>
              <w:left w:val="single" w:color="auto" w:sz="4" w:space="0"/>
              <w:bottom w:val="single" w:color="auto" w:sz="4" w:space="0"/>
              <w:right w:val="single" w:color="auto" w:sz="2" w:space="0"/>
            </w:tcBorders>
            <w:vAlign w:val="center"/>
          </w:tcPr>
          <w:p w14:paraId="4D4DA76C">
            <w:pPr>
              <w:adjustRightInd/>
              <w:spacing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3</w:t>
            </w:r>
          </w:p>
        </w:tc>
        <w:tc>
          <w:tcPr>
            <w:tcW w:w="748" w:type="dxa"/>
            <w:tcBorders>
              <w:top w:val="single" w:color="auto" w:sz="4" w:space="0"/>
              <w:left w:val="single" w:color="auto" w:sz="4" w:space="0"/>
              <w:bottom w:val="single" w:color="auto" w:sz="4" w:space="0"/>
              <w:right w:val="single" w:color="auto" w:sz="2" w:space="0"/>
            </w:tcBorders>
            <w:vAlign w:val="center"/>
          </w:tcPr>
          <w:p w14:paraId="66EBEF23">
            <w:pPr>
              <w:adjustRightInd/>
              <w:spacing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主观评议</w:t>
            </w:r>
          </w:p>
        </w:tc>
      </w:tr>
      <w:tr w14:paraId="65BD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2" w:hRule="atLeast"/>
          <w:jc w:val="center"/>
        </w:trPr>
        <w:tc>
          <w:tcPr>
            <w:tcW w:w="881" w:type="dxa"/>
            <w:vMerge w:val="continue"/>
            <w:tcBorders>
              <w:left w:val="single" w:color="auto" w:sz="4" w:space="0"/>
              <w:right w:val="single" w:color="auto" w:sz="2" w:space="0"/>
            </w:tcBorders>
            <w:vAlign w:val="center"/>
          </w:tcPr>
          <w:p w14:paraId="003163D6">
            <w:pPr>
              <w:adjustRightInd/>
              <w:spacing w:line="288" w:lineRule="auto"/>
              <w:jc w:val="center"/>
              <w:rPr>
                <w:rFonts w:ascii="宋体" w:hAnsi="宋体" w:cs="宋体"/>
                <w:snapToGrid w:val="0"/>
                <w:color w:val="auto"/>
                <w:spacing w:val="-4"/>
                <w:sz w:val="24"/>
                <w:highlight w:val="none"/>
              </w:rPr>
            </w:pPr>
          </w:p>
        </w:tc>
        <w:tc>
          <w:tcPr>
            <w:tcW w:w="6427" w:type="dxa"/>
            <w:gridSpan w:val="3"/>
            <w:tcBorders>
              <w:top w:val="single" w:color="auto" w:sz="4" w:space="0"/>
              <w:left w:val="single" w:color="auto" w:sz="4" w:space="0"/>
              <w:bottom w:val="single" w:color="auto" w:sz="4" w:space="0"/>
              <w:right w:val="single" w:color="auto" w:sz="2" w:space="0"/>
            </w:tcBorders>
            <w:vAlign w:val="center"/>
          </w:tcPr>
          <w:p w14:paraId="49DF81FB">
            <w:pPr>
              <w:adjustRightInd/>
              <w:spacing w:line="288" w:lineRule="auto"/>
              <w:jc w:val="left"/>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15、根据供应商提供的对患者电子病历、送检标本及检测结果等相关资料保密的措施（</w:t>
            </w:r>
            <w:r>
              <w:rPr>
                <w:rFonts w:hint="eastAsia" w:ascii="宋体" w:hAnsi="宋体" w:cs="宋体"/>
                <w:snapToGrid w:val="0"/>
                <w:color w:val="auto"/>
                <w:spacing w:val="-4"/>
                <w:sz w:val="24"/>
                <w:highlight w:val="none"/>
              </w:rPr>
              <w:fldChar w:fldCharType="begin"/>
            </w:r>
            <w:r>
              <w:rPr>
                <w:rFonts w:hint="eastAsia" w:ascii="宋体" w:hAnsi="宋体" w:cs="宋体"/>
                <w:snapToGrid w:val="0"/>
                <w:color w:val="auto"/>
                <w:spacing w:val="-4"/>
                <w:sz w:val="24"/>
                <w:highlight w:val="none"/>
              </w:rPr>
              <w:instrText xml:space="preserve"> = 1 \* GB3 \* MERGEFORMAT </w:instrText>
            </w:r>
            <w:r>
              <w:rPr>
                <w:rFonts w:hint="eastAsia" w:ascii="宋体" w:hAnsi="宋体" w:cs="宋体"/>
                <w:snapToGrid w:val="0"/>
                <w:color w:val="auto"/>
                <w:spacing w:val="-4"/>
                <w:sz w:val="24"/>
                <w:highlight w:val="none"/>
              </w:rPr>
              <w:fldChar w:fldCharType="separate"/>
            </w:r>
            <w:r>
              <w:rPr>
                <w:rFonts w:hint="eastAsia" w:ascii="宋体" w:hAnsi="宋体" w:cs="宋体"/>
                <w:snapToGrid w:val="0"/>
                <w:color w:val="auto"/>
                <w:spacing w:val="-4"/>
                <w:sz w:val="24"/>
                <w:highlight w:val="none"/>
              </w:rPr>
              <w:t>①</w:t>
            </w:r>
            <w:r>
              <w:rPr>
                <w:rFonts w:hint="eastAsia" w:ascii="宋体" w:hAnsi="宋体" w:cs="宋体"/>
                <w:snapToGrid w:val="0"/>
                <w:color w:val="auto"/>
                <w:spacing w:val="-4"/>
                <w:sz w:val="24"/>
                <w:highlight w:val="none"/>
              </w:rPr>
              <w:fldChar w:fldCharType="end"/>
            </w:r>
            <w:r>
              <w:rPr>
                <w:rFonts w:hint="eastAsia" w:ascii="宋体" w:hAnsi="宋体" w:cs="宋体"/>
                <w:snapToGrid w:val="0"/>
                <w:color w:val="auto"/>
                <w:spacing w:val="-4"/>
                <w:sz w:val="24"/>
                <w:highlight w:val="none"/>
              </w:rPr>
              <w:t>保密措施安全；</w:t>
            </w:r>
            <w:r>
              <w:rPr>
                <w:rFonts w:hint="eastAsia" w:ascii="宋体" w:hAnsi="宋体" w:cs="宋体"/>
                <w:snapToGrid w:val="0"/>
                <w:color w:val="auto"/>
                <w:spacing w:val="-4"/>
                <w:sz w:val="24"/>
                <w:highlight w:val="none"/>
              </w:rPr>
              <w:fldChar w:fldCharType="begin"/>
            </w:r>
            <w:r>
              <w:rPr>
                <w:rFonts w:hint="eastAsia" w:ascii="宋体" w:hAnsi="宋体" w:cs="宋体"/>
                <w:snapToGrid w:val="0"/>
                <w:color w:val="auto"/>
                <w:spacing w:val="-4"/>
                <w:sz w:val="24"/>
                <w:highlight w:val="none"/>
              </w:rPr>
              <w:instrText xml:space="preserve"> = 2 \* GB3 \* MERGEFORMAT </w:instrText>
            </w:r>
            <w:r>
              <w:rPr>
                <w:rFonts w:hint="eastAsia" w:ascii="宋体" w:hAnsi="宋体" w:cs="宋体"/>
                <w:snapToGrid w:val="0"/>
                <w:color w:val="auto"/>
                <w:spacing w:val="-4"/>
                <w:sz w:val="24"/>
                <w:highlight w:val="none"/>
              </w:rPr>
              <w:fldChar w:fldCharType="separate"/>
            </w:r>
            <w:r>
              <w:rPr>
                <w:rFonts w:hint="eastAsia" w:ascii="宋体" w:hAnsi="宋体" w:cs="宋体"/>
                <w:snapToGrid w:val="0"/>
                <w:color w:val="auto"/>
                <w:spacing w:val="-4"/>
                <w:sz w:val="24"/>
                <w:highlight w:val="none"/>
              </w:rPr>
              <w:t>②</w:t>
            </w:r>
            <w:r>
              <w:rPr>
                <w:rFonts w:hint="eastAsia" w:ascii="宋体" w:hAnsi="宋体" w:cs="宋体"/>
                <w:snapToGrid w:val="0"/>
                <w:color w:val="auto"/>
                <w:spacing w:val="-4"/>
                <w:sz w:val="24"/>
                <w:highlight w:val="none"/>
              </w:rPr>
              <w:fldChar w:fldCharType="end"/>
            </w:r>
            <w:r>
              <w:rPr>
                <w:rFonts w:hint="eastAsia" w:ascii="宋体" w:hAnsi="宋体" w:cs="宋体"/>
                <w:snapToGrid w:val="0"/>
                <w:color w:val="auto"/>
                <w:spacing w:val="-4"/>
                <w:sz w:val="24"/>
                <w:highlight w:val="none"/>
              </w:rPr>
              <w:t>内容完整、充实）进行评议：方案完整、科学、合理、可行的得3分；方案基本完整能满足招标需求的得2分；方案基本完整但部分内容缺失的得1分；未提供本项不得分。</w:t>
            </w:r>
          </w:p>
        </w:tc>
        <w:tc>
          <w:tcPr>
            <w:tcW w:w="605" w:type="dxa"/>
            <w:tcBorders>
              <w:top w:val="single" w:color="auto" w:sz="4" w:space="0"/>
              <w:left w:val="single" w:color="auto" w:sz="4" w:space="0"/>
              <w:bottom w:val="single" w:color="auto" w:sz="4" w:space="0"/>
              <w:right w:val="single" w:color="auto" w:sz="2" w:space="0"/>
            </w:tcBorders>
            <w:vAlign w:val="center"/>
          </w:tcPr>
          <w:p w14:paraId="1870707D">
            <w:pPr>
              <w:adjustRightInd/>
              <w:spacing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3</w:t>
            </w:r>
          </w:p>
        </w:tc>
        <w:tc>
          <w:tcPr>
            <w:tcW w:w="748" w:type="dxa"/>
            <w:tcBorders>
              <w:top w:val="single" w:color="auto" w:sz="4" w:space="0"/>
              <w:left w:val="single" w:color="auto" w:sz="4" w:space="0"/>
              <w:bottom w:val="single" w:color="auto" w:sz="4" w:space="0"/>
              <w:right w:val="single" w:color="auto" w:sz="2" w:space="0"/>
            </w:tcBorders>
            <w:vAlign w:val="center"/>
          </w:tcPr>
          <w:p w14:paraId="4F0178A5">
            <w:pPr>
              <w:adjustRightInd/>
              <w:spacing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主观评议</w:t>
            </w:r>
          </w:p>
        </w:tc>
      </w:tr>
      <w:tr w14:paraId="5F13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1" w:hRule="atLeast"/>
          <w:jc w:val="center"/>
        </w:trPr>
        <w:tc>
          <w:tcPr>
            <w:tcW w:w="881" w:type="dxa"/>
            <w:vMerge w:val="continue"/>
            <w:tcBorders>
              <w:left w:val="single" w:color="auto" w:sz="4" w:space="0"/>
              <w:right w:val="single" w:color="auto" w:sz="2" w:space="0"/>
            </w:tcBorders>
            <w:vAlign w:val="center"/>
          </w:tcPr>
          <w:p w14:paraId="56D2C051">
            <w:pPr>
              <w:adjustRightInd/>
              <w:spacing w:line="288" w:lineRule="auto"/>
              <w:jc w:val="center"/>
              <w:rPr>
                <w:rFonts w:ascii="宋体" w:hAnsi="宋体" w:cs="宋体"/>
                <w:snapToGrid w:val="0"/>
                <w:color w:val="auto"/>
                <w:spacing w:val="-4"/>
                <w:sz w:val="24"/>
                <w:highlight w:val="none"/>
              </w:rPr>
            </w:pPr>
          </w:p>
        </w:tc>
        <w:tc>
          <w:tcPr>
            <w:tcW w:w="6427" w:type="dxa"/>
            <w:gridSpan w:val="3"/>
            <w:tcBorders>
              <w:top w:val="single" w:color="auto" w:sz="4" w:space="0"/>
              <w:left w:val="single" w:color="auto" w:sz="4" w:space="0"/>
              <w:bottom w:val="single" w:color="auto" w:sz="4" w:space="0"/>
              <w:right w:val="single" w:color="auto" w:sz="2" w:space="0"/>
            </w:tcBorders>
            <w:vAlign w:val="center"/>
          </w:tcPr>
          <w:p w14:paraId="121AAD8F">
            <w:pPr>
              <w:adjustRightInd/>
              <w:spacing w:line="288" w:lineRule="auto"/>
              <w:jc w:val="left"/>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16、根据供应商提供的数据对接方案（</w:t>
            </w:r>
            <w:r>
              <w:rPr>
                <w:rFonts w:hint="eastAsia" w:ascii="宋体" w:hAnsi="宋体" w:cs="宋体"/>
                <w:snapToGrid w:val="0"/>
                <w:color w:val="auto"/>
                <w:spacing w:val="-4"/>
                <w:sz w:val="24"/>
                <w:highlight w:val="none"/>
              </w:rPr>
              <w:fldChar w:fldCharType="begin"/>
            </w:r>
            <w:r>
              <w:rPr>
                <w:rFonts w:hint="eastAsia" w:ascii="宋体" w:hAnsi="宋体" w:cs="宋体"/>
                <w:snapToGrid w:val="0"/>
                <w:color w:val="auto"/>
                <w:spacing w:val="-4"/>
                <w:sz w:val="24"/>
                <w:highlight w:val="none"/>
              </w:rPr>
              <w:instrText xml:space="preserve"> = 1 \* GB3 \* MERGEFORMAT </w:instrText>
            </w:r>
            <w:r>
              <w:rPr>
                <w:rFonts w:hint="eastAsia" w:ascii="宋体" w:hAnsi="宋体" w:cs="宋体"/>
                <w:snapToGrid w:val="0"/>
                <w:color w:val="auto"/>
                <w:spacing w:val="-4"/>
                <w:sz w:val="24"/>
                <w:highlight w:val="none"/>
              </w:rPr>
              <w:fldChar w:fldCharType="separate"/>
            </w:r>
            <w:r>
              <w:rPr>
                <w:rFonts w:hint="eastAsia" w:ascii="宋体" w:hAnsi="宋体" w:cs="宋体"/>
                <w:snapToGrid w:val="0"/>
                <w:color w:val="auto"/>
                <w:spacing w:val="-4"/>
                <w:sz w:val="24"/>
                <w:highlight w:val="none"/>
              </w:rPr>
              <w:t>①</w:t>
            </w:r>
            <w:r>
              <w:rPr>
                <w:rFonts w:hint="eastAsia" w:ascii="宋体" w:hAnsi="宋体" w:cs="宋体"/>
                <w:snapToGrid w:val="0"/>
                <w:color w:val="auto"/>
                <w:spacing w:val="-4"/>
                <w:sz w:val="24"/>
                <w:highlight w:val="none"/>
              </w:rPr>
              <w:fldChar w:fldCharType="end"/>
            </w:r>
            <w:r>
              <w:rPr>
                <w:rFonts w:hint="eastAsia" w:ascii="宋体" w:hAnsi="宋体" w:cs="宋体"/>
                <w:snapToGrid w:val="0"/>
                <w:color w:val="auto"/>
                <w:spacing w:val="-4"/>
                <w:sz w:val="24"/>
                <w:highlight w:val="none"/>
              </w:rPr>
              <w:t>检测结果传递的及时性，②信息传输一致性验证方案；</w:t>
            </w:r>
            <w:r>
              <w:rPr>
                <w:rFonts w:hint="eastAsia" w:ascii="宋体" w:hAnsi="宋体" w:cs="宋体"/>
                <w:snapToGrid w:val="0"/>
                <w:color w:val="auto"/>
                <w:spacing w:val="-4"/>
                <w:sz w:val="24"/>
                <w:highlight w:val="none"/>
              </w:rPr>
              <w:fldChar w:fldCharType="begin"/>
            </w:r>
            <w:r>
              <w:rPr>
                <w:rFonts w:hint="eastAsia" w:ascii="宋体" w:hAnsi="宋体" w:cs="宋体"/>
                <w:snapToGrid w:val="0"/>
                <w:color w:val="auto"/>
                <w:spacing w:val="-4"/>
                <w:sz w:val="24"/>
                <w:highlight w:val="none"/>
              </w:rPr>
              <w:instrText xml:space="preserve"> = 3 \* GB3 \* MERGEFORMAT </w:instrText>
            </w:r>
            <w:r>
              <w:rPr>
                <w:rFonts w:hint="eastAsia" w:ascii="宋体" w:hAnsi="宋体" w:cs="宋体"/>
                <w:snapToGrid w:val="0"/>
                <w:color w:val="auto"/>
                <w:spacing w:val="-4"/>
                <w:sz w:val="24"/>
                <w:highlight w:val="none"/>
              </w:rPr>
              <w:fldChar w:fldCharType="separate"/>
            </w:r>
            <w:r>
              <w:rPr>
                <w:rFonts w:hint="eastAsia" w:ascii="宋体" w:hAnsi="宋体" w:cs="宋体"/>
                <w:snapToGrid w:val="0"/>
                <w:color w:val="auto"/>
                <w:spacing w:val="-4"/>
                <w:sz w:val="24"/>
                <w:highlight w:val="none"/>
              </w:rPr>
              <w:t>③</w:t>
            </w:r>
            <w:r>
              <w:rPr>
                <w:rFonts w:hint="eastAsia" w:ascii="宋体" w:hAnsi="宋体" w:cs="宋体"/>
                <w:snapToGrid w:val="0"/>
                <w:color w:val="auto"/>
                <w:spacing w:val="-4"/>
                <w:sz w:val="24"/>
                <w:highlight w:val="none"/>
              </w:rPr>
              <w:fldChar w:fldCharType="end"/>
            </w:r>
            <w:r>
              <w:rPr>
                <w:rFonts w:hint="eastAsia" w:ascii="宋体" w:hAnsi="宋体" w:cs="宋体"/>
                <w:snapToGrid w:val="0"/>
                <w:color w:val="auto"/>
                <w:spacing w:val="-4"/>
                <w:sz w:val="24"/>
                <w:highlight w:val="none"/>
              </w:rPr>
              <w:t>能实现无纸化传输检测结果。④检测数据查询、传输方案是否完善性）进行评议：方案完整、科学、合理、可行的得3分；方案基本完整能满足招标需求的得2分；方案基本完整但部分内容缺失的得1分；未提供本项不得分。</w:t>
            </w:r>
          </w:p>
        </w:tc>
        <w:tc>
          <w:tcPr>
            <w:tcW w:w="605" w:type="dxa"/>
            <w:tcBorders>
              <w:top w:val="single" w:color="auto" w:sz="4" w:space="0"/>
              <w:left w:val="single" w:color="auto" w:sz="4" w:space="0"/>
              <w:bottom w:val="single" w:color="auto" w:sz="4" w:space="0"/>
              <w:right w:val="single" w:color="auto" w:sz="2" w:space="0"/>
            </w:tcBorders>
            <w:vAlign w:val="center"/>
          </w:tcPr>
          <w:p w14:paraId="19938F81">
            <w:pPr>
              <w:adjustRightInd/>
              <w:spacing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3</w:t>
            </w:r>
          </w:p>
        </w:tc>
        <w:tc>
          <w:tcPr>
            <w:tcW w:w="748" w:type="dxa"/>
            <w:tcBorders>
              <w:top w:val="single" w:color="auto" w:sz="4" w:space="0"/>
              <w:left w:val="single" w:color="auto" w:sz="4" w:space="0"/>
              <w:bottom w:val="single" w:color="auto" w:sz="4" w:space="0"/>
              <w:right w:val="single" w:color="auto" w:sz="2" w:space="0"/>
            </w:tcBorders>
            <w:vAlign w:val="center"/>
          </w:tcPr>
          <w:p w14:paraId="4F74CFC3">
            <w:pPr>
              <w:adjustRightInd/>
              <w:spacing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主观评议</w:t>
            </w:r>
          </w:p>
        </w:tc>
      </w:tr>
      <w:tr w14:paraId="33C85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1" w:type="dxa"/>
            <w:vMerge w:val="continue"/>
            <w:tcBorders>
              <w:left w:val="single" w:color="auto" w:sz="4" w:space="0"/>
              <w:right w:val="single" w:color="auto" w:sz="2" w:space="0"/>
            </w:tcBorders>
            <w:vAlign w:val="center"/>
          </w:tcPr>
          <w:p w14:paraId="4D1608B9">
            <w:pPr>
              <w:adjustRightInd/>
              <w:spacing w:line="288" w:lineRule="auto"/>
              <w:jc w:val="center"/>
              <w:rPr>
                <w:rFonts w:ascii="宋体" w:hAnsi="宋体" w:cs="宋体"/>
                <w:snapToGrid w:val="0"/>
                <w:color w:val="auto"/>
                <w:spacing w:val="-4"/>
                <w:sz w:val="24"/>
                <w:highlight w:val="none"/>
              </w:rPr>
            </w:pPr>
          </w:p>
        </w:tc>
        <w:tc>
          <w:tcPr>
            <w:tcW w:w="6427" w:type="dxa"/>
            <w:gridSpan w:val="3"/>
            <w:tcBorders>
              <w:top w:val="single" w:color="auto" w:sz="4" w:space="0"/>
              <w:left w:val="single" w:color="auto" w:sz="4" w:space="0"/>
              <w:bottom w:val="single" w:color="auto" w:sz="4" w:space="0"/>
              <w:right w:val="single" w:color="auto" w:sz="2" w:space="0"/>
            </w:tcBorders>
            <w:vAlign w:val="center"/>
          </w:tcPr>
          <w:p w14:paraId="1234CFC9">
            <w:pPr>
              <w:adjustRightInd/>
              <w:spacing w:line="288" w:lineRule="auto"/>
              <w:jc w:val="left"/>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17、业绩（2分）：</w:t>
            </w:r>
          </w:p>
          <w:p w14:paraId="125D4352">
            <w:pPr>
              <w:adjustRightInd/>
              <w:spacing w:line="288" w:lineRule="auto"/>
              <w:jc w:val="left"/>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2021年1月1日（合同签订时间为准）至今，供应商具有检验外送服务业绩的，每提供一个得0.5分，最高得2分。同一业主不累计得分。</w:t>
            </w:r>
          </w:p>
          <w:p w14:paraId="71BACE46">
            <w:pPr>
              <w:adjustRightInd/>
              <w:spacing w:line="288" w:lineRule="auto"/>
              <w:jc w:val="left"/>
              <w:rPr>
                <w:rFonts w:ascii="宋体" w:hAnsi="宋体" w:cs="宋体"/>
                <w:snapToGrid w:val="0"/>
                <w:color w:val="auto"/>
                <w:spacing w:val="-4"/>
                <w:sz w:val="24"/>
                <w:highlight w:val="none"/>
              </w:rPr>
            </w:pPr>
            <w:r>
              <w:rPr>
                <w:rFonts w:hint="eastAsia" w:ascii="宋体" w:hAnsi="宋体" w:cs="宋体"/>
                <w:b/>
                <w:bCs/>
                <w:snapToGrid w:val="0"/>
                <w:color w:val="auto"/>
                <w:spacing w:val="-4"/>
                <w:sz w:val="24"/>
                <w:highlight w:val="none"/>
              </w:rPr>
              <w:t>注：提供合同扫描件加盖供应商公章，如合同中不能体现服务内容或服务期限的，需同时提供业主盖章的证明资料扫描件，否则不得分。</w:t>
            </w:r>
          </w:p>
        </w:tc>
        <w:tc>
          <w:tcPr>
            <w:tcW w:w="605" w:type="dxa"/>
            <w:tcBorders>
              <w:top w:val="single" w:color="auto" w:sz="4" w:space="0"/>
              <w:left w:val="single" w:color="auto" w:sz="4" w:space="0"/>
              <w:bottom w:val="single" w:color="auto" w:sz="4" w:space="0"/>
              <w:right w:val="single" w:color="auto" w:sz="2" w:space="0"/>
            </w:tcBorders>
            <w:vAlign w:val="center"/>
          </w:tcPr>
          <w:p w14:paraId="40B19132">
            <w:pPr>
              <w:adjustRightInd/>
              <w:spacing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2</w:t>
            </w:r>
          </w:p>
        </w:tc>
        <w:tc>
          <w:tcPr>
            <w:tcW w:w="748" w:type="dxa"/>
            <w:tcBorders>
              <w:top w:val="single" w:color="auto" w:sz="4" w:space="0"/>
              <w:left w:val="single" w:color="auto" w:sz="4" w:space="0"/>
              <w:bottom w:val="single" w:color="auto" w:sz="4" w:space="0"/>
              <w:right w:val="single" w:color="auto" w:sz="2" w:space="0"/>
            </w:tcBorders>
            <w:vAlign w:val="center"/>
          </w:tcPr>
          <w:p w14:paraId="2A3306BA">
            <w:pPr>
              <w:adjustRightInd/>
              <w:spacing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客观评议</w:t>
            </w:r>
          </w:p>
        </w:tc>
      </w:tr>
      <w:tr w14:paraId="47A8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881" w:type="dxa"/>
            <w:vMerge w:val="restart"/>
            <w:tcBorders>
              <w:top w:val="single" w:color="auto" w:sz="4" w:space="0"/>
              <w:left w:val="single" w:color="auto" w:sz="4" w:space="0"/>
              <w:right w:val="single" w:color="auto" w:sz="2" w:space="0"/>
            </w:tcBorders>
            <w:tcMar>
              <w:top w:w="0" w:type="dxa"/>
              <w:left w:w="0" w:type="dxa"/>
              <w:bottom w:w="0" w:type="dxa"/>
              <w:right w:w="0" w:type="dxa"/>
            </w:tcMar>
            <w:vAlign w:val="center"/>
          </w:tcPr>
          <w:p w14:paraId="43AAF0DF">
            <w:pPr>
              <w:adjustRightInd/>
              <w:spacing w:before="120" w:beforeLines="50"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报价分</w:t>
            </w:r>
          </w:p>
          <w:p w14:paraId="6D4CA45B">
            <w:pPr>
              <w:adjustRightInd/>
              <w:spacing w:before="120" w:beforeLines="50"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（20分）</w:t>
            </w:r>
          </w:p>
        </w:tc>
        <w:tc>
          <w:tcPr>
            <w:tcW w:w="1089" w:type="dxa"/>
            <w:tcBorders>
              <w:top w:val="single" w:color="auto" w:sz="4" w:space="0"/>
              <w:left w:val="single" w:color="auto" w:sz="4" w:space="0"/>
              <w:bottom w:val="single" w:color="auto" w:sz="4" w:space="0"/>
              <w:right w:val="single" w:color="auto" w:sz="2" w:space="0"/>
            </w:tcBorders>
            <w:vAlign w:val="center"/>
          </w:tcPr>
          <w:p w14:paraId="46F015FC">
            <w:pPr>
              <w:adjustRightInd/>
              <w:spacing w:line="288" w:lineRule="auto"/>
              <w:jc w:val="center"/>
              <w:rPr>
                <w:rFonts w:ascii="宋体" w:hAnsi="宋体" w:cs="宋体"/>
                <w:color w:val="auto"/>
                <w:sz w:val="24"/>
                <w:highlight w:val="none"/>
              </w:rPr>
            </w:pPr>
            <w:r>
              <w:rPr>
                <w:rFonts w:hint="eastAsia" w:ascii="宋体" w:hAnsi="宋体" w:cs="宋体"/>
                <w:color w:val="auto"/>
                <w:sz w:val="24"/>
                <w:highlight w:val="none"/>
              </w:rPr>
              <w:t>常规检验项目价格分</w:t>
            </w:r>
          </w:p>
        </w:tc>
        <w:tc>
          <w:tcPr>
            <w:tcW w:w="5338" w:type="dxa"/>
            <w:gridSpan w:val="2"/>
            <w:tcBorders>
              <w:top w:val="single" w:color="auto" w:sz="4" w:space="0"/>
              <w:left w:val="single" w:color="auto" w:sz="4" w:space="0"/>
              <w:bottom w:val="single" w:color="auto" w:sz="4" w:space="0"/>
              <w:right w:val="single" w:color="auto" w:sz="2" w:space="0"/>
            </w:tcBorders>
            <w:vAlign w:val="center"/>
          </w:tcPr>
          <w:p w14:paraId="39DAB0E8">
            <w:pPr>
              <w:adjustRightInd/>
              <w:spacing w:line="288" w:lineRule="auto"/>
              <w:jc w:val="left"/>
              <w:rPr>
                <w:rFonts w:ascii="宋体" w:hAnsi="宋体" w:cs="宋体"/>
                <w:color w:val="auto"/>
                <w:sz w:val="24"/>
                <w:highlight w:val="none"/>
              </w:rPr>
            </w:pPr>
            <w:r>
              <w:rPr>
                <w:rFonts w:hint="eastAsia" w:ascii="宋体" w:hAnsi="宋体" w:cs="宋体"/>
                <w:color w:val="auto"/>
                <w:sz w:val="24"/>
                <w:highlight w:val="none"/>
              </w:rPr>
              <w:t>参与评审的价格=</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折扣率（以“浙江省医疗服务价格”为基准）-小微企业政策优惠（如有）；</w:t>
            </w:r>
          </w:p>
          <w:p w14:paraId="4B4EC65A">
            <w:pPr>
              <w:adjustRightInd/>
              <w:spacing w:line="288" w:lineRule="auto"/>
              <w:jc w:val="left"/>
              <w:rPr>
                <w:rFonts w:ascii="宋体" w:hAnsi="宋体" w:cs="宋体"/>
                <w:color w:val="auto"/>
                <w:sz w:val="24"/>
                <w:highlight w:val="none"/>
              </w:rPr>
            </w:pPr>
            <w:r>
              <w:rPr>
                <w:rFonts w:hint="eastAsia" w:ascii="宋体" w:hAnsi="宋体" w:cs="宋体"/>
                <w:color w:val="auto"/>
                <w:sz w:val="24"/>
                <w:highlight w:val="none"/>
              </w:rPr>
              <w:t>基准价=满足招标文件要求且最低的参与评审的价格，基准价12分；</w:t>
            </w:r>
          </w:p>
          <w:p w14:paraId="7C17B46A">
            <w:pPr>
              <w:adjustRightInd/>
              <w:spacing w:line="288" w:lineRule="auto"/>
              <w:jc w:val="left"/>
              <w:rPr>
                <w:rFonts w:ascii="宋体" w:hAnsi="宋体" w:cs="宋体"/>
                <w:color w:val="auto"/>
                <w:sz w:val="24"/>
                <w:highlight w:val="none"/>
              </w:rPr>
            </w:pPr>
            <w:r>
              <w:rPr>
                <w:rFonts w:hint="eastAsia" w:ascii="宋体" w:hAnsi="宋体" w:cs="宋体"/>
                <w:color w:val="auto"/>
                <w:sz w:val="24"/>
                <w:highlight w:val="none"/>
              </w:rPr>
              <w:t>其余供应商得分为：报价得分=（基准价/参与评审的价格）×12%×100。</w:t>
            </w:r>
          </w:p>
        </w:tc>
        <w:tc>
          <w:tcPr>
            <w:tcW w:w="605" w:type="dxa"/>
            <w:tcBorders>
              <w:top w:val="single" w:color="auto" w:sz="4" w:space="0"/>
              <w:left w:val="single" w:color="auto" w:sz="4" w:space="0"/>
              <w:bottom w:val="single" w:color="auto" w:sz="4" w:space="0"/>
              <w:right w:val="single" w:color="auto" w:sz="2" w:space="0"/>
            </w:tcBorders>
            <w:vAlign w:val="center"/>
          </w:tcPr>
          <w:p w14:paraId="6E6B55F7">
            <w:pPr>
              <w:adjustRightInd/>
              <w:spacing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12</w:t>
            </w:r>
          </w:p>
        </w:tc>
        <w:tc>
          <w:tcPr>
            <w:tcW w:w="748" w:type="dxa"/>
            <w:tcBorders>
              <w:top w:val="single" w:color="auto" w:sz="4" w:space="0"/>
              <w:left w:val="single" w:color="auto" w:sz="4" w:space="0"/>
              <w:bottom w:val="single" w:color="auto" w:sz="4" w:space="0"/>
              <w:right w:val="single" w:color="auto" w:sz="2" w:space="0"/>
            </w:tcBorders>
            <w:vAlign w:val="center"/>
          </w:tcPr>
          <w:p w14:paraId="7BD304E6">
            <w:pPr>
              <w:adjustRightInd/>
              <w:spacing w:line="288" w:lineRule="auto"/>
              <w:jc w:val="center"/>
              <w:rPr>
                <w:rFonts w:ascii="宋体" w:hAnsi="宋体" w:cs="宋体"/>
                <w:snapToGrid w:val="0"/>
                <w:color w:val="auto"/>
                <w:spacing w:val="-4"/>
                <w:sz w:val="24"/>
                <w:highlight w:val="none"/>
              </w:rPr>
            </w:pPr>
            <w:r>
              <w:rPr>
                <w:rFonts w:hint="eastAsia" w:ascii="宋体" w:hAnsi="宋体" w:cs="宋体"/>
                <w:snapToGrid w:val="0"/>
                <w:color w:val="auto"/>
                <w:spacing w:val="-4"/>
                <w:sz w:val="24"/>
                <w:highlight w:val="none"/>
              </w:rPr>
              <w:t>客观评议</w:t>
            </w:r>
          </w:p>
        </w:tc>
      </w:tr>
      <w:tr w14:paraId="27D6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881" w:type="dxa"/>
            <w:vMerge w:val="continue"/>
            <w:tcBorders>
              <w:left w:val="single" w:color="auto" w:sz="4" w:space="0"/>
              <w:right w:val="single" w:color="auto" w:sz="2" w:space="0"/>
            </w:tcBorders>
            <w:tcMar>
              <w:top w:w="0" w:type="dxa"/>
              <w:left w:w="0" w:type="dxa"/>
              <w:bottom w:w="0" w:type="dxa"/>
              <w:right w:w="0" w:type="dxa"/>
            </w:tcMar>
            <w:vAlign w:val="center"/>
          </w:tcPr>
          <w:p w14:paraId="406197E2">
            <w:pPr>
              <w:adjustRightInd/>
              <w:spacing w:line="288" w:lineRule="auto"/>
              <w:rPr>
                <w:color w:val="auto"/>
                <w:highlight w:val="none"/>
              </w:rPr>
            </w:pPr>
          </w:p>
        </w:tc>
        <w:tc>
          <w:tcPr>
            <w:tcW w:w="1089" w:type="dxa"/>
            <w:tcBorders>
              <w:top w:val="single" w:color="auto" w:sz="4" w:space="0"/>
              <w:left w:val="single" w:color="auto" w:sz="4" w:space="0"/>
              <w:bottom w:val="single" w:color="auto" w:sz="4" w:space="0"/>
              <w:right w:val="single" w:color="auto" w:sz="2" w:space="0"/>
            </w:tcBorders>
            <w:vAlign w:val="center"/>
          </w:tcPr>
          <w:p w14:paraId="1B611272">
            <w:pPr>
              <w:adjustRightInd/>
              <w:spacing w:line="288" w:lineRule="auto"/>
              <w:jc w:val="center"/>
              <w:rPr>
                <w:rFonts w:ascii="宋体" w:hAnsi="宋体" w:cs="宋体"/>
                <w:color w:val="auto"/>
                <w:sz w:val="24"/>
                <w:highlight w:val="none"/>
              </w:rPr>
            </w:pPr>
            <w:r>
              <w:rPr>
                <w:rFonts w:hint="eastAsia" w:ascii="宋体" w:hAnsi="宋体" w:cs="宋体"/>
                <w:color w:val="auto"/>
                <w:sz w:val="24"/>
                <w:highlight w:val="none"/>
              </w:rPr>
              <w:t>特殊检验项目价格分</w:t>
            </w:r>
          </w:p>
        </w:tc>
        <w:tc>
          <w:tcPr>
            <w:tcW w:w="5338" w:type="dxa"/>
            <w:gridSpan w:val="2"/>
            <w:tcBorders>
              <w:top w:val="single" w:color="auto" w:sz="4" w:space="0"/>
              <w:left w:val="single" w:color="auto" w:sz="4" w:space="0"/>
              <w:bottom w:val="single" w:color="auto" w:sz="4" w:space="0"/>
              <w:right w:val="single" w:color="auto" w:sz="2" w:space="0"/>
            </w:tcBorders>
            <w:vAlign w:val="center"/>
          </w:tcPr>
          <w:p w14:paraId="70BB45F6">
            <w:pPr>
              <w:adjustRightInd/>
              <w:spacing w:line="288" w:lineRule="auto"/>
              <w:jc w:val="left"/>
              <w:rPr>
                <w:rFonts w:ascii="宋体" w:hAnsi="宋体" w:cs="宋体"/>
                <w:color w:val="auto"/>
                <w:sz w:val="24"/>
                <w:highlight w:val="none"/>
              </w:rPr>
            </w:pPr>
            <w:r>
              <w:rPr>
                <w:rFonts w:hint="eastAsia" w:ascii="宋体" w:hAnsi="宋体" w:cs="宋体"/>
                <w:color w:val="auto"/>
                <w:sz w:val="24"/>
                <w:highlight w:val="none"/>
              </w:rPr>
              <w:t>参与评审的价格=</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折扣率（以“浙江省医疗服务价格”为基准）-小微企业政策优惠（如有）；</w:t>
            </w:r>
          </w:p>
          <w:p w14:paraId="42C71746">
            <w:pPr>
              <w:adjustRightInd/>
              <w:spacing w:line="288" w:lineRule="auto"/>
              <w:jc w:val="left"/>
              <w:rPr>
                <w:rFonts w:ascii="宋体" w:hAnsi="宋体" w:cs="宋体"/>
                <w:color w:val="auto"/>
                <w:sz w:val="24"/>
                <w:highlight w:val="none"/>
              </w:rPr>
            </w:pPr>
            <w:r>
              <w:rPr>
                <w:rFonts w:hint="eastAsia" w:ascii="宋体" w:hAnsi="宋体" w:cs="宋体"/>
                <w:color w:val="auto"/>
                <w:sz w:val="24"/>
                <w:highlight w:val="none"/>
              </w:rPr>
              <w:t>基准价=满足招标文件要求且最低的参与评审的价格，基准价2分；</w:t>
            </w:r>
          </w:p>
          <w:p w14:paraId="485B0FC3">
            <w:pPr>
              <w:adjustRightInd/>
              <w:spacing w:line="288" w:lineRule="auto"/>
              <w:jc w:val="left"/>
              <w:rPr>
                <w:rFonts w:ascii="宋体" w:hAnsi="宋体" w:cs="宋体"/>
                <w:color w:val="auto"/>
                <w:sz w:val="24"/>
                <w:highlight w:val="none"/>
              </w:rPr>
            </w:pPr>
            <w:r>
              <w:rPr>
                <w:rFonts w:hint="eastAsia" w:ascii="宋体" w:hAnsi="宋体" w:cs="宋体"/>
                <w:color w:val="auto"/>
                <w:sz w:val="24"/>
                <w:highlight w:val="none"/>
              </w:rPr>
              <w:t>其余供应商得分为：报价得分=（基准价/参与评审的价格）×2%×100。</w:t>
            </w:r>
          </w:p>
        </w:tc>
        <w:tc>
          <w:tcPr>
            <w:tcW w:w="605" w:type="dxa"/>
            <w:tcBorders>
              <w:top w:val="single" w:color="auto" w:sz="4" w:space="0"/>
              <w:left w:val="single" w:color="auto" w:sz="4" w:space="0"/>
              <w:bottom w:val="single" w:color="auto" w:sz="4" w:space="0"/>
              <w:right w:val="single" w:color="auto" w:sz="2" w:space="0"/>
            </w:tcBorders>
            <w:vAlign w:val="center"/>
          </w:tcPr>
          <w:p w14:paraId="437F907C">
            <w:pPr>
              <w:adjustRightInd/>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48" w:type="dxa"/>
            <w:tcBorders>
              <w:top w:val="single" w:color="auto" w:sz="4" w:space="0"/>
              <w:left w:val="single" w:color="auto" w:sz="4" w:space="0"/>
              <w:bottom w:val="single" w:color="auto" w:sz="4" w:space="0"/>
              <w:right w:val="single" w:color="auto" w:sz="2" w:space="0"/>
            </w:tcBorders>
            <w:vAlign w:val="center"/>
          </w:tcPr>
          <w:p w14:paraId="3AE7F1F0">
            <w:pPr>
              <w:adjustRightInd/>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客观评议</w:t>
            </w:r>
          </w:p>
        </w:tc>
      </w:tr>
      <w:tr w14:paraId="5C2D3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881" w:type="dxa"/>
            <w:vMerge w:val="continue"/>
            <w:tcBorders>
              <w:left w:val="single" w:color="auto" w:sz="4" w:space="0"/>
              <w:right w:val="single" w:color="auto" w:sz="2" w:space="0"/>
            </w:tcBorders>
            <w:tcMar>
              <w:top w:w="0" w:type="dxa"/>
              <w:left w:w="0" w:type="dxa"/>
              <w:bottom w:w="0" w:type="dxa"/>
              <w:right w:w="0" w:type="dxa"/>
            </w:tcMar>
            <w:vAlign w:val="center"/>
          </w:tcPr>
          <w:p w14:paraId="19B7AEB1">
            <w:pPr>
              <w:adjustRightInd/>
              <w:spacing w:line="288" w:lineRule="auto"/>
              <w:rPr>
                <w:color w:val="auto"/>
                <w:highlight w:val="none"/>
              </w:rPr>
            </w:pPr>
          </w:p>
        </w:tc>
        <w:tc>
          <w:tcPr>
            <w:tcW w:w="1089" w:type="dxa"/>
            <w:tcBorders>
              <w:top w:val="single" w:color="auto" w:sz="4" w:space="0"/>
              <w:left w:val="single" w:color="auto" w:sz="4" w:space="0"/>
              <w:bottom w:val="single" w:color="auto" w:sz="4" w:space="0"/>
              <w:right w:val="single" w:color="auto" w:sz="2" w:space="0"/>
            </w:tcBorders>
            <w:vAlign w:val="center"/>
          </w:tcPr>
          <w:p w14:paraId="2BC35CD8">
            <w:pPr>
              <w:adjustRightInd/>
              <w:spacing w:line="288" w:lineRule="auto"/>
              <w:jc w:val="center"/>
              <w:rPr>
                <w:rFonts w:ascii="宋体" w:hAnsi="宋体" w:cs="宋体"/>
                <w:color w:val="auto"/>
                <w:sz w:val="24"/>
                <w:highlight w:val="none"/>
              </w:rPr>
            </w:pPr>
            <w:r>
              <w:rPr>
                <w:rFonts w:hint="eastAsia" w:ascii="宋体" w:hAnsi="宋体" w:cs="宋体"/>
                <w:color w:val="auto"/>
                <w:sz w:val="24"/>
                <w:highlight w:val="none"/>
              </w:rPr>
              <w:t>维生素检测项目价格分</w:t>
            </w:r>
          </w:p>
        </w:tc>
        <w:tc>
          <w:tcPr>
            <w:tcW w:w="5338" w:type="dxa"/>
            <w:gridSpan w:val="2"/>
            <w:tcBorders>
              <w:top w:val="single" w:color="auto" w:sz="4" w:space="0"/>
              <w:left w:val="single" w:color="auto" w:sz="4" w:space="0"/>
              <w:bottom w:val="single" w:color="auto" w:sz="4" w:space="0"/>
              <w:right w:val="single" w:color="auto" w:sz="2" w:space="0"/>
            </w:tcBorders>
            <w:vAlign w:val="center"/>
          </w:tcPr>
          <w:p w14:paraId="2C52C216">
            <w:pPr>
              <w:adjustRightInd/>
              <w:spacing w:line="288" w:lineRule="auto"/>
              <w:jc w:val="left"/>
              <w:rPr>
                <w:rFonts w:ascii="宋体" w:hAnsi="宋体" w:cs="宋体"/>
                <w:color w:val="auto"/>
                <w:sz w:val="24"/>
                <w:highlight w:val="none"/>
              </w:rPr>
            </w:pPr>
            <w:r>
              <w:rPr>
                <w:rFonts w:hint="eastAsia" w:ascii="宋体" w:hAnsi="宋体" w:cs="宋体"/>
                <w:color w:val="auto"/>
                <w:sz w:val="24"/>
                <w:highlight w:val="none"/>
              </w:rPr>
              <w:t>参与评审的价格=</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折扣率（以“浙江省医疗服务价格”为基准）-小微企业政策优惠（如有）；</w:t>
            </w:r>
          </w:p>
          <w:p w14:paraId="7365CA50">
            <w:pPr>
              <w:adjustRightInd/>
              <w:spacing w:line="288" w:lineRule="auto"/>
              <w:jc w:val="left"/>
              <w:rPr>
                <w:rFonts w:ascii="宋体" w:hAnsi="宋体" w:cs="宋体"/>
                <w:color w:val="auto"/>
                <w:sz w:val="24"/>
                <w:highlight w:val="none"/>
              </w:rPr>
            </w:pPr>
            <w:r>
              <w:rPr>
                <w:rFonts w:hint="eastAsia" w:ascii="宋体" w:hAnsi="宋体" w:cs="宋体"/>
                <w:color w:val="auto"/>
                <w:sz w:val="24"/>
                <w:highlight w:val="none"/>
              </w:rPr>
              <w:t>基准价=满足招标文件要求且最低的参与评审的价格，基准价2分；</w:t>
            </w:r>
          </w:p>
          <w:p w14:paraId="17C00E4D">
            <w:pPr>
              <w:adjustRightInd/>
              <w:spacing w:line="288" w:lineRule="auto"/>
              <w:jc w:val="left"/>
              <w:rPr>
                <w:rFonts w:ascii="宋体" w:hAnsi="宋体" w:cs="宋体"/>
                <w:color w:val="auto"/>
                <w:sz w:val="24"/>
                <w:highlight w:val="none"/>
              </w:rPr>
            </w:pPr>
            <w:r>
              <w:rPr>
                <w:rFonts w:hint="eastAsia" w:ascii="宋体" w:hAnsi="宋体" w:cs="宋体"/>
                <w:color w:val="auto"/>
                <w:sz w:val="24"/>
                <w:highlight w:val="none"/>
              </w:rPr>
              <w:t>其余供应商得分为：报价得分=（基准价/参与评审的价格）×2%×100。</w:t>
            </w:r>
          </w:p>
        </w:tc>
        <w:tc>
          <w:tcPr>
            <w:tcW w:w="605" w:type="dxa"/>
            <w:tcBorders>
              <w:top w:val="single" w:color="auto" w:sz="4" w:space="0"/>
              <w:left w:val="single" w:color="auto" w:sz="4" w:space="0"/>
              <w:bottom w:val="single" w:color="auto" w:sz="4" w:space="0"/>
              <w:right w:val="single" w:color="auto" w:sz="2" w:space="0"/>
            </w:tcBorders>
            <w:vAlign w:val="center"/>
          </w:tcPr>
          <w:p w14:paraId="39C58D4D">
            <w:pPr>
              <w:adjustRightInd/>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48" w:type="dxa"/>
            <w:tcBorders>
              <w:top w:val="single" w:color="auto" w:sz="4" w:space="0"/>
              <w:left w:val="single" w:color="auto" w:sz="4" w:space="0"/>
              <w:bottom w:val="single" w:color="auto" w:sz="4" w:space="0"/>
              <w:right w:val="single" w:color="auto" w:sz="2" w:space="0"/>
            </w:tcBorders>
            <w:vAlign w:val="center"/>
          </w:tcPr>
          <w:p w14:paraId="103AC802">
            <w:pPr>
              <w:adjustRightInd/>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客观评议</w:t>
            </w:r>
          </w:p>
        </w:tc>
      </w:tr>
      <w:tr w14:paraId="7198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881" w:type="dxa"/>
            <w:vMerge w:val="continue"/>
            <w:tcBorders>
              <w:left w:val="single" w:color="auto" w:sz="4" w:space="0"/>
              <w:right w:val="single" w:color="auto" w:sz="2" w:space="0"/>
            </w:tcBorders>
            <w:tcMar>
              <w:top w:w="0" w:type="dxa"/>
              <w:left w:w="0" w:type="dxa"/>
              <w:bottom w:w="0" w:type="dxa"/>
              <w:right w:w="0" w:type="dxa"/>
            </w:tcMar>
            <w:vAlign w:val="center"/>
          </w:tcPr>
          <w:p w14:paraId="369D51B1">
            <w:pPr>
              <w:adjustRightInd/>
              <w:spacing w:line="288" w:lineRule="auto"/>
              <w:rPr>
                <w:color w:val="auto"/>
                <w:highlight w:val="none"/>
              </w:rPr>
            </w:pPr>
          </w:p>
        </w:tc>
        <w:tc>
          <w:tcPr>
            <w:tcW w:w="1387" w:type="dxa"/>
            <w:gridSpan w:val="2"/>
            <w:tcBorders>
              <w:top w:val="single" w:color="auto" w:sz="4" w:space="0"/>
              <w:left w:val="single" w:color="auto" w:sz="4" w:space="0"/>
              <w:bottom w:val="single" w:color="auto" w:sz="4" w:space="0"/>
              <w:right w:val="single" w:color="auto" w:sz="2" w:space="0"/>
            </w:tcBorders>
            <w:vAlign w:val="center"/>
          </w:tcPr>
          <w:p w14:paraId="6889B2DB">
            <w:pPr>
              <w:adjustRightInd/>
              <w:spacing w:line="288" w:lineRule="auto"/>
              <w:jc w:val="center"/>
              <w:rPr>
                <w:rFonts w:ascii="宋体" w:hAnsi="宋体" w:cs="宋体"/>
                <w:color w:val="auto"/>
                <w:sz w:val="24"/>
                <w:highlight w:val="none"/>
              </w:rPr>
            </w:pPr>
            <w:r>
              <w:rPr>
                <w:rFonts w:hint="eastAsia" w:ascii="宋体" w:hAnsi="宋体" w:cs="宋体"/>
                <w:color w:val="auto"/>
                <w:sz w:val="24"/>
                <w:highlight w:val="none"/>
              </w:rPr>
              <w:t>病理标本诊断项目价格分</w:t>
            </w:r>
          </w:p>
        </w:tc>
        <w:tc>
          <w:tcPr>
            <w:tcW w:w="5040" w:type="dxa"/>
            <w:tcBorders>
              <w:top w:val="single" w:color="auto" w:sz="4" w:space="0"/>
              <w:left w:val="single" w:color="auto" w:sz="4" w:space="0"/>
              <w:bottom w:val="single" w:color="auto" w:sz="4" w:space="0"/>
              <w:right w:val="single" w:color="auto" w:sz="2" w:space="0"/>
            </w:tcBorders>
            <w:vAlign w:val="center"/>
          </w:tcPr>
          <w:p w14:paraId="0E4B5B61">
            <w:pPr>
              <w:adjustRightInd/>
              <w:spacing w:line="288" w:lineRule="auto"/>
              <w:jc w:val="left"/>
              <w:rPr>
                <w:rFonts w:ascii="宋体" w:hAnsi="宋体" w:cs="宋体"/>
                <w:color w:val="auto"/>
                <w:sz w:val="24"/>
                <w:highlight w:val="none"/>
              </w:rPr>
            </w:pPr>
            <w:r>
              <w:rPr>
                <w:rFonts w:hint="eastAsia" w:ascii="宋体" w:hAnsi="宋体" w:cs="宋体"/>
                <w:color w:val="auto"/>
                <w:sz w:val="24"/>
                <w:highlight w:val="none"/>
              </w:rPr>
              <w:t>参与评审的价格=</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折扣率（以“浙江省医疗服务价格”为基准）-小微企业政策优惠（如有）；</w:t>
            </w:r>
          </w:p>
          <w:p w14:paraId="73582459">
            <w:pPr>
              <w:adjustRightInd/>
              <w:spacing w:line="288" w:lineRule="auto"/>
              <w:jc w:val="left"/>
              <w:rPr>
                <w:rFonts w:ascii="宋体" w:hAnsi="宋体" w:cs="宋体"/>
                <w:color w:val="auto"/>
                <w:sz w:val="24"/>
                <w:highlight w:val="none"/>
              </w:rPr>
            </w:pPr>
            <w:r>
              <w:rPr>
                <w:rFonts w:hint="eastAsia" w:ascii="宋体" w:hAnsi="宋体" w:cs="宋体"/>
                <w:color w:val="auto"/>
                <w:sz w:val="24"/>
                <w:highlight w:val="none"/>
              </w:rPr>
              <w:t>基准价=满足招标文件要求且最低的参与评审的价格，基准价2分；</w:t>
            </w:r>
          </w:p>
          <w:p w14:paraId="0DAD5595">
            <w:pPr>
              <w:adjustRightInd/>
              <w:spacing w:line="288" w:lineRule="auto"/>
              <w:jc w:val="left"/>
              <w:rPr>
                <w:rFonts w:ascii="宋体" w:hAnsi="宋体" w:cs="宋体"/>
                <w:color w:val="auto"/>
                <w:sz w:val="24"/>
                <w:highlight w:val="none"/>
              </w:rPr>
            </w:pPr>
            <w:r>
              <w:rPr>
                <w:rFonts w:hint="eastAsia" w:ascii="宋体" w:hAnsi="宋体" w:cs="宋体"/>
                <w:color w:val="auto"/>
                <w:sz w:val="24"/>
                <w:highlight w:val="none"/>
              </w:rPr>
              <w:t>其余供应商得分为：报价得分=（基准价/参与评审的价格）×2%×100。</w:t>
            </w:r>
          </w:p>
        </w:tc>
        <w:tc>
          <w:tcPr>
            <w:tcW w:w="605" w:type="dxa"/>
            <w:tcBorders>
              <w:top w:val="single" w:color="auto" w:sz="4" w:space="0"/>
              <w:left w:val="single" w:color="auto" w:sz="4" w:space="0"/>
              <w:bottom w:val="single" w:color="auto" w:sz="4" w:space="0"/>
              <w:right w:val="single" w:color="auto" w:sz="2" w:space="0"/>
            </w:tcBorders>
            <w:vAlign w:val="center"/>
          </w:tcPr>
          <w:p w14:paraId="5858B613">
            <w:pPr>
              <w:adjustRightInd/>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48" w:type="dxa"/>
            <w:tcBorders>
              <w:top w:val="single" w:color="auto" w:sz="4" w:space="0"/>
              <w:left w:val="single" w:color="auto" w:sz="4" w:space="0"/>
              <w:bottom w:val="single" w:color="auto" w:sz="4" w:space="0"/>
              <w:right w:val="single" w:color="auto" w:sz="2" w:space="0"/>
            </w:tcBorders>
            <w:vAlign w:val="center"/>
          </w:tcPr>
          <w:p w14:paraId="562AD820">
            <w:pPr>
              <w:adjustRightInd/>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客观评议</w:t>
            </w:r>
          </w:p>
        </w:tc>
      </w:tr>
      <w:tr w14:paraId="4561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881" w:type="dxa"/>
            <w:vMerge w:val="continue"/>
            <w:tcBorders>
              <w:left w:val="single" w:color="auto" w:sz="4" w:space="0"/>
              <w:right w:val="single" w:color="auto" w:sz="2" w:space="0"/>
            </w:tcBorders>
            <w:tcMar>
              <w:top w:w="0" w:type="dxa"/>
              <w:left w:w="0" w:type="dxa"/>
              <w:bottom w:w="0" w:type="dxa"/>
              <w:right w:w="0" w:type="dxa"/>
            </w:tcMar>
            <w:vAlign w:val="center"/>
          </w:tcPr>
          <w:p w14:paraId="08721FF4">
            <w:pPr>
              <w:adjustRightInd/>
              <w:spacing w:line="288" w:lineRule="auto"/>
              <w:rPr>
                <w:color w:val="auto"/>
                <w:highlight w:val="none"/>
              </w:rPr>
            </w:pPr>
          </w:p>
        </w:tc>
        <w:tc>
          <w:tcPr>
            <w:tcW w:w="1387" w:type="dxa"/>
            <w:gridSpan w:val="2"/>
            <w:tcBorders>
              <w:top w:val="single" w:color="auto" w:sz="4" w:space="0"/>
              <w:left w:val="single" w:color="auto" w:sz="4" w:space="0"/>
              <w:bottom w:val="single" w:color="auto" w:sz="4" w:space="0"/>
              <w:right w:val="single" w:color="auto" w:sz="2" w:space="0"/>
            </w:tcBorders>
            <w:vAlign w:val="center"/>
          </w:tcPr>
          <w:p w14:paraId="0A53E677">
            <w:pPr>
              <w:adjustRightInd/>
              <w:spacing w:line="288" w:lineRule="auto"/>
              <w:jc w:val="center"/>
              <w:rPr>
                <w:rFonts w:ascii="宋体" w:hAnsi="宋体" w:cs="宋体"/>
                <w:color w:val="auto"/>
                <w:sz w:val="24"/>
                <w:highlight w:val="none"/>
              </w:rPr>
            </w:pPr>
            <w:r>
              <w:rPr>
                <w:rFonts w:hint="eastAsia" w:ascii="宋体" w:hAnsi="宋体" w:cs="宋体"/>
                <w:color w:val="auto"/>
                <w:sz w:val="24"/>
                <w:highlight w:val="none"/>
              </w:rPr>
              <w:t>血清淀粉样蛋白A项目价格分</w:t>
            </w:r>
          </w:p>
        </w:tc>
        <w:tc>
          <w:tcPr>
            <w:tcW w:w="5040" w:type="dxa"/>
            <w:tcBorders>
              <w:top w:val="single" w:color="auto" w:sz="4" w:space="0"/>
              <w:left w:val="single" w:color="auto" w:sz="4" w:space="0"/>
              <w:bottom w:val="single" w:color="auto" w:sz="4" w:space="0"/>
              <w:right w:val="single" w:color="auto" w:sz="2" w:space="0"/>
            </w:tcBorders>
            <w:vAlign w:val="center"/>
          </w:tcPr>
          <w:p w14:paraId="0FFE94E4">
            <w:pPr>
              <w:adjustRightInd/>
              <w:spacing w:line="288" w:lineRule="auto"/>
              <w:jc w:val="left"/>
              <w:rPr>
                <w:rFonts w:ascii="宋体" w:hAnsi="宋体" w:cs="宋体"/>
                <w:color w:val="auto"/>
                <w:sz w:val="24"/>
                <w:highlight w:val="none"/>
              </w:rPr>
            </w:pPr>
            <w:r>
              <w:rPr>
                <w:rFonts w:hint="eastAsia" w:ascii="宋体" w:hAnsi="宋体" w:cs="宋体"/>
                <w:color w:val="auto"/>
                <w:sz w:val="24"/>
                <w:highlight w:val="none"/>
              </w:rPr>
              <w:t>参与评审的价格=</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折扣率（以“浙江省医疗服务价格”为基准）-小微企业政策优惠（如有）；</w:t>
            </w:r>
          </w:p>
          <w:p w14:paraId="63F739F2">
            <w:pPr>
              <w:adjustRightInd/>
              <w:spacing w:line="288" w:lineRule="auto"/>
              <w:jc w:val="left"/>
              <w:rPr>
                <w:rFonts w:ascii="宋体" w:hAnsi="宋体" w:cs="宋体"/>
                <w:color w:val="auto"/>
                <w:sz w:val="24"/>
                <w:highlight w:val="none"/>
              </w:rPr>
            </w:pPr>
            <w:r>
              <w:rPr>
                <w:rFonts w:hint="eastAsia" w:ascii="宋体" w:hAnsi="宋体" w:cs="宋体"/>
                <w:color w:val="auto"/>
                <w:sz w:val="24"/>
                <w:highlight w:val="none"/>
              </w:rPr>
              <w:t>基准价=满足招标文件要求且最低的参与评审的价格，基准价2分；</w:t>
            </w:r>
          </w:p>
          <w:p w14:paraId="166CE25A">
            <w:pPr>
              <w:adjustRightInd/>
              <w:spacing w:line="288" w:lineRule="auto"/>
              <w:jc w:val="left"/>
              <w:rPr>
                <w:rFonts w:ascii="宋体" w:hAnsi="宋体" w:cs="宋体"/>
                <w:color w:val="auto"/>
                <w:sz w:val="24"/>
                <w:highlight w:val="none"/>
              </w:rPr>
            </w:pPr>
            <w:r>
              <w:rPr>
                <w:rFonts w:hint="eastAsia" w:ascii="宋体" w:hAnsi="宋体" w:cs="宋体"/>
                <w:color w:val="auto"/>
                <w:sz w:val="24"/>
                <w:highlight w:val="none"/>
              </w:rPr>
              <w:t>其余供应商得分为：报价得分=（基准价/参与评审的价格）×2%×100。</w:t>
            </w:r>
          </w:p>
        </w:tc>
        <w:tc>
          <w:tcPr>
            <w:tcW w:w="605" w:type="dxa"/>
            <w:tcBorders>
              <w:top w:val="single" w:color="auto" w:sz="4" w:space="0"/>
              <w:left w:val="single" w:color="auto" w:sz="4" w:space="0"/>
              <w:bottom w:val="single" w:color="auto" w:sz="4" w:space="0"/>
              <w:right w:val="single" w:color="auto" w:sz="2" w:space="0"/>
            </w:tcBorders>
            <w:vAlign w:val="center"/>
          </w:tcPr>
          <w:p w14:paraId="28534AE7">
            <w:pPr>
              <w:adjustRightInd/>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48" w:type="dxa"/>
            <w:tcBorders>
              <w:top w:val="single" w:color="auto" w:sz="4" w:space="0"/>
              <w:left w:val="single" w:color="auto" w:sz="4" w:space="0"/>
              <w:bottom w:val="single" w:color="auto" w:sz="4" w:space="0"/>
              <w:right w:val="single" w:color="auto" w:sz="2" w:space="0"/>
            </w:tcBorders>
            <w:vAlign w:val="center"/>
          </w:tcPr>
          <w:p w14:paraId="37C60DC6">
            <w:pPr>
              <w:adjustRightInd/>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客观评议</w:t>
            </w:r>
          </w:p>
        </w:tc>
      </w:tr>
    </w:tbl>
    <w:p w14:paraId="3DCE33D5">
      <w:pPr>
        <w:snapToGrid w:val="0"/>
        <w:spacing w:line="360" w:lineRule="auto"/>
        <w:rPr>
          <w:rFonts w:ascii="宋体" w:hAnsi="宋体" w:cs="宋体"/>
          <w:color w:val="auto"/>
          <w:sz w:val="24"/>
          <w:highlight w:val="none"/>
        </w:rPr>
      </w:pPr>
      <w:r>
        <w:rPr>
          <w:rFonts w:hint="eastAsia" w:ascii="宋体" w:hAnsi="宋体" w:cs="宋体"/>
          <w:b/>
          <w:color w:val="auto"/>
          <w:sz w:val="24"/>
          <w:highlight w:val="none"/>
        </w:rPr>
        <w:t>备注：1、小数点后保留一位数。2、各评审小组成员自行按以上参考分值评分。3、重大事件由评标委员会集体讨论，应当按照少数服从多数的原则作出结论。4、</w:t>
      </w:r>
      <w:r>
        <w:rPr>
          <w:rFonts w:hint="eastAsia" w:ascii="宋体" w:hAnsi="宋体" w:cs="宋体"/>
          <w:b/>
          <w:bCs/>
          <w:color w:val="auto"/>
          <w:sz w:val="24"/>
          <w:highlight w:val="none"/>
        </w:rPr>
        <w:t>供应商编制投标文件（商务技术文件部分）时，建议按此目录（序号和内容）提供评标标准相应的商务技术资料。</w:t>
      </w:r>
    </w:p>
    <w:p w14:paraId="73827B53">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F9E046D">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综合评分法，是指投标文件满足招标文件全部实质性要求，且按照评审因素的量化指标评审得分最高的供应商为中标候选人的评标方法。</w:t>
      </w:r>
    </w:p>
    <w:p w14:paraId="713F0C4E">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F7C1D1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4C46AB9">
      <w:pPr>
        <w:spacing w:line="360" w:lineRule="auto"/>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08BCDD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评标委员会应当对符合资格的供应商的投标文件进行符合性审查，以确定其是否满足招标文件的实质性要求。不满足招标文件的实质性要求的，投标无效。</w:t>
      </w:r>
    </w:p>
    <w:p w14:paraId="7177AD7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2ABD01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评标委员会各成员应当独立对每个供应商的商务和技术文件进行评价，并汇总商务技术得分情况。</w:t>
      </w:r>
    </w:p>
    <w:p w14:paraId="187A022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47D684E">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6D01AEE">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5CD8DEF">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B1F94C1">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7B2ADF9">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065C496">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《政府采购货物和服务招标投标管理办法》第五十一条第二款的规定经供应商确认后产生约束力。</w:t>
      </w:r>
    </w:p>
    <w:p w14:paraId="2634E25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0F5D96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C58F74E">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供应商的报价明显低于其他通过符合性审查的供应商的报价，有可能影响产品质量或者不能诚信履约的，应当要求其在合理的时间内提供书面说明，必要时提交相关证明材料；供应商不能证明其报价合理性的，评标委员会应当将其作为无效投标处理。</w:t>
      </w:r>
    </w:p>
    <w:p w14:paraId="134D76E1">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5FF7903">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r>
        <w:rPr>
          <w:rFonts w:hint="eastAsia" w:ascii="宋体" w:hAnsi="宋体" w:cs="宋体"/>
          <w:b/>
          <w:bCs/>
          <w:color w:val="auto"/>
          <w:kern w:val="0"/>
          <w:sz w:val="24"/>
          <w:highlight w:val="none"/>
        </w:rPr>
        <w:t>有效投标供应商数量等于3家时，中标候选人数量为1家；有效投标供应商数量等于4家时，中标候选人数量为2家；有效投标供应商数量大于等于5家时，中标候选人数量为3家。</w:t>
      </w:r>
    </w:p>
    <w:p w14:paraId="06C8A4CD">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14:paraId="737BBB8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840DB10">
      <w:pPr>
        <w:widowControl/>
        <w:adjustRightInd/>
        <w:spacing w:line="360" w:lineRule="auto"/>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9232510">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61746E1B">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47A19A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4.2.1供应商不具备招标文件中规定的资格要求的（供应商未提供有效的资格文件的，视为供应商不具备招标文件中规定的资格要求）；</w:t>
      </w:r>
    </w:p>
    <w:p w14:paraId="779E551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367992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4.2.3采购人拟采购的产品属于政府强制采购的节能产品品目清单范围的，供应商相应的投标产品未获得国家确定的认证机构出具的、处于有效期之内的节能产品认证证书的；</w:t>
      </w:r>
    </w:p>
    <w:p w14:paraId="6499497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6E33E9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21822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4.2.6投标文件出现不是唯一的、有选择性投标报价的；</w:t>
      </w:r>
    </w:p>
    <w:p w14:paraId="0858791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2BDC2F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w:t>
      </w:r>
      <w:r>
        <w:rPr>
          <w:rFonts w:hint="eastAsia" w:ascii="宋体" w:hAnsi="宋体" w:cs="宋体"/>
          <w:color w:val="auto"/>
          <w:kern w:val="0"/>
          <w:sz w:val="24"/>
          <w:highlight w:val="none"/>
          <w:lang w:eastAsia="zh-CN"/>
        </w:rPr>
        <w:t>报价明显低于其他通过符合性审查供应商的报价（</w:t>
      </w:r>
      <w:r>
        <w:rPr>
          <w:rFonts w:hint="eastAsia" w:ascii="宋体" w:hAnsi="宋体" w:cs="宋体"/>
          <w:color w:val="auto"/>
          <w:kern w:val="0"/>
          <w:sz w:val="24"/>
          <w:highlight w:val="none"/>
          <w:lang w:val="en-US" w:eastAsia="zh-CN"/>
        </w:rPr>
        <w:t>低于项目预算50%的）</w:t>
      </w:r>
      <w:r>
        <w:rPr>
          <w:rFonts w:hint="eastAsia" w:ascii="宋体" w:hAnsi="宋体" w:cs="宋体"/>
          <w:color w:val="auto"/>
          <w:kern w:val="0"/>
          <w:sz w:val="24"/>
          <w:highlight w:val="none"/>
          <w:lang w:eastAsia="zh-CN"/>
        </w:rPr>
        <w:t>，有可能影响产品质量或者不能诚信履约的，未能按要求提供书面说明或者提交相关证明材料，不能证明其报价合理性的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rPr>
        <w:t>；</w:t>
      </w:r>
    </w:p>
    <w:p w14:paraId="6ED960F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14:paraId="347B050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4.2.10供应商提供虚假材料投标的；</w:t>
      </w:r>
    </w:p>
    <w:p w14:paraId="3C5A2EE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14:paraId="17C11C1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4.2.12供应商仅提交备份投标文件，未在电子交易平台传输递交投标文件的，投标无效；</w:t>
      </w:r>
    </w:p>
    <w:p w14:paraId="6884681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4.2.13投标文件不满足招标文件的其他实质性要求的；</w:t>
      </w:r>
    </w:p>
    <w:p w14:paraId="737B5FA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6E942112">
      <w:pPr>
        <w:pStyle w:val="25"/>
        <w:snapToGrid w:val="0"/>
        <w:spacing w:line="360" w:lineRule="auto"/>
        <w:ind w:firstLine="472" w:firstLineChars="196"/>
        <w:rPr>
          <w:rFonts w:cs="宋体"/>
          <w:b/>
          <w:color w:val="auto"/>
          <w:highlight w:val="none"/>
        </w:rPr>
      </w:pPr>
      <w:r>
        <w:rPr>
          <w:rFonts w:hint="eastAsia" w:cs="宋体"/>
          <w:b/>
          <w:color w:val="auto"/>
          <w:highlight w:val="none"/>
        </w:rPr>
        <w:t>4.2.15上传投标文件同一网卡地址、同一IP地址的为无效标。</w:t>
      </w:r>
    </w:p>
    <w:p w14:paraId="67DA7538">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515114E">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C272A62">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4B831446">
      <w:pPr>
        <w:pStyle w:val="25"/>
        <w:snapToGrid w:val="0"/>
        <w:spacing w:line="360" w:lineRule="auto"/>
        <w:rPr>
          <w:rFonts w:cs="宋体"/>
          <w:color w:val="auto"/>
          <w:highlight w:val="none"/>
        </w:rPr>
      </w:pPr>
      <w:r>
        <w:rPr>
          <w:rFonts w:hint="eastAsia" w:cs="宋体"/>
          <w:color w:val="auto"/>
          <w:highlight w:val="none"/>
        </w:rPr>
        <w:t>5.3供应商的报价均超过了采购预算，采购人不能支付的；</w:t>
      </w:r>
    </w:p>
    <w:p w14:paraId="1BFBC6B6">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2FCF4782">
      <w:pPr>
        <w:pStyle w:val="25"/>
        <w:snapToGrid w:val="0"/>
        <w:spacing w:line="360" w:lineRule="auto"/>
        <w:rPr>
          <w:rFonts w:cs="宋体"/>
          <w:color w:val="auto"/>
          <w:highlight w:val="none"/>
        </w:rPr>
      </w:pPr>
      <w:r>
        <w:rPr>
          <w:rFonts w:hint="eastAsia" w:cs="宋体"/>
          <w:color w:val="auto"/>
          <w:highlight w:val="none"/>
        </w:rPr>
        <w:t>废标后，采购代理机构应当将废标理由通知所有供应商。</w:t>
      </w:r>
    </w:p>
    <w:p w14:paraId="460465F9">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86D733C">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55B1A12">
      <w:pPr>
        <w:pStyle w:val="25"/>
        <w:snapToGrid w:val="0"/>
        <w:spacing w:line="360" w:lineRule="auto"/>
        <w:rPr>
          <w:rFonts w:cs="宋体"/>
          <w:color w:val="auto"/>
          <w:highlight w:val="none"/>
        </w:rPr>
      </w:pPr>
      <w:r>
        <w:rPr>
          <w:rFonts w:hint="eastAsia" w:cs="宋体"/>
          <w:color w:val="auto"/>
          <w:highlight w:val="none"/>
        </w:rPr>
        <w:t>7.1未确定中标人的，终止本次政府采购活动，重新开展政府采购活动。</w:t>
      </w:r>
    </w:p>
    <w:p w14:paraId="3C302840">
      <w:pPr>
        <w:pStyle w:val="25"/>
        <w:snapToGrid w:val="0"/>
        <w:spacing w:line="360" w:lineRule="auto"/>
        <w:rPr>
          <w:rFonts w:cs="宋体"/>
          <w:color w:val="auto"/>
          <w:highlight w:val="none"/>
        </w:rPr>
      </w:pPr>
      <w:r>
        <w:rPr>
          <w:rFonts w:hint="eastAsia" w:cs="宋体"/>
          <w:color w:val="auto"/>
          <w:highlight w:val="none"/>
        </w:rPr>
        <w:t>7.2已确定中标人但尚未签订政府采购合同的，中标结果无效，从合格的中标候选人中另行确定中标人；没有合格的中标候选人的，重新开展政府采购活动。</w:t>
      </w:r>
    </w:p>
    <w:p w14:paraId="23CFEBCD">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7.3政府采购合同已签订但尚未履行的，撤销合同，从合格的中标候选人中另行确定中标人；没有合格的中标候选人的，重新开展政府采购活动。</w:t>
      </w:r>
    </w:p>
    <w:p w14:paraId="4EEFCFD7">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5F0D7EC">
      <w:pPr>
        <w:pStyle w:val="25"/>
        <w:snapToGrid w:val="0"/>
        <w:spacing w:line="360" w:lineRule="auto"/>
        <w:rPr>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0"/>
      <w:bookmarkStart w:id="399" w:name="第五部分"/>
      <w:bookmarkStart w:id="400" w:name="_Toc86217003"/>
    </w:p>
    <w:p w14:paraId="05B1C561">
      <w:pPr>
        <w:pStyle w:val="24"/>
        <w:rPr>
          <w:color w:val="auto"/>
          <w:highlight w:val="none"/>
        </w:rPr>
        <w:sectPr>
          <w:footerReference r:id="rId7" w:type="default"/>
          <w:pgSz w:w="11907" w:h="16840"/>
          <w:pgMar w:top="1474" w:right="1701" w:bottom="1474" w:left="1701" w:header="851" w:footer="851" w:gutter="0"/>
          <w:pgBorders>
            <w:top w:val="none" w:sz="0" w:space="0"/>
            <w:left w:val="none" w:sz="0" w:space="0"/>
            <w:bottom w:val="none" w:sz="0" w:space="0"/>
            <w:right w:val="none" w:sz="0" w:space="0"/>
          </w:pgBorders>
          <w:cols w:space="720" w:num="1"/>
        </w:sectPr>
      </w:pPr>
    </w:p>
    <w:p w14:paraId="77D92C26">
      <w:pPr>
        <w:spacing w:line="360" w:lineRule="auto"/>
        <w:jc w:val="center"/>
        <w:outlineLvl w:val="0"/>
        <w:rPr>
          <w:rFonts w:ascii="宋体" w:hAnsi="宋体" w:cs="仿宋_GB2312"/>
          <w:b/>
          <w:color w:val="auto"/>
          <w:sz w:val="36"/>
          <w:szCs w:val="36"/>
          <w:highlight w:val="none"/>
        </w:rPr>
      </w:pPr>
      <w:bookmarkStart w:id="401" w:name="_Toc22205"/>
      <w:r>
        <w:rPr>
          <w:rFonts w:hint="eastAsia" w:ascii="宋体" w:hAnsi="宋体" w:cs="宋体"/>
          <w:b/>
          <w:color w:val="auto"/>
          <w:sz w:val="36"/>
          <w:szCs w:val="36"/>
          <w:highlight w:val="none"/>
        </w:rPr>
        <w:t xml:space="preserve">第五部分 </w:t>
      </w:r>
      <w:bookmarkStart w:id="402" w:name="_Toc7080"/>
      <w:r>
        <w:rPr>
          <w:rFonts w:hint="eastAsia" w:ascii="宋体" w:hAnsi="宋体" w:cs="仿宋_GB2312"/>
          <w:b/>
          <w:color w:val="auto"/>
          <w:sz w:val="36"/>
          <w:szCs w:val="36"/>
          <w:highlight w:val="none"/>
        </w:rPr>
        <w:t>拟签订的合同文本</w:t>
      </w:r>
      <w:bookmarkEnd w:id="401"/>
      <w:bookmarkEnd w:id="402"/>
    </w:p>
    <w:p w14:paraId="2C6DC83B">
      <w:pPr>
        <w:adjustRightInd/>
        <w:spacing w:line="400" w:lineRule="exact"/>
        <w:jc w:val="center"/>
        <w:rPr>
          <w:rFonts w:ascii="宋体" w:hAnsi="宋体" w:cs="宋体"/>
          <w:color w:val="auto"/>
          <w:sz w:val="24"/>
          <w:highlight w:val="none"/>
        </w:rPr>
      </w:pPr>
      <w:bookmarkStart w:id="403" w:name="_Toc18297"/>
      <w:r>
        <w:rPr>
          <w:rFonts w:hint="eastAsia" w:ascii="宋体" w:hAnsi="宋体" w:cs="宋体"/>
          <w:i/>
          <w:color w:val="auto"/>
          <w:sz w:val="24"/>
          <w:highlight w:val="none"/>
        </w:rPr>
        <w:t>（供签约参考）</w:t>
      </w:r>
      <w:r>
        <w:rPr>
          <w:rFonts w:hint="eastAsia" w:ascii="宋体" w:hAnsi="宋体" w:cs="宋体"/>
          <w:color w:val="auto"/>
          <w:sz w:val="24"/>
          <w:highlight w:val="none"/>
        </w:rPr>
        <w:t xml:space="preserve"> </w:t>
      </w:r>
    </w:p>
    <w:p w14:paraId="083266C3">
      <w:pPr>
        <w:spacing w:line="560" w:lineRule="exact"/>
        <w:ind w:firstLine="480" w:firstLineChars="200"/>
        <w:rPr>
          <w:rFonts w:ascii="宋体" w:hAnsi="宋体"/>
          <w:color w:val="auto"/>
          <w:sz w:val="24"/>
          <w:highlight w:val="none"/>
        </w:rPr>
      </w:pPr>
      <w:r>
        <w:rPr>
          <w:rFonts w:hint="eastAsia" w:ascii="宋体" w:hAnsi="宋体"/>
          <w:color w:val="auto"/>
          <w:sz w:val="24"/>
          <w:highlight w:val="none"/>
          <w:u w:val="single"/>
          <w:lang w:bidi="ar"/>
        </w:rPr>
        <w:t xml:space="preserve">        </w:t>
      </w:r>
      <w:r>
        <w:rPr>
          <w:rFonts w:hint="eastAsia" w:ascii="宋体" w:hAnsi="宋体" w:cs="宋体"/>
          <w:color w:val="auto"/>
          <w:sz w:val="24"/>
          <w:highlight w:val="none"/>
          <w:lang w:bidi="ar"/>
        </w:rPr>
        <w:t>年</w:t>
      </w:r>
      <w:r>
        <w:rPr>
          <w:rFonts w:hint="eastAsia" w:ascii="宋体" w:hAnsi="宋体"/>
          <w:color w:val="auto"/>
          <w:sz w:val="24"/>
          <w:highlight w:val="none"/>
          <w:u w:val="single"/>
          <w:lang w:bidi="ar"/>
        </w:rPr>
        <w:t xml:space="preserve">    </w:t>
      </w:r>
      <w:r>
        <w:rPr>
          <w:rFonts w:hint="eastAsia" w:ascii="宋体" w:hAnsi="宋体" w:cs="宋体"/>
          <w:color w:val="auto"/>
          <w:sz w:val="24"/>
          <w:highlight w:val="none"/>
          <w:lang w:bidi="ar"/>
        </w:rPr>
        <w:t>月</w:t>
      </w:r>
      <w:r>
        <w:rPr>
          <w:rFonts w:hint="eastAsia" w:ascii="宋体" w:hAnsi="宋体"/>
          <w:color w:val="auto"/>
          <w:sz w:val="24"/>
          <w:highlight w:val="none"/>
          <w:u w:val="single"/>
          <w:lang w:bidi="ar"/>
        </w:rPr>
        <w:t xml:space="preserve">    </w:t>
      </w:r>
      <w:r>
        <w:rPr>
          <w:rFonts w:hint="eastAsia" w:ascii="宋体" w:hAnsi="宋体" w:cs="宋体"/>
          <w:color w:val="auto"/>
          <w:sz w:val="24"/>
          <w:highlight w:val="none"/>
          <w:lang w:bidi="ar"/>
        </w:rPr>
        <w:t>日，</w:t>
      </w:r>
      <w:r>
        <w:rPr>
          <w:rFonts w:hint="eastAsia" w:ascii="宋体" w:hAnsi="宋体"/>
          <w:color w:val="auto"/>
          <w:sz w:val="24"/>
          <w:highlight w:val="none"/>
          <w:u w:val="single"/>
          <w:lang w:bidi="ar"/>
        </w:rPr>
        <w:t xml:space="preserve">       </w:t>
      </w:r>
      <w:r>
        <w:rPr>
          <w:rFonts w:hint="eastAsia" w:ascii="宋体" w:hAnsi="宋体" w:cs="宋体"/>
          <w:color w:val="auto"/>
          <w:sz w:val="24"/>
          <w:highlight w:val="none"/>
          <w:lang w:bidi="ar"/>
        </w:rPr>
        <w:t>以</w:t>
      </w:r>
      <w:r>
        <w:rPr>
          <w:rFonts w:hint="eastAsia" w:ascii="宋体" w:hAnsi="宋体"/>
          <w:color w:val="auto"/>
          <w:sz w:val="24"/>
          <w:highlight w:val="none"/>
          <w:u w:val="single"/>
          <w:lang w:bidi="ar"/>
        </w:rPr>
        <w:t xml:space="preserve"> </w:t>
      </w:r>
      <w:r>
        <w:rPr>
          <w:rFonts w:hint="eastAsia" w:ascii="宋体" w:hAnsi="宋体" w:cs="宋体"/>
          <w:color w:val="auto"/>
          <w:sz w:val="24"/>
          <w:highlight w:val="none"/>
          <w:u w:val="single"/>
          <w:lang w:bidi="ar"/>
        </w:rPr>
        <w:t>公开招标</w:t>
      </w:r>
      <w:r>
        <w:rPr>
          <w:rFonts w:hint="eastAsia" w:ascii="宋体" w:hAnsi="宋体"/>
          <w:color w:val="auto"/>
          <w:sz w:val="24"/>
          <w:highlight w:val="none"/>
          <w:u w:val="single"/>
          <w:lang w:bidi="ar"/>
        </w:rPr>
        <w:t xml:space="preserve"> </w:t>
      </w:r>
      <w:r>
        <w:rPr>
          <w:rFonts w:hint="eastAsia" w:ascii="宋体" w:hAnsi="宋体" w:cs="宋体"/>
          <w:color w:val="auto"/>
          <w:sz w:val="24"/>
          <w:highlight w:val="none"/>
          <w:lang w:bidi="ar"/>
        </w:rPr>
        <w:t>对</w:t>
      </w:r>
      <w:r>
        <w:rPr>
          <w:rFonts w:hint="eastAsia" w:ascii="宋体" w:hAnsi="宋体" w:cs="宋体"/>
          <w:color w:val="auto"/>
          <w:sz w:val="24"/>
          <w:highlight w:val="none"/>
          <w:u w:val="single"/>
          <w:lang w:bidi="ar"/>
        </w:rPr>
        <w:t>宁波市江北区外送检测服务项目</w:t>
      </w:r>
      <w:r>
        <w:rPr>
          <w:rFonts w:hint="eastAsia" w:ascii="宋体" w:hAnsi="宋体"/>
          <w:color w:val="auto"/>
          <w:sz w:val="24"/>
          <w:highlight w:val="none"/>
          <w:u w:val="single"/>
          <w:lang w:bidi="ar"/>
        </w:rPr>
        <w:t xml:space="preserve"> </w:t>
      </w:r>
      <w:r>
        <w:rPr>
          <w:rFonts w:hint="eastAsia" w:ascii="宋体" w:hAnsi="宋体" w:cs="宋体"/>
          <w:color w:val="auto"/>
          <w:sz w:val="24"/>
          <w:highlight w:val="none"/>
          <w:lang w:bidi="ar"/>
        </w:rPr>
        <w:t>项目进行了采购。经</w:t>
      </w:r>
      <w:r>
        <w:rPr>
          <w:rFonts w:hint="eastAsia" w:ascii="宋体" w:hAnsi="宋体"/>
          <w:color w:val="auto"/>
          <w:sz w:val="24"/>
          <w:highlight w:val="none"/>
          <w:u w:val="single"/>
          <w:lang w:bidi="ar"/>
        </w:rPr>
        <w:t xml:space="preserve"> </w:t>
      </w:r>
      <w:r>
        <w:rPr>
          <w:rFonts w:hint="eastAsia" w:ascii="宋体" w:hAnsi="宋体" w:cs="宋体"/>
          <w:color w:val="auto"/>
          <w:sz w:val="24"/>
          <w:highlight w:val="none"/>
          <w:u w:val="single"/>
          <w:lang w:bidi="ar"/>
        </w:rPr>
        <w:t>评审小组</w:t>
      </w:r>
      <w:r>
        <w:rPr>
          <w:rFonts w:hint="eastAsia" w:ascii="宋体" w:hAnsi="宋体"/>
          <w:color w:val="auto"/>
          <w:sz w:val="24"/>
          <w:highlight w:val="none"/>
          <w:u w:val="single"/>
          <w:lang w:bidi="ar"/>
        </w:rPr>
        <w:t xml:space="preserve"> </w:t>
      </w:r>
      <w:r>
        <w:rPr>
          <w:rFonts w:hint="eastAsia" w:ascii="宋体" w:hAnsi="宋体" w:cs="宋体"/>
          <w:color w:val="auto"/>
          <w:sz w:val="24"/>
          <w:highlight w:val="none"/>
          <w:lang w:bidi="ar"/>
        </w:rPr>
        <w:t>评定，</w:t>
      </w:r>
      <w:r>
        <w:rPr>
          <w:rFonts w:hint="eastAsia" w:ascii="宋体" w:hAnsi="宋体"/>
          <w:color w:val="auto"/>
          <w:sz w:val="24"/>
          <w:highlight w:val="none"/>
          <w:u w:val="single"/>
          <w:lang w:bidi="ar"/>
        </w:rPr>
        <w:t xml:space="preserve"> </w:t>
      </w:r>
      <w:r>
        <w:rPr>
          <w:rFonts w:hint="eastAsia" w:ascii="宋体" w:hAnsi="宋体" w:cs="宋体"/>
          <w:color w:val="auto"/>
          <w:sz w:val="24"/>
          <w:highlight w:val="none"/>
          <w:u w:val="single"/>
          <w:lang w:bidi="ar"/>
        </w:rPr>
        <w:t>（中标供应商名称）</w:t>
      </w:r>
      <w:r>
        <w:rPr>
          <w:rFonts w:hint="eastAsia" w:ascii="宋体" w:hAnsi="宋体"/>
          <w:color w:val="auto"/>
          <w:sz w:val="24"/>
          <w:highlight w:val="none"/>
          <w:u w:val="single"/>
          <w:lang w:bidi="ar"/>
        </w:rPr>
        <w:t xml:space="preserve"> </w:t>
      </w:r>
      <w:r>
        <w:rPr>
          <w:rFonts w:hint="eastAsia" w:ascii="宋体" w:hAnsi="宋体" w:cs="宋体"/>
          <w:color w:val="auto"/>
          <w:sz w:val="24"/>
          <w:highlight w:val="none"/>
          <w:lang w:bidi="ar"/>
        </w:rPr>
        <w:t>为该项目中标供应商。现于中标通知书发出之日起30日内，按照招标文件确定的事项签订本合同。</w:t>
      </w:r>
    </w:p>
    <w:p w14:paraId="7477D57E">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lang w:bidi="ar"/>
        </w:rPr>
        <w:t>根据《中华人民共和国民法典》《中华人民共和国政府采购法》等相关法律法规之规定，按照平等、自愿、公平和诚实信用的原则，经</w:t>
      </w:r>
      <w:r>
        <w:rPr>
          <w:rFonts w:hint="eastAsia" w:ascii="宋体" w:hAnsi="宋体"/>
          <w:color w:val="auto"/>
          <w:sz w:val="24"/>
          <w:highlight w:val="none"/>
          <w:u w:val="single"/>
          <w:lang w:bidi="ar"/>
        </w:rPr>
        <w:t xml:space="preserve"> </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以下简称：甲方）和</w:t>
      </w:r>
      <w:r>
        <w:rPr>
          <w:rFonts w:hint="eastAsia" w:ascii="宋体" w:hAnsi="宋体"/>
          <w:color w:val="auto"/>
          <w:sz w:val="24"/>
          <w:highlight w:val="none"/>
          <w:u w:val="single"/>
          <w:lang w:bidi="ar"/>
        </w:rPr>
        <w:t xml:space="preserve">   </w:t>
      </w:r>
      <w:r>
        <w:rPr>
          <w:rFonts w:hint="eastAsia" w:ascii="宋体" w:hAnsi="宋体" w:cs="宋体"/>
          <w:color w:val="auto"/>
          <w:sz w:val="24"/>
          <w:highlight w:val="none"/>
          <w:u w:val="single"/>
          <w:lang w:bidi="ar"/>
        </w:rPr>
        <w:t>（中标供应商名称）</w:t>
      </w:r>
      <w:r>
        <w:rPr>
          <w:rFonts w:hint="eastAsia" w:ascii="宋体" w:hAnsi="宋体"/>
          <w:color w:val="auto"/>
          <w:sz w:val="24"/>
          <w:highlight w:val="none"/>
          <w:u w:val="single"/>
          <w:lang w:bidi="ar"/>
        </w:rPr>
        <w:t xml:space="preserve">  </w:t>
      </w:r>
      <w:r>
        <w:rPr>
          <w:rFonts w:hint="eastAsia" w:ascii="宋体" w:hAnsi="宋体" w:cs="宋体"/>
          <w:color w:val="auto"/>
          <w:sz w:val="24"/>
          <w:highlight w:val="none"/>
          <w:u w:val="single"/>
          <w:lang w:bidi="ar"/>
        </w:rPr>
        <w:t>（</w:t>
      </w:r>
      <w:r>
        <w:rPr>
          <w:rFonts w:hint="eastAsia" w:ascii="宋体" w:hAnsi="宋体" w:cs="宋体"/>
          <w:color w:val="auto"/>
          <w:sz w:val="24"/>
          <w:highlight w:val="none"/>
          <w:lang w:bidi="ar"/>
        </w:rPr>
        <w:t>以下简称：乙方）协商一致，约定以下合同条款，以兹共同遵守、全面履行。</w:t>
      </w:r>
    </w:p>
    <w:p w14:paraId="674E7068">
      <w:pPr>
        <w:spacing w:line="560" w:lineRule="exact"/>
        <w:ind w:firstLine="482" w:firstLineChars="200"/>
        <w:rPr>
          <w:rFonts w:ascii="宋体" w:hAnsi="宋体"/>
          <w:color w:val="auto"/>
          <w:sz w:val="24"/>
          <w:highlight w:val="none"/>
        </w:rPr>
      </w:pPr>
      <w:r>
        <w:rPr>
          <w:rFonts w:hint="eastAsia" w:ascii="宋体" w:hAnsi="宋体"/>
          <w:b/>
          <w:color w:val="auto"/>
          <w:sz w:val="24"/>
          <w:highlight w:val="none"/>
          <w:lang w:bidi="ar"/>
        </w:rPr>
        <w:t xml:space="preserve">一、 </w:t>
      </w:r>
      <w:r>
        <w:rPr>
          <w:rFonts w:hint="eastAsia" w:ascii="宋体" w:hAnsi="宋体" w:cs="宋体"/>
          <w:b/>
          <w:color w:val="auto"/>
          <w:sz w:val="24"/>
          <w:highlight w:val="none"/>
          <w:lang w:bidi="ar"/>
        </w:rPr>
        <w:t>合同组成部分</w:t>
      </w:r>
    </w:p>
    <w:p w14:paraId="02E99388">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lang w:bidi="ar"/>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3EC298D0">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bidi="ar"/>
        </w:rPr>
        <w:t>1、</w:t>
      </w:r>
      <w:r>
        <w:rPr>
          <w:rFonts w:hint="eastAsia" w:ascii="宋体" w:hAnsi="宋体" w:cs="宋体"/>
          <w:color w:val="auto"/>
          <w:sz w:val="24"/>
          <w:highlight w:val="none"/>
          <w:lang w:bidi="ar"/>
        </w:rPr>
        <w:t>本合同及其补充合同、变更协议；</w:t>
      </w:r>
    </w:p>
    <w:p w14:paraId="1B20A833">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bidi="ar"/>
        </w:rPr>
        <w:t>2、</w:t>
      </w:r>
      <w:r>
        <w:rPr>
          <w:rFonts w:hint="eastAsia" w:ascii="宋体" w:hAnsi="宋体" w:cs="宋体"/>
          <w:color w:val="auto"/>
          <w:sz w:val="24"/>
          <w:highlight w:val="none"/>
          <w:lang w:bidi="ar"/>
        </w:rPr>
        <w:t>中标或者成交通知书；</w:t>
      </w:r>
    </w:p>
    <w:p w14:paraId="7787E9BE">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bidi="ar"/>
        </w:rPr>
        <w:t>3、</w:t>
      </w:r>
      <w:r>
        <w:rPr>
          <w:rFonts w:hint="eastAsia" w:ascii="宋体" w:hAnsi="宋体" w:cs="宋体"/>
          <w:color w:val="auto"/>
          <w:sz w:val="24"/>
          <w:highlight w:val="none"/>
          <w:lang w:bidi="ar"/>
        </w:rPr>
        <w:t>投标或者响应文件（含澄清或者说明文件）；</w:t>
      </w:r>
    </w:p>
    <w:p w14:paraId="48197BA4">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bidi="ar"/>
        </w:rPr>
        <w:t>4、</w:t>
      </w:r>
      <w:r>
        <w:rPr>
          <w:rFonts w:hint="eastAsia" w:ascii="宋体" w:hAnsi="宋体" w:cs="宋体"/>
          <w:color w:val="auto"/>
          <w:sz w:val="24"/>
          <w:highlight w:val="none"/>
          <w:lang w:bidi="ar"/>
        </w:rPr>
        <w:t>招标文件（含澄清或者修改文件）；</w:t>
      </w:r>
    </w:p>
    <w:p w14:paraId="3B20126D">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bidi="ar"/>
        </w:rPr>
        <w:t>5、</w:t>
      </w:r>
      <w:r>
        <w:rPr>
          <w:rFonts w:hint="eastAsia" w:ascii="宋体" w:hAnsi="宋体" w:cs="宋体"/>
          <w:color w:val="auto"/>
          <w:sz w:val="24"/>
          <w:highlight w:val="none"/>
          <w:lang w:bidi="ar"/>
        </w:rPr>
        <w:t>其他相关招标文件。</w:t>
      </w:r>
    </w:p>
    <w:p w14:paraId="22B8DA5D">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二、甲方</w:t>
      </w:r>
      <w:r>
        <w:rPr>
          <w:rFonts w:hint="eastAsia" w:ascii="宋体" w:hAnsi="宋体" w:cs="宋体"/>
          <w:b/>
          <w:color w:val="auto"/>
          <w:sz w:val="24"/>
          <w:highlight w:val="none"/>
          <w:lang w:bidi="ar"/>
        </w:rPr>
        <w:t>责任</w:t>
      </w:r>
    </w:p>
    <w:p w14:paraId="1707361D">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1、甲方负责根据患者（或其他检验需求者）的情况，开具化验单（或等效单据），并对化验单的合理性、正确性和真实性负责。</w:t>
      </w:r>
    </w:p>
    <w:p w14:paraId="03B10624">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2、甲方负责按照国家医学检验标准以及要求对患者（或其他检验需求者）的样本进行采集和临时保存。同时对于每个被采集的标本，甲方必须按照乙方的要求填写对应的送检单内容。甲方对在交付乙方之前的标本的有效性、检验申请单的正确性以及检验申请单的对应性负责。</w:t>
      </w:r>
    </w:p>
    <w:p w14:paraId="602BFBA7">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3、甲方负责患者（或其他检验需求者）样本的采集，并且向乙方提供与采集样本对应的标本信息和检验项目信息。</w:t>
      </w:r>
    </w:p>
    <w:p w14:paraId="482796F5">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4、甲方按浙江省政府物价部门所规定和其它相关国家政策要求规定的收费标准，向患者（或其他检验需求者）收取检验费。</w:t>
      </w:r>
    </w:p>
    <w:p w14:paraId="4D59D46C">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5、甲方负责提供检验科实验室场地。</w:t>
      </w:r>
    </w:p>
    <w:p w14:paraId="0CE1E879">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6、甲方负责承担检验科日常的水、电费用。</w:t>
      </w:r>
    </w:p>
    <w:p w14:paraId="11BC7F8B">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7、甲方应该承担检验科仪器设备的保养。</w:t>
      </w:r>
    </w:p>
    <w:p w14:paraId="3F84BA25">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三、乙方责任</w:t>
      </w:r>
    </w:p>
    <w:p w14:paraId="347C5DD0">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1、乙方人员必须具备开展检验项目所需的技能和专业知识。</w:t>
      </w:r>
    </w:p>
    <w:p w14:paraId="51145121">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2、乙方具有固定的检验和标本储存实验室及完善的服务体系，能提供紧急服务和本地化技术支持。</w:t>
      </w:r>
    </w:p>
    <w:p w14:paraId="76BD1682">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3、乙方对甲方所开展的标本应按时完成检验报告，确保检验结果的质量，并对检验结果的质量、问题负责。</w:t>
      </w:r>
    </w:p>
    <w:p w14:paraId="21A8E643">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4、乙方应当在检验项目发生变化或价格发生变化时向甲方提供更改清单（客户通知书）。当协议偏离影响到检验结果时乙方应通知甲方。</w:t>
      </w:r>
    </w:p>
    <w:p w14:paraId="5A9573FA">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5、乙方承诺对甲方的采血人员就乙方开展检验项目的项目选择与申请，标本采集、标本采集后处理、标本保存等知识进行培训（甲方认为需要时），为甲方提供《检验目录》与《标本采样送检手册》。</w:t>
      </w:r>
    </w:p>
    <w:p w14:paraId="260B197E">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6、乙方承诺对甲方送检的标本按照各类型的标本保存时限要求进行保存，以备甲方复查。各类型已检标本的保存条件和保存时间见附件一。</w:t>
      </w:r>
    </w:p>
    <w:p w14:paraId="5E82F5CF">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7、乙方承诺甲方医院无法检验的项目按照双方约定的时间乙方派专人免费上门收取标本，用标本专用箱按要求进行保存转运，并及时送达到乙方检验所实验室处。乙方按承诺的时间和方法进行检验（见《检验目录》），按照双方协议的报告发送方式发出检验报告。</w:t>
      </w:r>
    </w:p>
    <w:p w14:paraId="016B5313">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8、为满足各级单位临床检验要求，乙方承诺按照双方约定的时间派专人免费上门收取标本。标本收取时间：全年全天候（农历除夕、大年初一二三、法定节假日除外），上午</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点前，当天</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之前出具报告单；下午</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点前，次日</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之前出具报告单，双方协商确定为LIS系统回传；乙方需要甲方提供的危急值报告方式为□电话通知（联系电话号码</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）、□短信通知（联系电话号码</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w:t>
      </w:r>
    </w:p>
    <w:p w14:paraId="48141BE5">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9、甲方所有送检标本由乙方按照国家有关规定程序进行处置，但乙方保证将所有送检标本及检验结果相关资料保密，如有泄露，责任由乙方负责。</w:t>
      </w:r>
    </w:p>
    <w:p w14:paraId="45FF52C9">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10、乙方对甲方送检的标本严格按照国家有关检验技术操作规程进行检验，并保证检验质量。</w:t>
      </w:r>
    </w:p>
    <w:p w14:paraId="5E3416AD">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11、乙方负责提供甲方检验、病理的外送检测项目业务。</w:t>
      </w:r>
    </w:p>
    <w:p w14:paraId="7529D3EB">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12、乙方检验工作完成后，由乙方向甲方提供检验报告，再由甲方向病人出具检验报告。</w:t>
      </w:r>
    </w:p>
    <w:p w14:paraId="25BEC948">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13、乙方确保不被卷入任何可能降低在能力、公正性、判断力或动作诚实性方面的可信度的活动，保证对检验结果判断的独立性和诚实性。</w:t>
      </w:r>
    </w:p>
    <w:p w14:paraId="267F8327">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14、乙方负责免费提供检验所需一次性耗材及设备仪器的维护、维修等相关工作，如仪器无法正常使用需更换仪器（配件），由乙方和甲方协商指定品牌（品牌限定，见合同附件）负责免费更换。</w:t>
      </w:r>
    </w:p>
    <w:p w14:paraId="23917E0F">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15、乙方负责承担给甲方检验用仪器所用试剂、耗材的采购，并按试剂存储要求配送。乙方需回购甲方的剩余试剂。</w:t>
      </w:r>
    </w:p>
    <w:p w14:paraId="44638A20">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16、乙方负责免费提供室内质控系统和室间质控系统，用以提升检验科质量体系控制。</w:t>
      </w:r>
    </w:p>
    <w:p w14:paraId="1D3FB04C">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17、乙方负责免费提供室内质控（对应仪器品牌及数量由甲方指定）的质控品，并承担室间质控费用。乙方免费提供一年一次对应仪器的校准品。</w:t>
      </w:r>
    </w:p>
    <w:p w14:paraId="14245ED7">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18、甲方开展检验项目如无法在医院检验科实验室检测，则必须外送到乙方的检验所实验室进行检测，合作期间甲方不得再找第三方医学检验机构进行外送服务，否则视为甲方违约，但课题研究、资质唯一指定、乙方技术限制、合同约定以外的检验项目等特殊情况检测的除外。</w:t>
      </w:r>
    </w:p>
    <w:p w14:paraId="5E4F9FFF">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19、乙方按本合同规定的医院检验收入的分配比例同甲方收取委托检验服务费。</w:t>
      </w:r>
    </w:p>
    <w:p w14:paraId="591E5639">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四、合同期限</w:t>
      </w:r>
    </w:p>
    <w:p w14:paraId="515D6F86">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本项目服务期三年，合同一年一签。根据乙方在合同履约期内按照履约、考核等情况决定是否续签。本次合同期限为____年____月____日至____年____月____日。</w:t>
      </w:r>
    </w:p>
    <w:p w14:paraId="25A3A182">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因重大政策性调整或不可抗力，甲方可单方面解除合同。</w:t>
      </w:r>
    </w:p>
    <w:p w14:paraId="48B3BF26">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五、检验效益分配</w:t>
      </w:r>
    </w:p>
    <w:p w14:paraId="3E98BDD0">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依据医院财务收费系统出具的外送乙方检测数据（医院检验科检测数据）以及乙方财务系统出具的数据（外送检测数据），按照《浙江省物价收费标准》等约定的收费标准，对检验科收入进行比例分成。</w:t>
      </w:r>
    </w:p>
    <w:p w14:paraId="2DAD77F6">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1、合作方式：医院检验科自检项目：血常规、尿沉渣、尿干化、CRP、SAA等；</w:t>
      </w:r>
    </w:p>
    <w:p w14:paraId="4631DC2C">
      <w:pPr>
        <w:spacing w:line="560" w:lineRule="exact"/>
        <w:ind w:firstLine="1920" w:firstLineChars="800"/>
        <w:rPr>
          <w:rFonts w:ascii="宋体" w:hAnsi="宋体" w:cs="宋体"/>
          <w:color w:val="auto"/>
          <w:sz w:val="24"/>
          <w:highlight w:val="none"/>
          <w:lang w:bidi="ar"/>
        </w:rPr>
      </w:pPr>
      <w:r>
        <w:rPr>
          <w:rFonts w:hint="eastAsia" w:ascii="宋体" w:hAnsi="宋体" w:cs="宋体"/>
          <w:color w:val="auto"/>
          <w:sz w:val="24"/>
          <w:highlight w:val="none"/>
          <w:lang w:bidi="ar"/>
        </w:rPr>
        <w:t>外送乙方实验室项目：生化，免疫项目（病理及其它非生化免疫项目）等。</w:t>
      </w:r>
    </w:p>
    <w:p w14:paraId="612F184D">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2、结算方式：</w:t>
      </w:r>
    </w:p>
    <w:p w14:paraId="4668CE47">
      <w:pPr>
        <w:spacing w:line="560" w:lineRule="exact"/>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（1）甲方：乙方= 　  %：     %，乙方回收试剂及耗材投入的成本，以检测服务费的形式体现。</w:t>
      </w:r>
    </w:p>
    <w:p w14:paraId="6B29DBEE">
      <w:pPr>
        <w:spacing w:line="560" w:lineRule="exact"/>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2）按月结算，按季支付费用。每月月初核对上个月的实际检测标本数量（结算统计日期以每月1日零时起到本月最后一天24时结束），每月结算金额=浙江省医疗服务价格×成交折扣系数（此公式计算结果以“元”为单位，保留到整数位）。</w:t>
      </w:r>
    </w:p>
    <w:p w14:paraId="770825AA">
      <w:pPr>
        <w:spacing w:line="560" w:lineRule="exact"/>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（3）</w:t>
      </w:r>
      <w:r>
        <w:rPr>
          <w:rFonts w:hint="eastAsia" w:ascii="宋体" w:hAnsi="宋体" w:eastAsia="宋体" w:cs="宋体"/>
          <w:color w:val="auto"/>
          <w:sz w:val="24"/>
          <w:highlight w:val="none"/>
          <w:lang w:val="en-US" w:eastAsia="zh-CN" w:bidi="ar"/>
        </w:rPr>
        <w:t>乙方</w:t>
      </w:r>
      <w:r>
        <w:rPr>
          <w:rFonts w:hint="eastAsia" w:ascii="宋体" w:hAnsi="宋体" w:eastAsia="宋体" w:cs="宋体"/>
          <w:color w:val="auto"/>
          <w:sz w:val="24"/>
          <w:highlight w:val="none"/>
          <w:lang w:bidi="ar"/>
        </w:rPr>
        <w:t>应在</w:t>
      </w:r>
      <w:r>
        <w:rPr>
          <w:rFonts w:hint="eastAsia" w:ascii="宋体" w:hAnsi="宋体" w:eastAsia="宋体" w:cs="宋体"/>
          <w:color w:val="auto"/>
          <w:sz w:val="24"/>
          <w:highlight w:val="none"/>
          <w:lang w:val="en-US" w:eastAsia="zh-CN" w:bidi="ar"/>
        </w:rPr>
        <w:t>甲方</w:t>
      </w:r>
      <w:r>
        <w:rPr>
          <w:rFonts w:hint="eastAsia" w:ascii="宋体" w:hAnsi="宋体" w:eastAsia="宋体" w:cs="宋体"/>
          <w:color w:val="auto"/>
          <w:sz w:val="24"/>
          <w:highlight w:val="none"/>
          <w:lang w:bidi="ar"/>
        </w:rPr>
        <w:t>付款前，向</w:t>
      </w:r>
      <w:r>
        <w:rPr>
          <w:rFonts w:hint="eastAsia" w:ascii="宋体" w:hAnsi="宋体" w:eastAsia="宋体" w:cs="宋体"/>
          <w:color w:val="auto"/>
          <w:sz w:val="24"/>
          <w:highlight w:val="none"/>
          <w:lang w:val="en-US" w:eastAsia="zh-CN" w:bidi="ar"/>
        </w:rPr>
        <w:t>甲方</w:t>
      </w:r>
      <w:r>
        <w:rPr>
          <w:rFonts w:hint="eastAsia" w:ascii="宋体" w:hAnsi="宋体" w:eastAsia="宋体" w:cs="宋体"/>
          <w:color w:val="auto"/>
          <w:sz w:val="24"/>
          <w:highlight w:val="none"/>
          <w:lang w:bidi="ar"/>
        </w:rPr>
        <w:t>提供等额增值税普通发票、每个月检测清单，经</w:t>
      </w:r>
      <w:r>
        <w:rPr>
          <w:rFonts w:hint="eastAsia" w:ascii="宋体" w:hAnsi="宋体" w:eastAsia="宋体" w:cs="宋体"/>
          <w:color w:val="auto"/>
          <w:sz w:val="24"/>
          <w:highlight w:val="none"/>
          <w:lang w:val="en-US" w:eastAsia="zh-CN" w:bidi="ar"/>
        </w:rPr>
        <w:t>甲方</w:t>
      </w:r>
      <w:r>
        <w:rPr>
          <w:rFonts w:hint="eastAsia" w:ascii="宋体" w:hAnsi="宋体" w:eastAsia="宋体" w:cs="宋体"/>
          <w:color w:val="auto"/>
          <w:sz w:val="24"/>
          <w:highlight w:val="none"/>
          <w:lang w:bidi="ar"/>
        </w:rPr>
        <w:t>核准后7个工作日内支付。</w:t>
      </w:r>
    </w:p>
    <w:p w14:paraId="48AC7CEB">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w:t>
      </w:r>
      <w:r>
        <w:rPr>
          <w:rFonts w:hint="eastAsia" w:ascii="宋体" w:hAnsi="宋体" w:cs="宋体"/>
          <w:color w:val="auto"/>
          <w:sz w:val="24"/>
          <w:highlight w:val="none"/>
          <w:lang w:val="en-US" w:eastAsia="zh-CN" w:bidi="ar"/>
        </w:rPr>
        <w:t>4</w:t>
      </w:r>
      <w:r>
        <w:rPr>
          <w:rFonts w:hint="eastAsia" w:ascii="宋体" w:hAnsi="宋体" w:cs="宋体"/>
          <w:color w:val="auto"/>
          <w:sz w:val="24"/>
          <w:highlight w:val="none"/>
          <w:lang w:bidi="ar"/>
        </w:rPr>
        <w:t>）乙方指定账户</w:t>
      </w:r>
    </w:p>
    <w:p w14:paraId="68BAD828">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 xml:space="preserve">户名： </w:t>
      </w:r>
    </w:p>
    <w:p w14:paraId="510BD1F5">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开户银行及帐号：</w:t>
      </w:r>
    </w:p>
    <w:p w14:paraId="2302B390">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帐号：</w:t>
      </w:r>
    </w:p>
    <w:p w14:paraId="094C1117">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六、不可抗力因素</w:t>
      </w:r>
    </w:p>
    <w:p w14:paraId="44B6B763">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凡在服务过程中，因自然灾害或战争等不可抗力事故，致使乙方无法按本合同承诺的服务条款向甲方提供服务的，双方要取得谅解，但发生上述事故时，乙方必须在最短的时间内通知甲方。在此情况下，乙方仍有责任采取一切必要措施尽快完成甲方的服务内容。</w:t>
      </w:r>
    </w:p>
    <w:p w14:paraId="12C9987B">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七、可分割性</w:t>
      </w:r>
    </w:p>
    <w:p w14:paraId="4FAD703D">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本合同及本合同附件中包含的任何一项条款在被认为无效或不具有强制执行力的情况下，该项条款的无效性或不可执行性不影响其他条款。</w:t>
      </w:r>
    </w:p>
    <w:p w14:paraId="5641A830">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八、合同终止</w:t>
      </w:r>
    </w:p>
    <w:p w14:paraId="6B52F09C">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1、乙方在合同有效期内，不得无理由终止合同，确有特殊情况的，须提前向甲方提出书面申请，经甲方同意后，方可终止合同。因乙方不能保证工作质量，或发生重大差错事故的，甲方有权终止合同，并由乙方承担全部责任。涉及到甲方上级部门出台新政策或新的相关要求，甲方提前一个月通知中标人，可以终止合同。</w:t>
      </w:r>
    </w:p>
    <w:p w14:paraId="0B9631B0">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2、当发生以下情况时，本合同将立即终止，并应立即书面通知另一方：</w:t>
      </w:r>
    </w:p>
    <w:p w14:paraId="79F444F6">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（1）合同中的一方破产、无力支付债务或清算；</w:t>
      </w:r>
    </w:p>
    <w:p w14:paraId="40500356">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（2）本合同的中止不影响双方的责任条款、结算条款和争议解决条款。</w:t>
      </w:r>
    </w:p>
    <w:p w14:paraId="5E82BEA3">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九、通知条款</w:t>
      </w:r>
    </w:p>
    <w:p w14:paraId="1AE9E888">
      <w:pPr>
        <w:adjustRightInd/>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bidi="ar"/>
        </w:rPr>
        <w:t>双方约定所有的业务、财务、其他通知等均以书面文字通知为准。</w:t>
      </w:r>
    </w:p>
    <w:p w14:paraId="3782588E">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十、纠纷、违约和仲裁</w:t>
      </w:r>
    </w:p>
    <w:p w14:paraId="7259F0FC">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1、任何因执行本合同过程中引起的纠纷，双方应共同协商，努力将纠纷而引起的损失降低到最低限度。如因纠纷而引起的后果，由责任方承担。</w:t>
      </w:r>
    </w:p>
    <w:p w14:paraId="306B0581">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2、任何一方违反本合同规定的条款，则视为违约。违约方将承担因违约而造成的所有损失，并承担赔偿责任。</w:t>
      </w:r>
    </w:p>
    <w:p w14:paraId="263DEE13">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3、仲裁：一切因执行本合同与本合同有关的争执，应由双方通过友好方式协商解决。如经协商不能得到解决的，应提交宁波市仲裁委员会仲裁或宁波市人民法院解决。</w:t>
      </w:r>
    </w:p>
    <w:p w14:paraId="0CE31DA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bidi="ar"/>
        </w:rPr>
        <w:t>4、乙方应承担由于履约不及时带来的造成甲方的各项损失，并列入招标黑名单</w:t>
      </w:r>
      <w:r>
        <w:rPr>
          <w:rFonts w:hint="eastAsia" w:ascii="宋体" w:hAnsi="宋体" w:cs="宋体"/>
          <w:color w:val="auto"/>
          <w:sz w:val="24"/>
          <w:highlight w:val="none"/>
        </w:rPr>
        <w:t>。</w:t>
      </w:r>
    </w:p>
    <w:p w14:paraId="0A170A5F">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十一、合同生效及其它</w:t>
      </w:r>
    </w:p>
    <w:p w14:paraId="4DDB8223">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1、合同经双方法定代表人或授权代表签字并加盖单位公章后生效。</w:t>
      </w:r>
    </w:p>
    <w:p w14:paraId="2C2D59B8">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2、合同执行中涉及采购资金和采购内容修改或补充的，须经财政部门审批，并签书面补充协议报政府采购监督管理部门备案，方可作为主合同不可分割的一部分。</w:t>
      </w:r>
    </w:p>
    <w:p w14:paraId="22EA7F54">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3、如遇上级政策原因，甲方可提出终止协议要求，乙方不得提出异议。</w:t>
      </w:r>
    </w:p>
    <w:p w14:paraId="35786DC0">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4、其他未尽事宜可另行起草附件，经双方签字盖章后方可生效。</w:t>
      </w:r>
    </w:p>
    <w:p w14:paraId="21331CA9">
      <w:pPr>
        <w:spacing w:line="560" w:lineRule="exact"/>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5、本合同正本一式两份，具有同等法律效力，甲乙双方各执一份；副本    份，（用途）。</w:t>
      </w:r>
    </w:p>
    <w:p w14:paraId="433874C7">
      <w:pPr>
        <w:snapToGrid w:val="0"/>
        <w:spacing w:before="120" w:beforeLines="50" w:after="120" w:afterLines="50" w:line="440" w:lineRule="exact"/>
        <w:rPr>
          <w:rFonts w:ascii="宋体" w:hAnsi="宋体" w:cs="宋体"/>
          <w:color w:val="auto"/>
          <w:sz w:val="24"/>
          <w:highlight w:val="none"/>
          <w:shd w:val="clear" w:color="auto" w:fill="FFFFFF"/>
        </w:rPr>
      </w:pPr>
    </w:p>
    <w:p w14:paraId="492386C7">
      <w:pPr>
        <w:snapToGrid w:val="0"/>
        <w:spacing w:before="120" w:beforeLines="50" w:after="120" w:afterLines="50" w:line="440" w:lineRule="exact"/>
        <w:ind w:left="480" w:hanging="480" w:hanging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甲方：                           </w:t>
      </w:r>
    </w:p>
    <w:p w14:paraId="13643CFA">
      <w:pPr>
        <w:snapToGrid w:val="0"/>
        <w:spacing w:before="120" w:beforeLines="50" w:after="120" w:afterLines="50" w:line="440" w:lineRule="exac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地址：                         </w:t>
      </w:r>
    </w:p>
    <w:p w14:paraId="5C8DC461">
      <w:pPr>
        <w:snapToGrid w:val="0"/>
        <w:spacing w:before="120" w:beforeLines="50" w:after="120" w:afterLines="50" w:line="440" w:lineRule="exac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法定（授权）代表人：                   </w:t>
      </w:r>
    </w:p>
    <w:p w14:paraId="31D0BB65">
      <w:pPr>
        <w:snapToGrid w:val="0"/>
        <w:spacing w:before="120" w:beforeLines="50" w:after="120" w:afterLines="50" w:line="440" w:lineRule="exac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签字日期：      年  月  日          </w:t>
      </w:r>
    </w:p>
    <w:p w14:paraId="46369782">
      <w:pPr>
        <w:snapToGrid w:val="0"/>
        <w:spacing w:before="120" w:beforeLines="50" w:after="120" w:afterLines="50" w:line="440" w:lineRule="exact"/>
        <w:rPr>
          <w:rFonts w:ascii="宋体" w:hAnsi="宋体" w:cs="宋体"/>
          <w:color w:val="auto"/>
          <w:sz w:val="24"/>
          <w:highlight w:val="none"/>
          <w:shd w:val="clear" w:color="auto" w:fill="FFFFFF"/>
        </w:rPr>
      </w:pPr>
    </w:p>
    <w:p w14:paraId="37EB70D6">
      <w:pPr>
        <w:snapToGrid w:val="0"/>
        <w:spacing w:before="120" w:beforeLines="50" w:after="120" w:afterLines="50" w:line="440" w:lineRule="exac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乙方：                             </w:t>
      </w:r>
    </w:p>
    <w:p w14:paraId="0B374163">
      <w:pPr>
        <w:snapToGrid w:val="0"/>
        <w:spacing w:before="120" w:beforeLines="50" w:after="120" w:afterLines="50" w:line="440" w:lineRule="exac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地址：                            </w:t>
      </w:r>
    </w:p>
    <w:p w14:paraId="5C2C540E">
      <w:pPr>
        <w:snapToGrid w:val="0"/>
        <w:spacing w:before="120" w:beforeLines="50" w:after="120" w:afterLines="50" w:line="440" w:lineRule="exac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法定（授权）代表人：               </w:t>
      </w:r>
    </w:p>
    <w:p w14:paraId="1066F12A">
      <w:pPr>
        <w:snapToGrid w:val="0"/>
        <w:spacing w:before="120" w:beforeLines="50" w:after="120" w:afterLines="50" w:line="440" w:lineRule="exac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签字日期：      年  月  日  </w:t>
      </w:r>
    </w:p>
    <w:p w14:paraId="575E60AD">
      <w:pPr>
        <w:widowControl/>
        <w:adjustRightInd/>
        <w:jc w:val="center"/>
        <w:outlineLvl w:val="0"/>
        <w:rPr>
          <w:color w:val="auto"/>
          <w:szCs w:val="21"/>
          <w:highlight w:val="none"/>
          <w:shd w:val="clear" w:color="auto" w:fill="FFFFFF"/>
        </w:rPr>
      </w:pPr>
    </w:p>
    <w:p w14:paraId="7DA9E523">
      <w:pPr>
        <w:widowControl/>
        <w:adjustRightInd/>
        <w:jc w:val="center"/>
        <w:outlineLvl w:val="0"/>
        <w:rPr>
          <w:color w:val="auto"/>
          <w:szCs w:val="21"/>
          <w:highlight w:val="none"/>
          <w:shd w:val="clear" w:color="auto" w:fill="FFFFFF"/>
        </w:rPr>
      </w:pPr>
    </w:p>
    <w:p w14:paraId="66118E76">
      <w:pPr>
        <w:widowControl/>
        <w:adjustRightInd/>
        <w:jc w:val="center"/>
        <w:outlineLvl w:val="0"/>
        <w:rPr>
          <w:color w:val="auto"/>
          <w:szCs w:val="21"/>
          <w:highlight w:val="none"/>
          <w:shd w:val="clear" w:color="auto" w:fill="FFFFFF"/>
        </w:rPr>
      </w:pPr>
    </w:p>
    <w:p w14:paraId="1EF0B16F">
      <w:pPr>
        <w:widowControl/>
        <w:adjustRightInd/>
        <w:jc w:val="center"/>
        <w:outlineLvl w:val="0"/>
        <w:rPr>
          <w:color w:val="auto"/>
          <w:szCs w:val="21"/>
          <w:highlight w:val="none"/>
          <w:shd w:val="clear" w:color="auto" w:fill="FFFFFF"/>
        </w:rPr>
      </w:pPr>
    </w:p>
    <w:p w14:paraId="3C0CA981">
      <w:pPr>
        <w:widowControl/>
        <w:adjustRightInd/>
        <w:jc w:val="center"/>
        <w:outlineLvl w:val="0"/>
        <w:rPr>
          <w:color w:val="auto"/>
          <w:szCs w:val="21"/>
          <w:highlight w:val="none"/>
          <w:shd w:val="clear" w:color="auto" w:fill="FFFFFF"/>
        </w:rPr>
      </w:pPr>
    </w:p>
    <w:p w14:paraId="2D9CDA84">
      <w:pPr>
        <w:pStyle w:val="24"/>
        <w:rPr>
          <w:rFonts w:ascii="Times New Roman" w:hAnsi="Times New Roman" w:cs="Times New Roman"/>
          <w:color w:val="auto"/>
          <w:sz w:val="21"/>
          <w:highlight w:val="none"/>
          <w:shd w:val="clear" w:color="auto" w:fill="FFFFFF"/>
          <w:lang w:val="en-US"/>
        </w:rPr>
      </w:pPr>
    </w:p>
    <w:p w14:paraId="40725ED9">
      <w:pPr>
        <w:rPr>
          <w:color w:val="auto"/>
          <w:szCs w:val="21"/>
          <w:highlight w:val="none"/>
          <w:shd w:val="clear" w:color="auto" w:fill="FFFFFF"/>
        </w:rPr>
      </w:pPr>
    </w:p>
    <w:p w14:paraId="0D24EEAC">
      <w:pPr>
        <w:pStyle w:val="24"/>
        <w:rPr>
          <w:rFonts w:ascii="Times New Roman" w:hAnsi="Times New Roman" w:cs="Times New Roman"/>
          <w:color w:val="auto"/>
          <w:sz w:val="21"/>
          <w:highlight w:val="none"/>
          <w:shd w:val="clear" w:color="auto" w:fill="FFFFFF"/>
          <w:lang w:val="en-US"/>
        </w:rPr>
      </w:pPr>
    </w:p>
    <w:p w14:paraId="182A9DF4">
      <w:pPr>
        <w:rPr>
          <w:color w:val="auto"/>
          <w:szCs w:val="21"/>
          <w:highlight w:val="none"/>
          <w:shd w:val="clear" w:color="auto" w:fill="FFFFFF"/>
        </w:rPr>
      </w:pPr>
    </w:p>
    <w:p w14:paraId="373B8A35">
      <w:pPr>
        <w:pStyle w:val="24"/>
        <w:rPr>
          <w:rFonts w:ascii="Times New Roman" w:hAnsi="Times New Roman" w:cs="Times New Roman"/>
          <w:color w:val="auto"/>
          <w:sz w:val="21"/>
          <w:highlight w:val="none"/>
          <w:shd w:val="clear" w:color="auto" w:fill="FFFFFF"/>
          <w:lang w:val="en-US"/>
        </w:rPr>
      </w:pPr>
    </w:p>
    <w:p w14:paraId="2224C233">
      <w:pPr>
        <w:rPr>
          <w:color w:val="auto"/>
          <w:szCs w:val="21"/>
          <w:highlight w:val="none"/>
          <w:shd w:val="clear" w:color="auto" w:fill="FFFFFF"/>
        </w:rPr>
      </w:pPr>
    </w:p>
    <w:p w14:paraId="1E81EBDA">
      <w:pPr>
        <w:pStyle w:val="24"/>
        <w:rPr>
          <w:rFonts w:ascii="Times New Roman" w:hAnsi="Times New Roman" w:cs="Times New Roman"/>
          <w:color w:val="auto"/>
          <w:sz w:val="21"/>
          <w:highlight w:val="none"/>
          <w:shd w:val="clear" w:color="auto" w:fill="FFFFFF"/>
          <w:lang w:val="en-US"/>
        </w:rPr>
      </w:pPr>
    </w:p>
    <w:p w14:paraId="4CBA1ED7">
      <w:pPr>
        <w:rPr>
          <w:color w:val="auto"/>
          <w:szCs w:val="21"/>
          <w:highlight w:val="none"/>
          <w:shd w:val="clear" w:color="auto" w:fill="FFFFFF"/>
        </w:rPr>
      </w:pPr>
    </w:p>
    <w:p w14:paraId="0F5FD277">
      <w:pPr>
        <w:pStyle w:val="24"/>
        <w:rPr>
          <w:color w:val="auto"/>
          <w:highlight w:val="none"/>
          <w:lang w:val="en-US"/>
        </w:rPr>
      </w:pPr>
    </w:p>
    <w:p w14:paraId="13C538DE">
      <w:pPr>
        <w:widowControl/>
        <w:adjustRightInd/>
        <w:jc w:val="center"/>
        <w:outlineLvl w:val="0"/>
        <w:rPr>
          <w:rFonts w:ascii="宋体" w:hAnsi="宋体" w:cs="宋体"/>
          <w:b/>
          <w:color w:val="auto"/>
          <w:sz w:val="36"/>
          <w:szCs w:val="20"/>
          <w:highlight w:val="none"/>
        </w:rPr>
      </w:pPr>
    </w:p>
    <w:p w14:paraId="3889D448">
      <w:pPr>
        <w:widowControl/>
        <w:adjustRightInd/>
        <w:jc w:val="center"/>
        <w:outlineLvl w:val="0"/>
        <w:rPr>
          <w:rFonts w:ascii="宋体" w:hAnsi="宋体" w:cs="宋体"/>
          <w:b/>
          <w:color w:val="auto"/>
          <w:sz w:val="36"/>
          <w:szCs w:val="20"/>
          <w:highlight w:val="none"/>
        </w:rPr>
      </w:pPr>
    </w:p>
    <w:p w14:paraId="25F1C738">
      <w:pPr>
        <w:widowControl/>
        <w:adjustRightInd/>
        <w:jc w:val="center"/>
        <w:outlineLvl w:val="0"/>
        <w:rPr>
          <w:rFonts w:ascii="宋体" w:hAnsi="宋体" w:cs="宋体"/>
          <w:b/>
          <w:color w:val="auto"/>
          <w:sz w:val="36"/>
          <w:szCs w:val="20"/>
          <w:highlight w:val="none"/>
        </w:rPr>
      </w:pPr>
    </w:p>
    <w:p w14:paraId="50F9151E">
      <w:pPr>
        <w:spacing w:line="360" w:lineRule="auto"/>
        <w:jc w:val="center"/>
        <w:outlineLvl w:val="0"/>
        <w:rPr>
          <w:rFonts w:ascii="宋体" w:hAnsi="宋体" w:cs="仿宋_GB2312"/>
          <w:b/>
          <w:color w:val="auto"/>
          <w:sz w:val="36"/>
          <w:szCs w:val="36"/>
          <w:highlight w:val="none"/>
        </w:rPr>
      </w:pPr>
      <w:r>
        <w:rPr>
          <w:rFonts w:hint="eastAsia" w:ascii="宋体" w:hAnsi="宋体" w:cs="仿宋_GB2312"/>
          <w:b/>
          <w:color w:val="auto"/>
          <w:sz w:val="36"/>
          <w:szCs w:val="36"/>
          <w:highlight w:val="none"/>
        </w:rPr>
        <w:t>第六部分</w:t>
      </w:r>
      <w:bookmarkEnd w:id="399"/>
      <w:r>
        <w:rPr>
          <w:rFonts w:hint="eastAsia" w:ascii="宋体" w:hAnsi="宋体" w:cs="仿宋_GB2312"/>
          <w:b/>
          <w:color w:val="auto"/>
          <w:sz w:val="36"/>
          <w:szCs w:val="36"/>
          <w:highlight w:val="none"/>
        </w:rPr>
        <w:t xml:space="preserve"> </w:t>
      </w:r>
      <w:bookmarkEnd w:id="400"/>
      <w:r>
        <w:rPr>
          <w:rFonts w:hint="eastAsia" w:ascii="宋体" w:hAnsi="宋体" w:cs="仿宋_GB2312"/>
          <w:b/>
          <w:color w:val="auto"/>
          <w:sz w:val="36"/>
          <w:szCs w:val="36"/>
          <w:highlight w:val="none"/>
        </w:rPr>
        <w:t>应提交的有关格式范例</w:t>
      </w:r>
      <w:bookmarkEnd w:id="403"/>
    </w:p>
    <w:p w14:paraId="7CC89F30">
      <w:pPr>
        <w:spacing w:line="360" w:lineRule="auto"/>
        <w:jc w:val="center"/>
        <w:rPr>
          <w:rFonts w:ascii="宋体" w:hAnsi="宋体" w:cs="宋体"/>
          <w:b/>
          <w:color w:val="auto"/>
          <w:kern w:val="0"/>
          <w:sz w:val="36"/>
          <w:szCs w:val="36"/>
          <w:highlight w:val="none"/>
        </w:rPr>
      </w:pPr>
    </w:p>
    <w:p w14:paraId="162FBD51">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C2A56A9">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FDCDED5">
      <w:pPr>
        <w:spacing w:line="360" w:lineRule="auto"/>
        <w:jc w:val="center"/>
        <w:rPr>
          <w:rFonts w:ascii="宋体" w:hAnsi="宋体" w:cs="宋体"/>
          <w:b/>
          <w:color w:val="auto"/>
          <w:kern w:val="0"/>
          <w:sz w:val="36"/>
          <w:szCs w:val="36"/>
          <w:highlight w:val="none"/>
        </w:rPr>
      </w:pPr>
    </w:p>
    <w:p w14:paraId="135E894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6F2A4B8">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0CDB63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B20AF2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55272E7">
      <w:pPr>
        <w:snapToGrid w:val="0"/>
        <w:spacing w:line="360" w:lineRule="auto"/>
        <w:ind w:firstLine="480" w:firstLineChars="200"/>
        <w:rPr>
          <w:rFonts w:ascii="宋体" w:hAnsi="宋体" w:cs="宋体"/>
          <w:color w:val="auto"/>
          <w:sz w:val="24"/>
          <w:highlight w:val="none"/>
        </w:rPr>
      </w:pPr>
    </w:p>
    <w:p w14:paraId="682B228F">
      <w:pPr>
        <w:spacing w:line="360" w:lineRule="auto"/>
        <w:ind w:firstLine="480" w:firstLineChars="200"/>
        <w:rPr>
          <w:rFonts w:ascii="宋体" w:hAnsi="宋体" w:cs="宋体"/>
          <w:color w:val="auto"/>
          <w:sz w:val="24"/>
          <w:highlight w:val="none"/>
        </w:rPr>
      </w:pPr>
    </w:p>
    <w:p w14:paraId="0727661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EAEF61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宁波市江北区慈城镇中心卫生院、宁波中基国际招标有限公司：</w:t>
      </w:r>
    </w:p>
    <w:p w14:paraId="1DFA18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我方参与宁波市江北区外送检测服务项目【招标编号：CBNB-20246440G 】政府采购活动，郑重承诺：</w:t>
      </w:r>
    </w:p>
    <w:p w14:paraId="1D0C885C">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C371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41320D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90060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AB339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E5250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7898AF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C81F8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（二）未被信用中国（www.creditchina.gov.cn）、中国政府采购网（www.ccgp.gov.cn）列入失信被执行人、重大税收违法案件当事人名单（重大税收违法失信主体）、政府采购严重违法失信行为记录名单。</w:t>
      </w:r>
    </w:p>
    <w:p w14:paraId="418EB5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3AEE0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20A93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A5844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3、未在中国裁判文书网有行贿犯罪相关记录。</w:t>
      </w:r>
    </w:p>
    <w:p w14:paraId="4D88278D">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58F493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B9E67E1">
      <w:pPr>
        <w:snapToGrid w:val="0"/>
        <w:spacing w:line="360" w:lineRule="auto"/>
        <w:ind w:right="480"/>
        <w:jc w:val="center"/>
        <w:rPr>
          <w:rFonts w:ascii="宋体" w:hAnsi="宋体" w:cs="宋体"/>
          <w:b/>
          <w:color w:val="auto"/>
          <w:kern w:val="0"/>
          <w:sz w:val="32"/>
          <w:szCs w:val="32"/>
          <w:highlight w:val="none"/>
        </w:rPr>
      </w:pPr>
    </w:p>
    <w:p w14:paraId="4FB8C605">
      <w:pPr>
        <w:rPr>
          <w:rFonts w:ascii="宋体" w:hAnsi="宋体" w:cs="宋体"/>
          <w:color w:val="auto"/>
          <w:highlight w:val="none"/>
        </w:rPr>
      </w:pPr>
    </w:p>
    <w:p w14:paraId="5BD86C82">
      <w:pPr>
        <w:snapToGrid w:val="0"/>
        <w:spacing w:line="360" w:lineRule="auto"/>
        <w:ind w:right="480"/>
        <w:jc w:val="center"/>
        <w:rPr>
          <w:rFonts w:ascii="宋体" w:hAnsi="宋体" w:cs="宋体"/>
          <w:b/>
          <w:color w:val="auto"/>
          <w:kern w:val="0"/>
          <w:sz w:val="32"/>
          <w:szCs w:val="32"/>
          <w:highlight w:val="none"/>
        </w:rPr>
      </w:pPr>
    </w:p>
    <w:p w14:paraId="2D73470C">
      <w:pPr>
        <w:snapToGrid w:val="0"/>
        <w:spacing w:line="360" w:lineRule="auto"/>
        <w:ind w:right="480"/>
        <w:jc w:val="center"/>
        <w:rPr>
          <w:rFonts w:ascii="宋体" w:hAnsi="宋体" w:cs="宋体"/>
          <w:b/>
          <w:color w:val="auto"/>
          <w:kern w:val="0"/>
          <w:sz w:val="32"/>
          <w:szCs w:val="32"/>
          <w:highlight w:val="none"/>
        </w:rPr>
      </w:pPr>
    </w:p>
    <w:p w14:paraId="5F44EF46">
      <w:pPr>
        <w:snapToGrid w:val="0"/>
        <w:spacing w:line="360" w:lineRule="auto"/>
        <w:ind w:right="480"/>
        <w:jc w:val="center"/>
        <w:rPr>
          <w:rFonts w:ascii="宋体" w:hAnsi="宋体" w:cs="宋体"/>
          <w:b/>
          <w:color w:val="auto"/>
          <w:kern w:val="0"/>
          <w:sz w:val="32"/>
          <w:szCs w:val="32"/>
          <w:highlight w:val="none"/>
        </w:rPr>
      </w:pPr>
    </w:p>
    <w:p w14:paraId="58E12FB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4B5038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F523EF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[以联合体形式投标的，提供联合协议（附件5）；本项目不接受联合体投标或者供应商不以联合体形式投标的，则不需要提供）]</w:t>
      </w:r>
    </w:p>
    <w:p w14:paraId="48602FC6">
      <w:pPr>
        <w:snapToGrid w:val="0"/>
        <w:spacing w:line="360" w:lineRule="auto"/>
        <w:ind w:right="480"/>
        <w:jc w:val="center"/>
        <w:rPr>
          <w:rFonts w:ascii="宋体" w:hAnsi="宋体" w:cs="宋体"/>
          <w:b/>
          <w:color w:val="auto"/>
          <w:kern w:val="0"/>
          <w:sz w:val="32"/>
          <w:szCs w:val="32"/>
          <w:highlight w:val="none"/>
        </w:rPr>
      </w:pPr>
    </w:p>
    <w:p w14:paraId="1012CAC3">
      <w:pPr>
        <w:snapToGrid w:val="0"/>
        <w:spacing w:line="360" w:lineRule="auto"/>
        <w:ind w:right="480"/>
        <w:jc w:val="center"/>
        <w:rPr>
          <w:rFonts w:ascii="宋体" w:hAnsi="宋体" w:cs="宋体"/>
          <w:b/>
          <w:color w:val="auto"/>
          <w:kern w:val="0"/>
          <w:sz w:val="32"/>
          <w:szCs w:val="32"/>
          <w:highlight w:val="none"/>
        </w:rPr>
      </w:pPr>
    </w:p>
    <w:p w14:paraId="266A8AF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C90379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271D87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.专门面向中小企业，服务全部由符合政策要求的中小企业（或小微企业）承接的，提供相应的中小企业声明函（附件6）。 </w:t>
      </w:r>
    </w:p>
    <w:p w14:paraId="64E47165">
      <w:pPr>
        <w:widowControl/>
        <w:spacing w:line="360" w:lineRule="auto"/>
        <w:ind w:firstLine="480"/>
        <w:jc w:val="left"/>
        <w:rPr>
          <w:rFonts w:ascii="宋体" w:hAnsi="宋体" w:cs="宋体"/>
          <w:color w:val="auto"/>
          <w:sz w:val="24"/>
          <w:highlight w:val="none"/>
        </w:rPr>
      </w:pPr>
    </w:p>
    <w:p w14:paraId="36BB297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）和中小企业声明函（附件6），联合协议中中小企业合同金额应当达到招标公告载明的比例；如果供应商本身提供所有标的均由中小企业承接的，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6AD22B5">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57582C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要求合同分包的，提供分包意向协议和中小企业声明函（附件6），分包意向协议中中小企业合同金额应当达到招标公告载明的比例；如果供应商本身提供所有标的均由中小企业承接的，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CC74CE2">
      <w:pPr>
        <w:widowControl/>
        <w:spacing w:line="360" w:lineRule="auto"/>
        <w:ind w:left="150"/>
        <w:jc w:val="center"/>
        <w:rPr>
          <w:rFonts w:ascii="宋体" w:hAnsi="宋体" w:cs="宋体"/>
          <w:b/>
          <w:color w:val="auto"/>
          <w:kern w:val="0"/>
          <w:sz w:val="32"/>
          <w:szCs w:val="32"/>
          <w:highlight w:val="none"/>
        </w:rPr>
      </w:pPr>
    </w:p>
    <w:p w14:paraId="4C7B970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DF2141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2E5F03D">
      <w:pPr>
        <w:rPr>
          <w:rFonts w:ascii="宋体" w:hAnsi="宋体" w:cs="宋体"/>
          <w:color w:val="auto"/>
          <w:highlight w:val="none"/>
        </w:rPr>
      </w:pPr>
    </w:p>
    <w:p w14:paraId="20D78189">
      <w:pPr>
        <w:snapToGrid w:val="0"/>
        <w:spacing w:line="360" w:lineRule="auto"/>
        <w:ind w:right="480"/>
        <w:jc w:val="center"/>
        <w:rPr>
          <w:rFonts w:ascii="宋体" w:hAnsi="宋体" w:cs="宋体"/>
          <w:b/>
          <w:color w:val="auto"/>
          <w:kern w:val="0"/>
          <w:sz w:val="32"/>
          <w:szCs w:val="32"/>
          <w:highlight w:val="none"/>
        </w:rPr>
      </w:pPr>
    </w:p>
    <w:p w14:paraId="46CEC8EE">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FB8EDA6">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5AA64E8">
      <w:pPr>
        <w:spacing w:line="360" w:lineRule="auto"/>
        <w:jc w:val="center"/>
        <w:rPr>
          <w:rFonts w:ascii="宋体" w:hAnsi="宋体" w:cs="宋体"/>
          <w:b/>
          <w:color w:val="auto"/>
          <w:kern w:val="0"/>
          <w:sz w:val="24"/>
          <w:highlight w:val="none"/>
        </w:rPr>
      </w:pPr>
    </w:p>
    <w:p w14:paraId="79866AF0">
      <w:pPr>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6D16A4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24A2DC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2AEA68C5">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908DC0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19BF15C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DDB163C">
      <w:pPr>
        <w:snapToGrid w:val="0"/>
        <w:spacing w:line="360" w:lineRule="auto"/>
        <w:jc w:val="center"/>
        <w:rPr>
          <w:rFonts w:ascii="宋体" w:hAnsi="宋体" w:cs="宋体"/>
          <w:b/>
          <w:color w:val="auto"/>
          <w:kern w:val="0"/>
          <w:sz w:val="32"/>
          <w:szCs w:val="32"/>
          <w:highlight w:val="none"/>
          <w:lang w:val="zh-CN"/>
        </w:rPr>
      </w:pPr>
    </w:p>
    <w:p w14:paraId="6CFE96F3">
      <w:pPr>
        <w:snapToGrid w:val="0"/>
        <w:spacing w:line="360" w:lineRule="auto"/>
        <w:jc w:val="center"/>
        <w:rPr>
          <w:rFonts w:ascii="宋体" w:hAnsi="宋体" w:cs="宋体"/>
          <w:b/>
          <w:color w:val="auto"/>
          <w:kern w:val="0"/>
          <w:sz w:val="32"/>
          <w:szCs w:val="32"/>
          <w:highlight w:val="none"/>
          <w:lang w:val="zh-CN"/>
        </w:rPr>
      </w:pPr>
    </w:p>
    <w:p w14:paraId="7F1F8201">
      <w:pPr>
        <w:snapToGrid w:val="0"/>
        <w:spacing w:line="360" w:lineRule="auto"/>
        <w:jc w:val="center"/>
        <w:rPr>
          <w:rFonts w:ascii="宋体" w:hAnsi="宋体" w:cs="宋体"/>
          <w:b/>
          <w:color w:val="auto"/>
          <w:kern w:val="0"/>
          <w:sz w:val="32"/>
          <w:szCs w:val="32"/>
          <w:highlight w:val="none"/>
          <w:lang w:val="zh-CN"/>
        </w:rPr>
      </w:pPr>
    </w:p>
    <w:p w14:paraId="29E5C0FB">
      <w:pPr>
        <w:snapToGrid w:val="0"/>
        <w:spacing w:line="360" w:lineRule="auto"/>
        <w:jc w:val="center"/>
        <w:rPr>
          <w:rFonts w:ascii="宋体" w:hAnsi="宋体" w:cs="宋体"/>
          <w:b/>
          <w:color w:val="auto"/>
          <w:kern w:val="0"/>
          <w:sz w:val="32"/>
          <w:szCs w:val="32"/>
          <w:highlight w:val="none"/>
          <w:lang w:val="zh-CN"/>
        </w:rPr>
      </w:pPr>
    </w:p>
    <w:p w14:paraId="06762E2A">
      <w:pPr>
        <w:snapToGrid w:val="0"/>
        <w:spacing w:line="360" w:lineRule="auto"/>
        <w:jc w:val="center"/>
        <w:rPr>
          <w:rFonts w:ascii="宋体" w:hAnsi="宋体" w:cs="宋体"/>
          <w:b/>
          <w:color w:val="auto"/>
          <w:kern w:val="0"/>
          <w:sz w:val="32"/>
          <w:szCs w:val="32"/>
          <w:highlight w:val="none"/>
          <w:lang w:val="zh-CN"/>
        </w:rPr>
      </w:pPr>
    </w:p>
    <w:p w14:paraId="55E758F4">
      <w:pPr>
        <w:snapToGrid w:val="0"/>
        <w:spacing w:line="360" w:lineRule="auto"/>
        <w:jc w:val="center"/>
        <w:rPr>
          <w:rFonts w:ascii="宋体" w:hAnsi="宋体" w:cs="宋体"/>
          <w:b/>
          <w:color w:val="auto"/>
          <w:kern w:val="0"/>
          <w:sz w:val="32"/>
          <w:szCs w:val="32"/>
          <w:highlight w:val="none"/>
          <w:lang w:val="zh-CN"/>
        </w:rPr>
      </w:pPr>
    </w:p>
    <w:p w14:paraId="7F233625">
      <w:pPr>
        <w:snapToGrid w:val="0"/>
        <w:spacing w:line="360" w:lineRule="auto"/>
        <w:jc w:val="center"/>
        <w:rPr>
          <w:rFonts w:ascii="宋体" w:hAnsi="宋体" w:cs="宋体"/>
          <w:b/>
          <w:color w:val="auto"/>
          <w:kern w:val="0"/>
          <w:sz w:val="32"/>
          <w:szCs w:val="32"/>
          <w:highlight w:val="none"/>
          <w:lang w:val="zh-CN"/>
        </w:rPr>
      </w:pPr>
    </w:p>
    <w:p w14:paraId="7CD9D47B">
      <w:pPr>
        <w:snapToGrid w:val="0"/>
        <w:spacing w:line="360" w:lineRule="auto"/>
        <w:jc w:val="center"/>
        <w:rPr>
          <w:rFonts w:ascii="宋体" w:hAnsi="宋体" w:cs="宋体"/>
          <w:b/>
          <w:color w:val="auto"/>
          <w:kern w:val="0"/>
          <w:sz w:val="32"/>
          <w:szCs w:val="32"/>
          <w:highlight w:val="none"/>
          <w:lang w:val="zh-CN"/>
        </w:rPr>
      </w:pPr>
    </w:p>
    <w:p w14:paraId="4CA0BC4E">
      <w:pPr>
        <w:snapToGrid w:val="0"/>
        <w:spacing w:line="360" w:lineRule="auto"/>
        <w:jc w:val="center"/>
        <w:rPr>
          <w:rFonts w:ascii="宋体" w:hAnsi="宋体" w:cs="宋体"/>
          <w:b/>
          <w:color w:val="auto"/>
          <w:kern w:val="0"/>
          <w:sz w:val="32"/>
          <w:szCs w:val="32"/>
          <w:highlight w:val="none"/>
          <w:lang w:val="zh-CN"/>
        </w:rPr>
      </w:pPr>
    </w:p>
    <w:p w14:paraId="0F07E076">
      <w:pPr>
        <w:snapToGrid w:val="0"/>
        <w:spacing w:line="360" w:lineRule="auto"/>
        <w:jc w:val="center"/>
        <w:rPr>
          <w:rFonts w:ascii="宋体" w:hAnsi="宋体" w:cs="宋体"/>
          <w:b/>
          <w:color w:val="auto"/>
          <w:kern w:val="0"/>
          <w:sz w:val="32"/>
          <w:szCs w:val="32"/>
          <w:highlight w:val="none"/>
          <w:lang w:val="zh-CN"/>
        </w:rPr>
      </w:pPr>
    </w:p>
    <w:p w14:paraId="4AE46D93">
      <w:pPr>
        <w:snapToGrid w:val="0"/>
        <w:spacing w:line="360" w:lineRule="auto"/>
        <w:jc w:val="center"/>
        <w:rPr>
          <w:rFonts w:ascii="宋体" w:hAnsi="宋体" w:cs="宋体"/>
          <w:b/>
          <w:color w:val="auto"/>
          <w:kern w:val="0"/>
          <w:sz w:val="32"/>
          <w:szCs w:val="32"/>
          <w:highlight w:val="none"/>
          <w:lang w:val="zh-CN"/>
        </w:rPr>
      </w:pPr>
    </w:p>
    <w:p w14:paraId="0AB0DF20">
      <w:pPr>
        <w:snapToGrid w:val="0"/>
        <w:spacing w:line="360" w:lineRule="auto"/>
        <w:jc w:val="center"/>
        <w:rPr>
          <w:rFonts w:ascii="宋体" w:hAnsi="宋体" w:cs="宋体"/>
          <w:b/>
          <w:color w:val="auto"/>
          <w:kern w:val="0"/>
          <w:sz w:val="32"/>
          <w:szCs w:val="32"/>
          <w:highlight w:val="none"/>
          <w:lang w:val="zh-CN"/>
        </w:rPr>
      </w:pPr>
    </w:p>
    <w:p w14:paraId="6A4C489D">
      <w:pPr>
        <w:rPr>
          <w:rFonts w:ascii="宋体" w:hAnsi="宋体" w:cs="宋体"/>
          <w:b/>
          <w:color w:val="auto"/>
          <w:kern w:val="0"/>
          <w:sz w:val="32"/>
          <w:szCs w:val="32"/>
          <w:highlight w:val="none"/>
          <w:lang w:val="zh-CN"/>
        </w:rPr>
      </w:pPr>
    </w:p>
    <w:p w14:paraId="6EBD4E3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B850BDD">
      <w:pPr>
        <w:snapToGrid w:val="0"/>
        <w:spacing w:line="360" w:lineRule="auto"/>
        <w:jc w:val="center"/>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DEB42FC">
      <w:pPr>
        <w:snapToGrid w:val="0"/>
        <w:spacing w:line="312" w:lineRule="auto"/>
        <w:rPr>
          <w:rFonts w:ascii="宋体" w:hAnsi="宋体" w:cs="宋体"/>
          <w:color w:val="auto"/>
          <w:sz w:val="24"/>
          <w:highlight w:val="none"/>
        </w:rPr>
      </w:pPr>
      <w:r>
        <w:rPr>
          <w:rFonts w:hint="eastAsia" w:ascii="宋体" w:hAnsi="宋体" w:cs="宋体"/>
          <w:color w:val="auto"/>
          <w:sz w:val="24"/>
          <w:highlight w:val="none"/>
        </w:rPr>
        <w:t>宁波市江北区慈城镇中心卫生院、宁波中基国际招标有限公司：</w:t>
      </w:r>
    </w:p>
    <w:p w14:paraId="6E3B06A8">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我方参加你方组织的宁波市江北区外送检测服务项目【招标编号：CBNB-20246440G】招标的有关活动，并对此项目进行投标。为此：</w:t>
      </w:r>
    </w:p>
    <w:p w14:paraId="16F7316C">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E119A62">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1C41397">
      <w:pPr>
        <w:snapToGrid w:val="0"/>
        <w:spacing w:line="312"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89D6D08">
      <w:pPr>
        <w:snapToGrid w:val="0"/>
        <w:spacing w:line="312"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2.1.1符合参加政府采购活动应当具备的一般条件的承诺函；</w:t>
      </w:r>
    </w:p>
    <w:p w14:paraId="04A46111">
      <w:pPr>
        <w:snapToGrid w:val="0"/>
        <w:spacing w:line="312"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4" w:name="_Hlk101257010"/>
      <w:r>
        <w:rPr>
          <w:rFonts w:hint="eastAsia" w:ascii="宋体" w:hAnsi="宋体" w:cs="宋体"/>
          <w:color w:val="auto"/>
          <w:sz w:val="24"/>
          <w:highlight w:val="none"/>
        </w:rPr>
        <w:t>（如果有）</w:t>
      </w:r>
      <w:bookmarkEnd w:id="404"/>
      <w:r>
        <w:rPr>
          <w:rFonts w:hint="eastAsia" w:ascii="宋体" w:hAnsi="宋体" w:cs="宋体"/>
          <w:snapToGrid w:val="0"/>
          <w:color w:val="auto"/>
          <w:kern w:val="28"/>
          <w:sz w:val="24"/>
          <w:szCs w:val="20"/>
          <w:highlight w:val="none"/>
        </w:rPr>
        <w:t>；</w:t>
      </w:r>
    </w:p>
    <w:p w14:paraId="246BC698">
      <w:pPr>
        <w:snapToGrid w:val="0"/>
        <w:spacing w:line="312"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16855EC1">
      <w:pPr>
        <w:snapToGrid w:val="0"/>
        <w:spacing w:line="312"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00E3BC8">
      <w:pPr>
        <w:snapToGrid w:val="0"/>
        <w:spacing w:line="312"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9571E9B">
      <w:pPr>
        <w:snapToGrid w:val="0"/>
        <w:spacing w:line="312"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6F23D87">
      <w:pPr>
        <w:snapToGrid w:val="0"/>
        <w:spacing w:line="312"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w:t>
      </w:r>
      <w:r>
        <w:rPr>
          <w:rFonts w:hint="eastAsia" w:ascii="宋体" w:hAnsi="宋体" w:cs="宋体"/>
          <w:color w:val="auto"/>
          <w:sz w:val="24"/>
          <w:highlight w:val="none"/>
          <w:lang w:val="zh-CN"/>
        </w:rPr>
        <w:t>授权委托书或法定代表人（单位负责人、自然人本人）身份证明</w:t>
      </w:r>
      <w:r>
        <w:rPr>
          <w:rFonts w:hint="eastAsia" w:ascii="宋体" w:hAnsi="宋体" w:cs="宋体"/>
          <w:color w:val="auto"/>
          <w:sz w:val="24"/>
          <w:highlight w:val="none"/>
        </w:rPr>
        <w:t>；</w:t>
      </w:r>
    </w:p>
    <w:p w14:paraId="13DB6F3C">
      <w:pPr>
        <w:snapToGrid w:val="0"/>
        <w:spacing w:line="312"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D3A6194">
      <w:pPr>
        <w:snapToGrid w:val="0"/>
        <w:spacing w:line="312"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7C29F90">
      <w:pPr>
        <w:snapToGrid w:val="0"/>
        <w:spacing w:line="312"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EAEF196">
      <w:pPr>
        <w:snapToGrid w:val="0"/>
        <w:spacing w:line="312"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.2.</w:t>
      </w:r>
      <w:r>
        <w:rPr>
          <w:rFonts w:hint="eastAsia" w:ascii="宋体" w:hAnsi="宋体" w:cs="宋体"/>
          <w:color w:val="auto"/>
          <w:sz w:val="24"/>
          <w:highlight w:val="none"/>
        </w:rPr>
        <w:t>6</w:t>
      </w:r>
      <w:r>
        <w:rPr>
          <w:rFonts w:hint="eastAsia" w:ascii="宋体" w:hAnsi="宋体" w:cs="宋体"/>
          <w:color w:val="auto"/>
          <w:sz w:val="24"/>
          <w:highlight w:val="none"/>
          <w:lang w:val="zh-CN"/>
        </w:rPr>
        <w:t>商务技术偏离表；</w:t>
      </w:r>
    </w:p>
    <w:p w14:paraId="63BBEF51">
      <w:pPr>
        <w:snapToGrid w:val="0"/>
        <w:spacing w:line="312"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2.2.</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104CD658">
      <w:pPr>
        <w:snapToGrid w:val="0"/>
        <w:spacing w:line="312"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BC5541D">
      <w:pPr>
        <w:snapToGrid w:val="0"/>
        <w:spacing w:line="312"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4AD0009F">
      <w:pPr>
        <w:snapToGrid w:val="0"/>
        <w:spacing w:line="312"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7F0071A">
      <w:pPr>
        <w:snapToGrid w:val="0"/>
        <w:spacing w:line="312"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2.3.3投标报价明细表。</w:t>
      </w:r>
    </w:p>
    <w:p w14:paraId="4DFDEF6F">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7D0F49FB">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1D454D3">
      <w:pPr>
        <w:snapToGrid w:val="0"/>
        <w:spacing w:line="312"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A90C127">
      <w:pPr>
        <w:snapToGrid w:val="0"/>
        <w:spacing w:line="312"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C80B2D9">
      <w:pPr>
        <w:snapToGrid w:val="0"/>
        <w:spacing w:line="312"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741D482">
      <w:pPr>
        <w:snapToGrid w:val="0"/>
        <w:spacing w:line="312"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6EC4EBD">
      <w:pPr>
        <w:snapToGrid w:val="0"/>
        <w:spacing w:line="312"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9667120">
      <w:pPr>
        <w:spacing w:line="312"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417D287C">
      <w:pPr>
        <w:spacing w:line="312"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5D43AA5">
      <w:pPr>
        <w:snapToGrid w:val="0"/>
        <w:spacing w:line="312" w:lineRule="auto"/>
        <w:ind w:left="420" w:leftChars="200" w:firstLine="4200" w:firstLineChars="1750"/>
        <w:rPr>
          <w:rFonts w:ascii="宋体" w:hAnsi="宋体" w:cs="宋体"/>
          <w:color w:val="auto"/>
          <w:kern w:val="0"/>
          <w:sz w:val="24"/>
          <w:highlight w:val="none"/>
          <w:u w:val="single"/>
        </w:rPr>
      </w:pPr>
    </w:p>
    <w:p w14:paraId="535484A4">
      <w:pPr>
        <w:spacing w:line="312" w:lineRule="auto"/>
        <w:ind w:right="420"/>
        <w:rPr>
          <w:rFonts w:ascii="宋体" w:hAnsi="宋体" w:cs="宋体"/>
          <w:b/>
          <w:color w:val="auto"/>
          <w:kern w:val="0"/>
          <w:sz w:val="32"/>
          <w:szCs w:val="32"/>
          <w:highlight w:val="none"/>
        </w:rPr>
      </w:pPr>
      <w:r>
        <w:rPr>
          <w:rFonts w:hint="eastAsia" w:ascii="宋体" w:hAnsi="宋体" w:cs="宋体"/>
          <w:color w:val="auto"/>
          <w:sz w:val="24"/>
          <w:highlight w:val="none"/>
        </w:rPr>
        <w:t>注：按本格式和要求提供。</w:t>
      </w:r>
    </w:p>
    <w:p w14:paraId="76504A40">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F5A95A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989D2EE">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EA4C13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宁波市江北区慈城镇中心卫生院、宁波中基国际招标有限公司</w:t>
      </w:r>
      <w:r>
        <w:rPr>
          <w:rFonts w:hint="eastAsia" w:ascii="宋体" w:hAnsi="宋体" w:cs="宋体"/>
          <w:color w:val="auto"/>
          <w:kern w:val="0"/>
          <w:sz w:val="24"/>
          <w:highlight w:val="none"/>
          <w:lang w:val="zh-CN"/>
        </w:rPr>
        <w:t>：</w:t>
      </w:r>
    </w:p>
    <w:p w14:paraId="3E73384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宁波市江北区外送检测服务项目【招标编号：CBNB-20246440G 】</w:t>
      </w:r>
      <w:r>
        <w:rPr>
          <w:rFonts w:hint="eastAsia" w:ascii="宋体" w:hAnsi="宋体" w:cs="宋体"/>
          <w:color w:val="auto"/>
          <w:kern w:val="0"/>
          <w:sz w:val="24"/>
          <w:highlight w:val="none"/>
          <w:lang w:val="zh-CN"/>
        </w:rPr>
        <w:t>政府采购投标的一切事项，其法律后果由我方承担。</w:t>
      </w:r>
    </w:p>
    <w:p w14:paraId="5DC9B6E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A958EC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FF3954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74CC1AA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15AD59C">
      <w:pPr>
        <w:snapToGrid w:val="0"/>
        <w:spacing w:line="360" w:lineRule="auto"/>
        <w:rPr>
          <w:rFonts w:ascii="宋体" w:hAnsi="宋体" w:cs="宋体"/>
          <w:color w:val="auto"/>
          <w:sz w:val="24"/>
          <w:highlight w:val="none"/>
        </w:rPr>
      </w:pPr>
    </w:p>
    <w:p w14:paraId="6DC42DA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268B88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宁波市江北区慈城镇中心卫生院、宁波中基国际招标有限公司</w:t>
      </w:r>
      <w:r>
        <w:rPr>
          <w:rFonts w:hint="eastAsia" w:ascii="宋体" w:hAnsi="宋体" w:cs="宋体"/>
          <w:color w:val="auto"/>
          <w:kern w:val="0"/>
          <w:sz w:val="24"/>
          <w:highlight w:val="none"/>
          <w:lang w:val="zh-CN"/>
        </w:rPr>
        <w:t>：</w:t>
      </w:r>
    </w:p>
    <w:p w14:paraId="63EE381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宁波市江北区外送检测服务项目【招标编号：CBNB-20246440G 】</w:t>
      </w:r>
      <w:r>
        <w:rPr>
          <w:rFonts w:hint="eastAsia" w:ascii="宋体" w:hAnsi="宋体" w:cs="宋体"/>
          <w:color w:val="auto"/>
          <w:kern w:val="0"/>
          <w:sz w:val="24"/>
          <w:highlight w:val="none"/>
          <w:lang w:val="zh-CN"/>
        </w:rPr>
        <w:t>政府采购投标的一切事项，其法律后果由我方承担。</w:t>
      </w:r>
    </w:p>
    <w:p w14:paraId="7F0CD10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5FB56F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1DF57F3">
      <w:pPr>
        <w:jc w:val="center"/>
        <w:rPr>
          <w:rFonts w:ascii="宋体" w:hAnsi="宋体" w:cs="宋体"/>
          <w:b/>
          <w:color w:val="auto"/>
          <w:kern w:val="0"/>
          <w:sz w:val="32"/>
          <w:szCs w:val="32"/>
          <w:highlight w:val="none"/>
        </w:rPr>
      </w:pPr>
    </w:p>
    <w:p w14:paraId="2620EA27">
      <w:pPr>
        <w:rPr>
          <w:rFonts w:ascii="宋体" w:hAnsi="宋体" w:cs="宋体"/>
          <w:color w:val="auto"/>
          <w:highlight w:val="none"/>
        </w:rPr>
      </w:pPr>
    </w:p>
    <w:p w14:paraId="78D9E49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353F0F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399255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53871C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C3BEA53">
      <w:pPr>
        <w:autoSpaceDE w:val="0"/>
        <w:autoSpaceDN w:val="0"/>
        <w:spacing w:line="360" w:lineRule="auto"/>
        <w:jc w:val="center"/>
        <w:rPr>
          <w:rFonts w:ascii="宋体" w:hAnsi="宋体" w:cs="宋体"/>
          <w:b/>
          <w:color w:val="auto"/>
          <w:kern w:val="0"/>
          <w:sz w:val="32"/>
          <w:szCs w:val="32"/>
          <w:highlight w:val="none"/>
          <w:lang w:val="zh-CN"/>
        </w:rPr>
      </w:pPr>
    </w:p>
    <w:p w14:paraId="029E884E">
      <w:pPr>
        <w:autoSpaceDE w:val="0"/>
        <w:autoSpaceDN w:val="0"/>
        <w:spacing w:line="360" w:lineRule="auto"/>
        <w:jc w:val="center"/>
        <w:rPr>
          <w:rFonts w:ascii="宋体" w:hAnsi="宋体" w:cs="宋体"/>
          <w:b/>
          <w:color w:val="auto"/>
          <w:kern w:val="0"/>
          <w:sz w:val="32"/>
          <w:szCs w:val="32"/>
          <w:highlight w:val="none"/>
          <w:lang w:val="zh-CN"/>
        </w:rPr>
      </w:pPr>
    </w:p>
    <w:p w14:paraId="729B3761">
      <w:pPr>
        <w:autoSpaceDE w:val="0"/>
        <w:autoSpaceDN w:val="0"/>
        <w:spacing w:line="360" w:lineRule="auto"/>
        <w:jc w:val="center"/>
        <w:rPr>
          <w:rFonts w:ascii="宋体" w:hAnsi="宋体" w:cs="宋体"/>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C9B1493">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的身份证明（适用于法定代表人、单位负责人或者自然人本人代表供应商参加投标）</w:t>
      </w:r>
    </w:p>
    <w:p w14:paraId="0A9806DC">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DCF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0D0B44B">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716EC1E">
            <w:pPr>
              <w:pStyle w:val="151"/>
              <w:adjustRightInd w:val="0"/>
              <w:spacing w:line="360" w:lineRule="auto"/>
              <w:rPr>
                <w:rFonts w:hAnsi="宋体" w:cs="宋体"/>
                <w:bCs/>
                <w:color w:val="auto"/>
                <w:sz w:val="24"/>
                <w:highlight w:val="none"/>
              </w:rPr>
            </w:pPr>
          </w:p>
        </w:tc>
      </w:tr>
    </w:tbl>
    <w:p w14:paraId="05CAAFF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919AD2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5A9BCFBE">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DB1F7DE">
      <w:pPr>
        <w:jc w:val="center"/>
        <w:rPr>
          <w:rFonts w:ascii="宋体" w:hAnsi="宋体" w:cs="宋体"/>
          <w:b/>
          <w:color w:val="auto"/>
          <w:kern w:val="0"/>
          <w:sz w:val="32"/>
          <w:szCs w:val="32"/>
          <w:highlight w:val="none"/>
        </w:rPr>
      </w:pPr>
    </w:p>
    <w:p w14:paraId="19603665">
      <w:pPr>
        <w:jc w:val="center"/>
        <w:rPr>
          <w:rFonts w:ascii="宋体" w:hAnsi="宋体" w:cs="宋体"/>
          <w:b/>
          <w:color w:val="auto"/>
          <w:kern w:val="0"/>
          <w:sz w:val="32"/>
          <w:szCs w:val="32"/>
          <w:highlight w:val="none"/>
        </w:rPr>
      </w:pPr>
    </w:p>
    <w:p w14:paraId="53FCD8AB">
      <w:pPr>
        <w:jc w:val="center"/>
        <w:rPr>
          <w:rFonts w:ascii="宋体" w:hAnsi="宋体" w:cs="宋体"/>
          <w:b/>
          <w:color w:val="auto"/>
          <w:kern w:val="0"/>
          <w:sz w:val="32"/>
          <w:szCs w:val="32"/>
          <w:highlight w:val="none"/>
        </w:rPr>
      </w:pPr>
    </w:p>
    <w:p w14:paraId="54B2CD93">
      <w:pPr>
        <w:jc w:val="center"/>
        <w:rPr>
          <w:rFonts w:ascii="宋体" w:hAnsi="宋体" w:cs="宋体"/>
          <w:b/>
          <w:color w:val="auto"/>
          <w:kern w:val="0"/>
          <w:sz w:val="32"/>
          <w:szCs w:val="32"/>
          <w:highlight w:val="none"/>
        </w:rPr>
      </w:pPr>
    </w:p>
    <w:p w14:paraId="30E3D113">
      <w:pPr>
        <w:jc w:val="center"/>
        <w:rPr>
          <w:rFonts w:ascii="宋体" w:hAnsi="宋体" w:cs="宋体"/>
          <w:b/>
          <w:color w:val="auto"/>
          <w:kern w:val="0"/>
          <w:sz w:val="32"/>
          <w:szCs w:val="32"/>
          <w:highlight w:val="none"/>
        </w:rPr>
      </w:pPr>
    </w:p>
    <w:p w14:paraId="63870CF8">
      <w:pPr>
        <w:jc w:val="center"/>
        <w:rPr>
          <w:rFonts w:ascii="宋体" w:hAnsi="宋体" w:cs="宋体"/>
          <w:b/>
          <w:color w:val="auto"/>
          <w:kern w:val="0"/>
          <w:sz w:val="32"/>
          <w:szCs w:val="32"/>
          <w:highlight w:val="none"/>
        </w:rPr>
      </w:pPr>
    </w:p>
    <w:p w14:paraId="40384B57">
      <w:pPr>
        <w:jc w:val="center"/>
        <w:rPr>
          <w:rFonts w:ascii="宋体" w:hAnsi="宋体" w:cs="宋体"/>
          <w:b/>
          <w:color w:val="auto"/>
          <w:kern w:val="0"/>
          <w:sz w:val="32"/>
          <w:szCs w:val="32"/>
          <w:highlight w:val="none"/>
        </w:rPr>
      </w:pPr>
    </w:p>
    <w:p w14:paraId="5F31A3B2">
      <w:pPr>
        <w:jc w:val="center"/>
        <w:rPr>
          <w:rFonts w:ascii="宋体" w:hAnsi="宋体" w:cs="宋体"/>
          <w:b/>
          <w:color w:val="auto"/>
          <w:kern w:val="0"/>
          <w:sz w:val="32"/>
          <w:szCs w:val="32"/>
          <w:highlight w:val="none"/>
        </w:rPr>
      </w:pPr>
    </w:p>
    <w:p w14:paraId="59C33284">
      <w:pPr>
        <w:jc w:val="center"/>
        <w:rPr>
          <w:rFonts w:ascii="宋体" w:hAnsi="宋体" w:cs="宋体"/>
          <w:b/>
          <w:color w:val="auto"/>
          <w:kern w:val="0"/>
          <w:sz w:val="32"/>
          <w:szCs w:val="32"/>
          <w:highlight w:val="none"/>
        </w:rPr>
      </w:pPr>
    </w:p>
    <w:p w14:paraId="61CB512C">
      <w:pPr>
        <w:jc w:val="center"/>
        <w:rPr>
          <w:rFonts w:ascii="宋体" w:hAnsi="宋体" w:cs="宋体"/>
          <w:b/>
          <w:color w:val="auto"/>
          <w:kern w:val="0"/>
          <w:sz w:val="32"/>
          <w:szCs w:val="32"/>
          <w:highlight w:val="none"/>
        </w:rPr>
      </w:pPr>
    </w:p>
    <w:p w14:paraId="500EC200">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3D26EFF">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E8F064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中标后以分包方式履行合同的，提供分包意向协议；采购人不同意分包或者供应商中标后不以分包方式履行合同的，则不需要提供。</w:t>
      </w:r>
      <w:r>
        <w:rPr>
          <w:rFonts w:hint="eastAsia" w:ascii="宋体" w:hAnsi="宋体" w:cs="宋体"/>
          <w:color w:val="auto"/>
          <w:sz w:val="24"/>
          <w:highlight w:val="none"/>
        </w:rPr>
        <w:t>]</w:t>
      </w:r>
    </w:p>
    <w:p w14:paraId="7DFFB223">
      <w:pPr>
        <w:snapToGrid w:val="0"/>
        <w:spacing w:line="360" w:lineRule="auto"/>
        <w:rPr>
          <w:rFonts w:ascii="宋体" w:hAnsi="宋体" w:cs="宋体"/>
          <w:color w:val="auto"/>
          <w:kern w:val="0"/>
          <w:sz w:val="24"/>
          <w:highlight w:val="none"/>
        </w:rPr>
      </w:pPr>
    </w:p>
    <w:p w14:paraId="09332CE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31D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B93104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DDCDE6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90E697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6A9E12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822126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2546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DFD807">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C272D77">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AF1181F">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1EA19137">
            <w:pPr>
              <w:rPr>
                <w:rFonts w:ascii="宋体" w:hAnsi="宋体" w:cs="宋体"/>
                <w:color w:val="auto"/>
                <w:sz w:val="24"/>
                <w:highlight w:val="none"/>
              </w:rPr>
            </w:pPr>
          </w:p>
          <w:p w14:paraId="4BAD7E41">
            <w:pPr>
              <w:rPr>
                <w:rFonts w:ascii="宋体" w:hAnsi="宋体" w:cs="宋体"/>
                <w:color w:val="auto"/>
                <w:sz w:val="24"/>
                <w:highlight w:val="none"/>
              </w:rPr>
            </w:pPr>
            <w:r>
              <w:rPr>
                <w:rFonts w:hint="eastAsia" w:ascii="宋体" w:hAnsi="宋体" w:cs="宋体"/>
                <w:color w:val="auto"/>
                <w:sz w:val="24"/>
                <w:highlight w:val="none"/>
              </w:rPr>
              <w:t>见投标文件</w:t>
            </w:r>
          </w:p>
          <w:p w14:paraId="5EC6DB73">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A10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AB63CE">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121E7C12">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48C0072">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EFDC654">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05F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A1BEBC4">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0DA347D2">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投标文件满足招标文件的其他实质性要求。</w:t>
            </w:r>
          </w:p>
        </w:tc>
        <w:tc>
          <w:tcPr>
            <w:tcW w:w="2551" w:type="dxa"/>
            <w:vAlign w:val="center"/>
          </w:tcPr>
          <w:p w14:paraId="3657745B">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系指实质性要求条款，招标文件无其他实质性要求的，无需提供）</w:t>
            </w:r>
          </w:p>
        </w:tc>
        <w:tc>
          <w:tcPr>
            <w:tcW w:w="1418" w:type="dxa"/>
          </w:tcPr>
          <w:p w14:paraId="4C7544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19EE88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1D0FDB0">
      <w:pPr>
        <w:jc w:val="center"/>
        <w:rPr>
          <w:rFonts w:ascii="宋体" w:hAnsi="宋体" w:cs="宋体"/>
          <w:b/>
          <w:color w:val="auto"/>
          <w:kern w:val="0"/>
          <w:sz w:val="32"/>
          <w:szCs w:val="32"/>
          <w:highlight w:val="none"/>
        </w:rPr>
      </w:pPr>
    </w:p>
    <w:p w14:paraId="12B4D229">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619AF2C">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FBAF2BE">
      <w:pPr>
        <w:jc w:val="center"/>
        <w:rPr>
          <w:rFonts w:ascii="宋体" w:hAnsi="宋体" w:cs="宋体"/>
          <w:b/>
          <w:color w:val="auto"/>
          <w:kern w:val="0"/>
          <w:sz w:val="32"/>
          <w:szCs w:val="32"/>
          <w:highlight w:val="none"/>
        </w:rPr>
      </w:pPr>
    </w:p>
    <w:p w14:paraId="0AED435C">
      <w:pPr>
        <w:jc w:val="center"/>
        <w:rPr>
          <w:rFonts w:ascii="宋体" w:hAnsi="宋体" w:cs="宋体"/>
          <w:b/>
          <w:color w:val="auto"/>
          <w:kern w:val="0"/>
          <w:sz w:val="32"/>
          <w:szCs w:val="32"/>
          <w:highlight w:val="none"/>
        </w:rPr>
      </w:pPr>
    </w:p>
    <w:p w14:paraId="44282418">
      <w:pPr>
        <w:jc w:val="center"/>
        <w:rPr>
          <w:rFonts w:ascii="宋体" w:hAnsi="宋体" w:cs="宋体"/>
          <w:b/>
          <w:color w:val="auto"/>
          <w:kern w:val="0"/>
          <w:sz w:val="32"/>
          <w:szCs w:val="32"/>
          <w:highlight w:val="none"/>
        </w:rPr>
      </w:pPr>
    </w:p>
    <w:p w14:paraId="1824E29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838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0C83E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B441510">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6F63621">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5F6E4FC">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E68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FEC037">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CC8985C">
            <w:pPr>
              <w:jc w:val="center"/>
              <w:rPr>
                <w:rFonts w:ascii="宋体" w:hAnsi="宋体" w:cs="宋体"/>
                <w:b/>
                <w:color w:val="auto"/>
                <w:kern w:val="0"/>
                <w:sz w:val="32"/>
                <w:szCs w:val="32"/>
                <w:highlight w:val="none"/>
              </w:rPr>
            </w:pPr>
          </w:p>
        </w:tc>
        <w:tc>
          <w:tcPr>
            <w:tcW w:w="3546" w:type="dxa"/>
          </w:tcPr>
          <w:p w14:paraId="04F82524">
            <w:pPr>
              <w:jc w:val="center"/>
              <w:rPr>
                <w:rFonts w:ascii="宋体" w:hAnsi="宋体" w:cs="宋体"/>
                <w:b/>
                <w:color w:val="auto"/>
                <w:kern w:val="0"/>
                <w:sz w:val="32"/>
                <w:szCs w:val="32"/>
                <w:highlight w:val="none"/>
              </w:rPr>
            </w:pPr>
          </w:p>
        </w:tc>
        <w:tc>
          <w:tcPr>
            <w:tcW w:w="1276" w:type="dxa"/>
          </w:tcPr>
          <w:p w14:paraId="350C4DCF">
            <w:pPr>
              <w:jc w:val="center"/>
              <w:rPr>
                <w:rFonts w:ascii="宋体" w:hAnsi="宋体" w:cs="宋体"/>
                <w:b/>
                <w:color w:val="auto"/>
                <w:kern w:val="0"/>
                <w:sz w:val="32"/>
                <w:szCs w:val="32"/>
                <w:highlight w:val="none"/>
              </w:rPr>
            </w:pPr>
          </w:p>
        </w:tc>
      </w:tr>
      <w:tr w14:paraId="17595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10766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2C3B3ED">
            <w:pPr>
              <w:jc w:val="center"/>
              <w:rPr>
                <w:rFonts w:ascii="宋体" w:hAnsi="宋体" w:cs="宋体"/>
                <w:b/>
                <w:color w:val="auto"/>
                <w:kern w:val="0"/>
                <w:sz w:val="32"/>
                <w:szCs w:val="32"/>
                <w:highlight w:val="none"/>
              </w:rPr>
            </w:pPr>
          </w:p>
        </w:tc>
        <w:tc>
          <w:tcPr>
            <w:tcW w:w="3546" w:type="dxa"/>
          </w:tcPr>
          <w:p w14:paraId="6DD7E0D8">
            <w:pPr>
              <w:jc w:val="center"/>
              <w:rPr>
                <w:rFonts w:ascii="宋体" w:hAnsi="宋体" w:cs="宋体"/>
                <w:b/>
                <w:color w:val="auto"/>
                <w:kern w:val="0"/>
                <w:sz w:val="32"/>
                <w:szCs w:val="32"/>
                <w:highlight w:val="none"/>
              </w:rPr>
            </w:pPr>
          </w:p>
        </w:tc>
        <w:tc>
          <w:tcPr>
            <w:tcW w:w="1276" w:type="dxa"/>
          </w:tcPr>
          <w:p w14:paraId="51590178">
            <w:pPr>
              <w:jc w:val="center"/>
              <w:rPr>
                <w:rFonts w:ascii="宋体" w:hAnsi="宋体" w:cs="宋体"/>
                <w:b/>
                <w:color w:val="auto"/>
                <w:kern w:val="0"/>
                <w:sz w:val="32"/>
                <w:szCs w:val="32"/>
                <w:highlight w:val="none"/>
              </w:rPr>
            </w:pPr>
          </w:p>
        </w:tc>
      </w:tr>
      <w:tr w14:paraId="2465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19AAA0">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D6E6650">
            <w:pPr>
              <w:jc w:val="center"/>
              <w:rPr>
                <w:rFonts w:ascii="宋体" w:hAnsi="宋体" w:cs="宋体"/>
                <w:b/>
                <w:color w:val="auto"/>
                <w:kern w:val="0"/>
                <w:sz w:val="32"/>
                <w:szCs w:val="32"/>
                <w:highlight w:val="none"/>
              </w:rPr>
            </w:pPr>
          </w:p>
        </w:tc>
        <w:tc>
          <w:tcPr>
            <w:tcW w:w="3546" w:type="dxa"/>
          </w:tcPr>
          <w:p w14:paraId="785352E8">
            <w:pPr>
              <w:jc w:val="center"/>
              <w:rPr>
                <w:rFonts w:ascii="宋体" w:hAnsi="宋体" w:cs="宋体"/>
                <w:b/>
                <w:color w:val="auto"/>
                <w:kern w:val="0"/>
                <w:sz w:val="32"/>
                <w:szCs w:val="32"/>
                <w:highlight w:val="none"/>
              </w:rPr>
            </w:pPr>
          </w:p>
        </w:tc>
        <w:tc>
          <w:tcPr>
            <w:tcW w:w="1276" w:type="dxa"/>
          </w:tcPr>
          <w:p w14:paraId="02326BD1">
            <w:pPr>
              <w:jc w:val="center"/>
              <w:rPr>
                <w:rFonts w:ascii="宋体" w:hAnsi="宋体" w:cs="宋体"/>
                <w:b/>
                <w:color w:val="auto"/>
                <w:kern w:val="0"/>
                <w:sz w:val="32"/>
                <w:szCs w:val="32"/>
                <w:highlight w:val="none"/>
              </w:rPr>
            </w:pPr>
          </w:p>
        </w:tc>
      </w:tr>
    </w:tbl>
    <w:p w14:paraId="160304EA">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供应商保证：除商务技术偏离表列出的偏离外，供应商响应招标文件的全部要求</w:t>
      </w:r>
    </w:p>
    <w:p w14:paraId="01E93CAB">
      <w:pPr>
        <w:jc w:val="center"/>
        <w:rPr>
          <w:rFonts w:ascii="宋体" w:hAnsi="宋体" w:cs="宋体"/>
          <w:b/>
          <w:color w:val="auto"/>
          <w:kern w:val="0"/>
          <w:sz w:val="32"/>
          <w:szCs w:val="32"/>
          <w:highlight w:val="none"/>
        </w:rPr>
      </w:pPr>
    </w:p>
    <w:p w14:paraId="73425B54">
      <w:pPr>
        <w:spacing w:line="360" w:lineRule="auto"/>
        <w:ind w:right="420"/>
        <w:rPr>
          <w:rFonts w:ascii="宋体" w:hAnsi="宋体" w:cs="宋体"/>
          <w:b/>
          <w:bCs/>
          <w:color w:val="auto"/>
          <w:sz w:val="32"/>
          <w:szCs w:val="32"/>
          <w:highlight w:val="none"/>
        </w:rPr>
      </w:pPr>
      <w:r>
        <w:rPr>
          <w:rFonts w:hint="eastAsia" w:ascii="宋体" w:hAnsi="宋体" w:cs="宋体"/>
          <w:color w:val="auto"/>
          <w:sz w:val="24"/>
          <w:highlight w:val="none"/>
        </w:rPr>
        <w:t>注：按本格式和要求提供。</w:t>
      </w:r>
    </w:p>
    <w:p w14:paraId="6EAA3C9F">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5638742">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166B7261">
      <w:pPr>
        <w:snapToGrid w:val="0"/>
        <w:spacing w:line="360" w:lineRule="auto"/>
        <w:rPr>
          <w:rFonts w:ascii="宋体" w:hAnsi="宋体" w:cs="宋体"/>
          <w:color w:val="auto"/>
          <w:sz w:val="24"/>
          <w:highlight w:val="none"/>
        </w:rPr>
      </w:pPr>
    </w:p>
    <w:p w14:paraId="736D2D0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宁波市江北区慈城镇中心卫生院、宁波中基国际招标有限公司</w:t>
      </w:r>
      <w:r>
        <w:rPr>
          <w:rFonts w:hint="eastAsia" w:ascii="宋体" w:hAnsi="宋体" w:cs="宋体"/>
          <w:color w:val="auto"/>
          <w:kern w:val="0"/>
          <w:sz w:val="24"/>
          <w:highlight w:val="none"/>
          <w:lang w:val="zh-CN"/>
        </w:rPr>
        <w:t>：</w:t>
      </w:r>
    </w:p>
    <w:p w14:paraId="68C993F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BA557F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2BC966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30DC93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F0EEDE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416AEC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74E053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892F27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AF6BC6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9B547E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rPr>
        <w:t>区</w:t>
      </w:r>
      <w:r>
        <w:rPr>
          <w:rFonts w:hint="eastAsia" w:ascii="宋体" w:hAnsi="宋体" w:cs="宋体"/>
          <w:color w:val="auto"/>
          <w:kern w:val="0"/>
          <w:sz w:val="24"/>
          <w:highlight w:val="none"/>
          <w:lang w:val="zh-CN"/>
        </w:rPr>
        <w:t>财政局。由此引起的相应损失均由我单位承担。</w:t>
      </w:r>
    </w:p>
    <w:p w14:paraId="21C63B77">
      <w:pPr>
        <w:autoSpaceDE w:val="0"/>
        <w:autoSpaceDN w:val="0"/>
        <w:spacing w:line="360" w:lineRule="auto"/>
        <w:ind w:left="2"/>
        <w:jc w:val="left"/>
        <w:rPr>
          <w:rFonts w:ascii="宋体" w:hAnsi="宋体" w:cs="宋体"/>
          <w:color w:val="auto"/>
          <w:kern w:val="0"/>
          <w:sz w:val="24"/>
          <w:highlight w:val="none"/>
          <w:lang w:val="zh-CN"/>
        </w:rPr>
      </w:pPr>
    </w:p>
    <w:p w14:paraId="77803197">
      <w:pPr>
        <w:autoSpaceDE w:val="0"/>
        <w:autoSpaceDN w:val="0"/>
        <w:spacing w:line="360" w:lineRule="auto"/>
        <w:ind w:left="2"/>
        <w:jc w:val="left"/>
        <w:rPr>
          <w:rFonts w:ascii="宋体" w:hAnsi="宋体" w:cs="宋体"/>
          <w:color w:val="auto"/>
          <w:kern w:val="0"/>
          <w:sz w:val="24"/>
          <w:highlight w:val="none"/>
          <w:lang w:val="zh-CN"/>
        </w:rPr>
      </w:pPr>
    </w:p>
    <w:p w14:paraId="3D4CC873">
      <w:pPr>
        <w:autoSpaceDE w:val="0"/>
        <w:autoSpaceDN w:val="0"/>
        <w:spacing w:line="360" w:lineRule="auto"/>
        <w:ind w:left="2"/>
        <w:jc w:val="left"/>
        <w:rPr>
          <w:rFonts w:ascii="宋体" w:hAnsi="宋体" w:cs="宋体"/>
          <w:color w:val="auto"/>
          <w:kern w:val="0"/>
          <w:sz w:val="24"/>
          <w:highlight w:val="none"/>
          <w:lang w:val="zh-CN"/>
        </w:rPr>
      </w:pPr>
    </w:p>
    <w:p w14:paraId="57DC1C42">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7F8CB987">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77BD7BC">
      <w:pPr>
        <w:spacing w:line="360" w:lineRule="auto"/>
        <w:jc w:val="center"/>
        <w:rPr>
          <w:rFonts w:ascii="宋体" w:hAnsi="宋体" w:cs="宋体"/>
          <w:b/>
          <w:bCs/>
          <w:color w:val="auto"/>
          <w:sz w:val="24"/>
          <w:highlight w:val="none"/>
        </w:rPr>
      </w:pPr>
    </w:p>
    <w:p w14:paraId="176D8FA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5C6800D">
      <w:pPr>
        <w:spacing w:line="360" w:lineRule="auto"/>
        <w:jc w:val="center"/>
        <w:rPr>
          <w:rFonts w:ascii="宋体" w:hAnsi="宋体" w:cs="宋体"/>
          <w:b/>
          <w:bCs/>
          <w:color w:val="auto"/>
          <w:sz w:val="24"/>
          <w:highlight w:val="none"/>
        </w:rPr>
      </w:pPr>
    </w:p>
    <w:p w14:paraId="647D3E2E">
      <w:pPr>
        <w:pStyle w:val="5"/>
        <w:rPr>
          <w:color w:val="auto"/>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C434BBE">
      <w:pPr>
        <w:jc w:val="center"/>
        <w:rPr>
          <w:rFonts w:ascii="宋体" w:hAnsi="宋体" w:cs="宋体"/>
          <w:b/>
          <w:color w:val="auto"/>
          <w:kern w:val="0"/>
          <w:sz w:val="32"/>
          <w:szCs w:val="32"/>
          <w:highlight w:val="none"/>
        </w:rPr>
      </w:pPr>
    </w:p>
    <w:p w14:paraId="52888F23">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A7369A">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7507E3C">
      <w:pPr>
        <w:spacing w:line="360" w:lineRule="auto"/>
        <w:jc w:val="center"/>
        <w:rPr>
          <w:rFonts w:ascii="宋体" w:hAnsi="宋体" w:cs="宋体"/>
          <w:b/>
          <w:color w:val="auto"/>
          <w:kern w:val="0"/>
          <w:sz w:val="36"/>
          <w:szCs w:val="36"/>
          <w:highlight w:val="none"/>
        </w:rPr>
      </w:pPr>
    </w:p>
    <w:p w14:paraId="1F46817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7D4094D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434FB37C">
      <w:pPr>
        <w:pStyle w:val="24"/>
        <w:rPr>
          <w:color w:val="auto"/>
          <w:highlight w:val="none"/>
        </w:rPr>
      </w:pPr>
    </w:p>
    <w:p w14:paraId="24521661">
      <w:pPr>
        <w:snapToGrid w:val="0"/>
        <w:spacing w:line="360" w:lineRule="auto"/>
        <w:ind w:right="480"/>
        <w:jc w:val="center"/>
        <w:rPr>
          <w:rFonts w:ascii="宋体" w:hAnsi="宋体" w:cs="宋体"/>
          <w:b/>
          <w:color w:val="auto"/>
          <w:kern w:val="0"/>
          <w:sz w:val="32"/>
          <w:szCs w:val="32"/>
          <w:highlight w:val="none"/>
        </w:rPr>
      </w:pPr>
    </w:p>
    <w:p w14:paraId="2DE2F0CC">
      <w:pPr>
        <w:snapToGrid w:val="0"/>
        <w:spacing w:line="360" w:lineRule="auto"/>
        <w:ind w:right="480"/>
        <w:jc w:val="center"/>
        <w:rPr>
          <w:rFonts w:ascii="宋体" w:hAnsi="宋体" w:cs="宋体"/>
          <w:b/>
          <w:color w:val="auto"/>
          <w:kern w:val="0"/>
          <w:sz w:val="32"/>
          <w:szCs w:val="32"/>
          <w:highlight w:val="none"/>
        </w:rPr>
      </w:pPr>
    </w:p>
    <w:p w14:paraId="36913D06">
      <w:pPr>
        <w:snapToGrid w:val="0"/>
        <w:spacing w:line="360" w:lineRule="auto"/>
        <w:ind w:right="480"/>
        <w:jc w:val="center"/>
        <w:rPr>
          <w:rFonts w:ascii="宋体" w:hAnsi="宋体" w:cs="宋体"/>
          <w:b/>
          <w:color w:val="auto"/>
          <w:kern w:val="0"/>
          <w:sz w:val="32"/>
          <w:szCs w:val="32"/>
          <w:highlight w:val="none"/>
        </w:rPr>
      </w:pPr>
    </w:p>
    <w:p w14:paraId="631FC67E">
      <w:pPr>
        <w:snapToGrid w:val="0"/>
        <w:spacing w:line="360" w:lineRule="auto"/>
        <w:ind w:right="480"/>
        <w:jc w:val="center"/>
        <w:rPr>
          <w:rFonts w:ascii="宋体" w:hAnsi="宋体" w:cs="宋体"/>
          <w:b/>
          <w:color w:val="auto"/>
          <w:kern w:val="0"/>
          <w:sz w:val="32"/>
          <w:szCs w:val="32"/>
          <w:highlight w:val="none"/>
        </w:rPr>
      </w:pPr>
    </w:p>
    <w:p w14:paraId="6598C712">
      <w:pPr>
        <w:snapToGrid w:val="0"/>
        <w:spacing w:line="360" w:lineRule="auto"/>
        <w:ind w:right="480"/>
        <w:jc w:val="center"/>
        <w:rPr>
          <w:rFonts w:ascii="宋体" w:hAnsi="宋体" w:cs="宋体"/>
          <w:b/>
          <w:color w:val="auto"/>
          <w:kern w:val="0"/>
          <w:sz w:val="32"/>
          <w:szCs w:val="32"/>
          <w:highlight w:val="none"/>
        </w:rPr>
      </w:pPr>
    </w:p>
    <w:p w14:paraId="26CFC120">
      <w:pPr>
        <w:snapToGrid w:val="0"/>
        <w:spacing w:line="360" w:lineRule="auto"/>
        <w:ind w:right="480"/>
        <w:jc w:val="center"/>
        <w:rPr>
          <w:rFonts w:ascii="宋体" w:hAnsi="宋体" w:cs="宋体"/>
          <w:b/>
          <w:color w:val="auto"/>
          <w:kern w:val="0"/>
          <w:sz w:val="32"/>
          <w:szCs w:val="32"/>
          <w:highlight w:val="none"/>
        </w:rPr>
      </w:pPr>
    </w:p>
    <w:p w14:paraId="735F4D2C">
      <w:pPr>
        <w:snapToGrid w:val="0"/>
        <w:spacing w:line="360" w:lineRule="auto"/>
        <w:ind w:right="480"/>
        <w:jc w:val="center"/>
        <w:rPr>
          <w:rFonts w:ascii="宋体" w:hAnsi="宋体" w:cs="宋体"/>
          <w:b/>
          <w:color w:val="auto"/>
          <w:kern w:val="0"/>
          <w:sz w:val="32"/>
          <w:szCs w:val="32"/>
          <w:highlight w:val="none"/>
        </w:rPr>
      </w:pPr>
    </w:p>
    <w:p w14:paraId="0D9026FF">
      <w:pPr>
        <w:snapToGrid w:val="0"/>
        <w:spacing w:line="360" w:lineRule="auto"/>
        <w:ind w:right="480"/>
        <w:jc w:val="center"/>
        <w:rPr>
          <w:rFonts w:ascii="宋体" w:hAnsi="宋体" w:cs="宋体"/>
          <w:b/>
          <w:color w:val="auto"/>
          <w:kern w:val="0"/>
          <w:sz w:val="32"/>
          <w:szCs w:val="32"/>
          <w:highlight w:val="none"/>
        </w:rPr>
      </w:pPr>
    </w:p>
    <w:p w14:paraId="722FA06B">
      <w:pPr>
        <w:snapToGrid w:val="0"/>
        <w:spacing w:line="360" w:lineRule="auto"/>
        <w:ind w:right="480"/>
        <w:jc w:val="center"/>
        <w:rPr>
          <w:rFonts w:ascii="宋体" w:hAnsi="宋体" w:cs="宋体"/>
          <w:b/>
          <w:color w:val="auto"/>
          <w:kern w:val="0"/>
          <w:sz w:val="32"/>
          <w:szCs w:val="32"/>
          <w:highlight w:val="none"/>
        </w:rPr>
      </w:pPr>
    </w:p>
    <w:p w14:paraId="7B5DE8B7">
      <w:pPr>
        <w:snapToGrid w:val="0"/>
        <w:spacing w:line="360" w:lineRule="auto"/>
        <w:ind w:right="480"/>
        <w:jc w:val="center"/>
        <w:rPr>
          <w:rFonts w:ascii="宋体" w:hAnsi="宋体" w:cs="宋体"/>
          <w:b/>
          <w:color w:val="auto"/>
          <w:kern w:val="0"/>
          <w:sz w:val="32"/>
          <w:szCs w:val="32"/>
          <w:highlight w:val="none"/>
        </w:rPr>
      </w:pPr>
    </w:p>
    <w:p w14:paraId="731D4A6D">
      <w:pPr>
        <w:snapToGrid w:val="0"/>
        <w:spacing w:line="360" w:lineRule="auto"/>
        <w:ind w:right="480"/>
        <w:jc w:val="center"/>
        <w:rPr>
          <w:rFonts w:ascii="宋体" w:hAnsi="宋体" w:cs="宋体"/>
          <w:b/>
          <w:color w:val="auto"/>
          <w:kern w:val="0"/>
          <w:sz w:val="32"/>
          <w:szCs w:val="32"/>
          <w:highlight w:val="none"/>
        </w:rPr>
      </w:pPr>
    </w:p>
    <w:p w14:paraId="22A7A3F3">
      <w:pPr>
        <w:snapToGrid w:val="0"/>
        <w:spacing w:line="360" w:lineRule="auto"/>
        <w:ind w:right="480"/>
        <w:jc w:val="center"/>
        <w:rPr>
          <w:rFonts w:ascii="宋体" w:hAnsi="宋体" w:cs="宋体"/>
          <w:b/>
          <w:color w:val="auto"/>
          <w:kern w:val="0"/>
          <w:sz w:val="32"/>
          <w:szCs w:val="32"/>
          <w:highlight w:val="none"/>
        </w:rPr>
      </w:pPr>
    </w:p>
    <w:p w14:paraId="4C76B5E3">
      <w:pPr>
        <w:snapToGrid w:val="0"/>
        <w:spacing w:line="360" w:lineRule="auto"/>
        <w:ind w:right="480"/>
        <w:jc w:val="center"/>
        <w:rPr>
          <w:rFonts w:ascii="宋体" w:hAnsi="宋体" w:cs="宋体"/>
          <w:b/>
          <w:color w:val="auto"/>
          <w:kern w:val="0"/>
          <w:sz w:val="32"/>
          <w:szCs w:val="32"/>
          <w:highlight w:val="none"/>
        </w:rPr>
      </w:pPr>
    </w:p>
    <w:p w14:paraId="512EA129">
      <w:pPr>
        <w:snapToGrid w:val="0"/>
        <w:spacing w:line="360" w:lineRule="auto"/>
        <w:ind w:right="480"/>
        <w:jc w:val="center"/>
        <w:rPr>
          <w:rFonts w:ascii="宋体" w:hAnsi="宋体" w:cs="宋体"/>
          <w:b/>
          <w:color w:val="auto"/>
          <w:kern w:val="0"/>
          <w:sz w:val="32"/>
          <w:szCs w:val="32"/>
          <w:highlight w:val="none"/>
        </w:rPr>
      </w:pPr>
    </w:p>
    <w:p w14:paraId="537E57FB">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F6A18B5">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bookmarkStart w:id="405" w:name="_Toc814"/>
      <w:r>
        <w:rPr>
          <w:rFonts w:hint="eastAsia" w:ascii="宋体" w:hAnsi="宋体" w:eastAsia="宋体" w:cs="宋体"/>
          <w:color w:val="auto"/>
          <w:kern w:val="2"/>
          <w:sz w:val="32"/>
          <w:szCs w:val="32"/>
          <w:highlight w:val="none"/>
        </w:rPr>
        <w:t>一、开标一览表（报价表）</w:t>
      </w:r>
      <w:bookmarkEnd w:id="405"/>
    </w:p>
    <w:p w14:paraId="053F0A0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宁波市江北区慈城镇中心卫生院、宁波中基国际招标有限公司</w:t>
      </w:r>
      <w:r>
        <w:rPr>
          <w:rFonts w:hint="eastAsia" w:ascii="宋体" w:hAnsi="宋体" w:cs="宋体"/>
          <w:color w:val="auto"/>
          <w:kern w:val="0"/>
          <w:sz w:val="24"/>
          <w:highlight w:val="none"/>
          <w:lang w:val="zh-CN"/>
        </w:rPr>
        <w:t>：</w:t>
      </w:r>
    </w:p>
    <w:p w14:paraId="3ED7457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宁波市江北区外送检测服务项目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CBNB-20246440G 】的实施</w:t>
      </w:r>
      <w:r>
        <w:rPr>
          <w:rFonts w:hint="eastAsia" w:ascii="宋体" w:hAnsi="宋体" w:cs="宋体"/>
          <w:color w:val="auto"/>
          <w:kern w:val="0"/>
          <w:sz w:val="24"/>
          <w:highlight w:val="none"/>
          <w:lang w:val="zh-CN"/>
        </w:rPr>
        <w:t>。</w:t>
      </w:r>
    </w:p>
    <w:p w14:paraId="42A878B9">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3150"/>
        <w:gridCol w:w="4876"/>
      </w:tblGrid>
      <w:tr w14:paraId="4344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32" w:type="dxa"/>
            <w:vAlign w:val="center"/>
          </w:tcPr>
          <w:p w14:paraId="1CB68FCD">
            <w:pPr>
              <w:adjustRightInd/>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50" w:type="dxa"/>
            <w:vAlign w:val="center"/>
          </w:tcPr>
          <w:p w14:paraId="1664C872">
            <w:pPr>
              <w:adjustRightInd/>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采购内容</w:t>
            </w:r>
          </w:p>
        </w:tc>
        <w:tc>
          <w:tcPr>
            <w:tcW w:w="4876" w:type="dxa"/>
            <w:vAlign w:val="center"/>
          </w:tcPr>
          <w:p w14:paraId="019F9F51">
            <w:pPr>
              <w:adjustRightInd/>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合同履约期限</w:t>
            </w:r>
          </w:p>
        </w:tc>
      </w:tr>
      <w:tr w14:paraId="0031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532" w:type="dxa"/>
            <w:vAlign w:val="center"/>
          </w:tcPr>
          <w:p w14:paraId="51574BCE">
            <w:pPr>
              <w:adjustRightInd/>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150" w:type="dxa"/>
            <w:vAlign w:val="center"/>
          </w:tcPr>
          <w:p w14:paraId="0E3DE19F">
            <w:pPr>
              <w:adjustRightInd/>
              <w:snapToGrid w:val="0"/>
              <w:spacing w:line="360" w:lineRule="auto"/>
              <w:jc w:val="center"/>
              <w:rPr>
                <w:rFonts w:ascii="宋体" w:hAnsi="宋体" w:cs="宋体"/>
                <w:color w:val="auto"/>
                <w:sz w:val="24"/>
                <w:highlight w:val="none"/>
              </w:rPr>
            </w:pPr>
          </w:p>
        </w:tc>
        <w:tc>
          <w:tcPr>
            <w:tcW w:w="4876" w:type="dxa"/>
            <w:vAlign w:val="center"/>
          </w:tcPr>
          <w:p w14:paraId="5BCC91AC">
            <w:pPr>
              <w:adjustRightInd/>
              <w:snapToGrid w:val="0"/>
              <w:spacing w:line="360" w:lineRule="auto"/>
              <w:jc w:val="center"/>
              <w:rPr>
                <w:rFonts w:ascii="宋体" w:hAnsi="宋体" w:cs="宋体"/>
                <w:color w:val="auto"/>
                <w:sz w:val="24"/>
                <w:highlight w:val="none"/>
              </w:rPr>
            </w:pPr>
          </w:p>
        </w:tc>
      </w:tr>
      <w:tr w14:paraId="27E9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682" w:type="dxa"/>
            <w:gridSpan w:val="2"/>
            <w:vAlign w:val="center"/>
          </w:tcPr>
          <w:p w14:paraId="0AD503E4">
            <w:pPr>
              <w:adjustRightInd/>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常规检验项目</w:t>
            </w:r>
          </w:p>
        </w:tc>
        <w:tc>
          <w:tcPr>
            <w:tcW w:w="4876" w:type="dxa"/>
            <w:vAlign w:val="center"/>
          </w:tcPr>
          <w:p w14:paraId="2A35EC4E">
            <w:pPr>
              <w:adjustRightInd/>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26AB421">
            <w:pPr>
              <w:adjustRightInd/>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大写：百分之</w:t>
            </w:r>
            <w:r>
              <w:rPr>
                <w:rFonts w:hint="eastAsia" w:ascii="宋体" w:hAnsi="宋体" w:cs="宋体"/>
                <w:color w:val="auto"/>
                <w:sz w:val="24"/>
                <w:highlight w:val="none"/>
                <w:u w:val="single"/>
              </w:rPr>
              <w:t xml:space="preserve">    </w:t>
            </w:r>
          </w:p>
        </w:tc>
      </w:tr>
      <w:tr w14:paraId="0F03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682" w:type="dxa"/>
            <w:gridSpan w:val="2"/>
            <w:vAlign w:val="center"/>
          </w:tcPr>
          <w:p w14:paraId="04B09F6B">
            <w:pPr>
              <w:adjustRightInd/>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特殊检验项目</w:t>
            </w:r>
          </w:p>
        </w:tc>
        <w:tc>
          <w:tcPr>
            <w:tcW w:w="4876" w:type="dxa"/>
            <w:vAlign w:val="center"/>
          </w:tcPr>
          <w:p w14:paraId="4BE63592">
            <w:pPr>
              <w:adjustRightInd/>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97DFA1F">
            <w:pPr>
              <w:adjustRightInd/>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大写：百分之</w:t>
            </w:r>
            <w:r>
              <w:rPr>
                <w:rFonts w:hint="eastAsia" w:ascii="宋体" w:hAnsi="宋体" w:cs="宋体"/>
                <w:color w:val="auto"/>
                <w:sz w:val="24"/>
                <w:highlight w:val="none"/>
                <w:u w:val="single"/>
              </w:rPr>
              <w:t xml:space="preserve">    </w:t>
            </w:r>
          </w:p>
        </w:tc>
      </w:tr>
      <w:tr w14:paraId="0F2E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682" w:type="dxa"/>
            <w:gridSpan w:val="2"/>
            <w:vAlign w:val="center"/>
          </w:tcPr>
          <w:p w14:paraId="5D625050">
            <w:pPr>
              <w:adjustRightInd/>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维生素检测项目</w:t>
            </w:r>
          </w:p>
        </w:tc>
        <w:tc>
          <w:tcPr>
            <w:tcW w:w="4876" w:type="dxa"/>
            <w:vAlign w:val="center"/>
          </w:tcPr>
          <w:p w14:paraId="297ADD77">
            <w:pPr>
              <w:adjustRightInd/>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FEAFE1C">
            <w:pPr>
              <w:adjustRightInd/>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大写：百分之</w:t>
            </w:r>
            <w:r>
              <w:rPr>
                <w:rFonts w:hint="eastAsia" w:ascii="宋体" w:hAnsi="宋体" w:cs="宋体"/>
                <w:color w:val="auto"/>
                <w:sz w:val="24"/>
                <w:highlight w:val="none"/>
                <w:u w:val="single"/>
              </w:rPr>
              <w:t xml:space="preserve">    </w:t>
            </w:r>
          </w:p>
        </w:tc>
      </w:tr>
      <w:tr w14:paraId="1932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682" w:type="dxa"/>
            <w:gridSpan w:val="2"/>
            <w:vAlign w:val="center"/>
          </w:tcPr>
          <w:p w14:paraId="46CF8F5D">
            <w:pPr>
              <w:adjustRightInd/>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病理标本诊断项目</w:t>
            </w:r>
          </w:p>
        </w:tc>
        <w:tc>
          <w:tcPr>
            <w:tcW w:w="4876" w:type="dxa"/>
            <w:vAlign w:val="center"/>
          </w:tcPr>
          <w:p w14:paraId="6159D297">
            <w:pPr>
              <w:adjustRightInd/>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9BF7383">
            <w:pPr>
              <w:adjustRightInd/>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大写：百分之</w:t>
            </w:r>
            <w:r>
              <w:rPr>
                <w:rFonts w:hint="eastAsia" w:ascii="宋体" w:hAnsi="宋体" w:cs="宋体"/>
                <w:color w:val="auto"/>
                <w:sz w:val="24"/>
                <w:highlight w:val="none"/>
                <w:u w:val="single"/>
              </w:rPr>
              <w:t xml:space="preserve">    </w:t>
            </w:r>
          </w:p>
        </w:tc>
      </w:tr>
      <w:tr w14:paraId="4986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682" w:type="dxa"/>
            <w:gridSpan w:val="2"/>
            <w:vAlign w:val="center"/>
          </w:tcPr>
          <w:p w14:paraId="5541D765">
            <w:pPr>
              <w:adjustRightInd/>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血清淀粉样蛋白A项目</w:t>
            </w:r>
          </w:p>
        </w:tc>
        <w:tc>
          <w:tcPr>
            <w:tcW w:w="4876" w:type="dxa"/>
            <w:vAlign w:val="center"/>
          </w:tcPr>
          <w:p w14:paraId="7DC0D1A7">
            <w:pPr>
              <w:adjustRightInd/>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0E5DEC2">
            <w:pPr>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大写：百分之</w:t>
            </w:r>
            <w:r>
              <w:rPr>
                <w:rFonts w:hint="eastAsia" w:ascii="宋体" w:hAnsi="宋体" w:cs="宋体"/>
                <w:color w:val="auto"/>
                <w:sz w:val="24"/>
                <w:highlight w:val="none"/>
                <w:u w:val="single"/>
              </w:rPr>
              <w:t xml:space="preserve">    </w:t>
            </w:r>
          </w:p>
        </w:tc>
      </w:tr>
      <w:tr w14:paraId="189F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532" w:type="dxa"/>
            <w:vAlign w:val="center"/>
          </w:tcPr>
          <w:p w14:paraId="2F129A92">
            <w:pPr>
              <w:adjustRightInd/>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投标声明</w:t>
            </w:r>
          </w:p>
        </w:tc>
        <w:tc>
          <w:tcPr>
            <w:tcW w:w="8026" w:type="dxa"/>
            <w:gridSpan w:val="2"/>
            <w:vAlign w:val="center"/>
          </w:tcPr>
          <w:p w14:paraId="39C0F4C7">
            <w:pPr>
              <w:adjustRightInd/>
              <w:snapToGrid w:val="0"/>
              <w:spacing w:line="360" w:lineRule="auto"/>
              <w:jc w:val="center"/>
              <w:rPr>
                <w:rFonts w:ascii="宋体" w:hAnsi="宋体" w:cs="宋体"/>
                <w:color w:val="auto"/>
                <w:sz w:val="24"/>
                <w:highlight w:val="none"/>
              </w:rPr>
            </w:pPr>
          </w:p>
        </w:tc>
      </w:tr>
    </w:tbl>
    <w:p w14:paraId="2A3F88FF">
      <w:pPr>
        <w:snapToGrid w:val="0"/>
        <w:spacing w:line="360" w:lineRule="auto"/>
        <w:ind w:left="480"/>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注</w:t>
      </w:r>
      <w:r>
        <w:rPr>
          <w:rFonts w:hint="eastAsia" w:ascii="宋体" w:hAnsi="宋体" w:cs="宋体"/>
          <w:b/>
          <w:color w:val="auto"/>
          <w:kern w:val="0"/>
          <w:sz w:val="24"/>
          <w:highlight w:val="none"/>
        </w:rPr>
        <w:t>①</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1）报价包括完成本项目服务所发生的全部费用以及供应商利润、税金及合同包含的所有风险、责任等各项应有费用。</w:t>
      </w:r>
    </w:p>
    <w:p w14:paraId="28519E2E">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2）本项目采用投标折扣系数进行报价（以“浙江省医疗服务价格”为基准，清单内所有检测项目投标折扣系数应相同。）</w:t>
      </w:r>
    </w:p>
    <w:p w14:paraId="25A52076">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3）常规检验项目最高限价：投标折扣系数最高限价为</w:t>
      </w:r>
      <w:r>
        <w:rPr>
          <w:rFonts w:hint="eastAsia" w:ascii="宋体" w:hAnsi="宋体" w:eastAsia="宋体" w:cs="宋体"/>
          <w:color w:val="auto"/>
          <w:kern w:val="0"/>
          <w:sz w:val="24"/>
          <w:highlight w:val="none"/>
          <w:lang w:val="zh-CN" w:eastAsia="zh-CN"/>
        </w:rPr>
        <w:t>18.00</w:t>
      </w:r>
      <w:r>
        <w:rPr>
          <w:rFonts w:hint="eastAsia" w:ascii="宋体" w:hAnsi="宋体" w:eastAsia="宋体" w:cs="宋体"/>
          <w:color w:val="auto"/>
          <w:kern w:val="0"/>
          <w:sz w:val="24"/>
          <w:highlight w:val="none"/>
          <w:lang w:val="zh-CN"/>
        </w:rPr>
        <w:t>%（含），投标折扣系数超过最高限价的作无效标处理，报价保留两位小数（例：XX.XX%）。</w:t>
      </w:r>
    </w:p>
    <w:p w14:paraId="46FFDEED">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4）特殊检验项目最高限价：投标折扣系数最高限价为</w:t>
      </w:r>
      <w:r>
        <w:rPr>
          <w:rFonts w:hint="eastAsia" w:ascii="宋体" w:hAnsi="宋体" w:eastAsia="宋体" w:cs="宋体"/>
          <w:color w:val="auto"/>
          <w:kern w:val="0"/>
          <w:sz w:val="24"/>
          <w:highlight w:val="none"/>
          <w:lang w:val="zh-CN" w:eastAsia="zh-CN"/>
        </w:rPr>
        <w:t>55.50</w:t>
      </w:r>
      <w:r>
        <w:rPr>
          <w:rFonts w:hint="eastAsia" w:ascii="宋体" w:hAnsi="宋体" w:eastAsia="宋体" w:cs="宋体"/>
          <w:color w:val="auto"/>
          <w:kern w:val="0"/>
          <w:sz w:val="24"/>
          <w:highlight w:val="none"/>
          <w:lang w:val="zh-CN"/>
        </w:rPr>
        <w:t>%（含），投标折扣系数超过最高限价的作无效标处理，报价保留两位小数（例：XX.XX%）。</w:t>
      </w:r>
    </w:p>
    <w:p w14:paraId="23C48D3A">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5）维生素检测项目最高限价：投标折扣系数最高限价为</w:t>
      </w:r>
      <w:r>
        <w:rPr>
          <w:rFonts w:hint="eastAsia" w:ascii="宋体" w:hAnsi="宋体" w:eastAsia="宋体" w:cs="宋体"/>
          <w:color w:val="auto"/>
          <w:kern w:val="0"/>
          <w:sz w:val="24"/>
          <w:highlight w:val="none"/>
          <w:lang w:val="zh-CN" w:eastAsia="zh-CN"/>
        </w:rPr>
        <w:t>50.50</w:t>
      </w:r>
      <w:r>
        <w:rPr>
          <w:rFonts w:hint="eastAsia" w:ascii="宋体" w:hAnsi="宋体" w:eastAsia="宋体" w:cs="宋体"/>
          <w:color w:val="auto"/>
          <w:kern w:val="0"/>
          <w:sz w:val="24"/>
          <w:highlight w:val="none"/>
          <w:lang w:val="zh-CN"/>
        </w:rPr>
        <w:t>%（含），投标折扣系数超过最高限价的作无效标处理，报价保留两位小数（例：XX.XX%）。</w:t>
      </w:r>
    </w:p>
    <w:p w14:paraId="4991DB91">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6）病理标本诊断最高限价：投标折扣系数最高限价为</w:t>
      </w:r>
      <w:r>
        <w:rPr>
          <w:rFonts w:hint="eastAsia" w:ascii="宋体" w:hAnsi="宋体" w:eastAsia="宋体" w:cs="宋体"/>
          <w:color w:val="auto"/>
          <w:kern w:val="0"/>
          <w:sz w:val="24"/>
          <w:highlight w:val="none"/>
          <w:lang w:val="zh-CN" w:eastAsia="zh-CN"/>
        </w:rPr>
        <w:t>40.50</w:t>
      </w:r>
      <w:r>
        <w:rPr>
          <w:rFonts w:hint="eastAsia" w:ascii="宋体" w:hAnsi="宋体" w:eastAsia="宋体" w:cs="宋体"/>
          <w:color w:val="auto"/>
          <w:kern w:val="0"/>
          <w:sz w:val="24"/>
          <w:highlight w:val="none"/>
          <w:lang w:val="zh-CN"/>
        </w:rPr>
        <w:t>%（含），投标折扣系数超过最高限价的作无效标处理，报价保留两位小数（例：XX.XX%）。</w:t>
      </w:r>
    </w:p>
    <w:p w14:paraId="25EB6AE7">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7）血清淀粉样蛋白A项目最高限价：投标折扣系数最高限价为</w:t>
      </w:r>
      <w:r>
        <w:rPr>
          <w:rFonts w:hint="eastAsia" w:ascii="宋体" w:hAnsi="宋体" w:eastAsia="宋体" w:cs="宋体"/>
          <w:color w:val="auto"/>
          <w:kern w:val="0"/>
          <w:sz w:val="24"/>
          <w:highlight w:val="none"/>
          <w:lang w:val="zh-CN" w:eastAsia="zh-CN"/>
        </w:rPr>
        <w:t>30.50</w:t>
      </w:r>
      <w:r>
        <w:rPr>
          <w:rFonts w:hint="eastAsia" w:ascii="宋体" w:hAnsi="宋体" w:eastAsia="宋体" w:cs="宋体"/>
          <w:color w:val="auto"/>
          <w:kern w:val="0"/>
          <w:sz w:val="24"/>
          <w:highlight w:val="none"/>
          <w:lang w:val="zh-CN"/>
        </w:rPr>
        <w:t>%（含），投标折扣系数超过最高限价的作无效标处理，报价保留两位小数（例：XX.XX%）。</w:t>
      </w:r>
    </w:p>
    <w:p w14:paraId="400A2A6D">
      <w:pPr>
        <w:spacing w:line="360" w:lineRule="auto"/>
        <w:ind w:left="-2" w:leftChars="-1" w:firstLine="482" w:firstLineChars="200"/>
        <w:rPr>
          <w:rFonts w:ascii="宋体" w:hAnsi="宋体" w:cs="宋体"/>
          <w:color w:val="auto"/>
          <w:kern w:val="0"/>
          <w:sz w:val="24"/>
          <w:highlight w:val="none"/>
          <w:lang w:val="zh-CN"/>
        </w:rPr>
      </w:pPr>
      <w:r>
        <w:rPr>
          <w:rFonts w:hint="eastAsia" w:ascii="宋体" w:hAnsi="宋体" w:cs="宋体"/>
          <w:b/>
          <w:bCs/>
          <w:color w:val="auto"/>
          <w:kern w:val="0"/>
          <w:sz w:val="24"/>
          <w:highlight w:val="none"/>
        </w:rPr>
        <w:t>注②：</w:t>
      </w: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279CE78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137E14">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3）特别提示：采购代理机构将对项目名称和项目编号，中标人名称、地址和中标金额，主要中标标的名称、服务范围、服务要求、服务时间、服务标准等予以公示。</w:t>
      </w:r>
    </w:p>
    <w:p w14:paraId="176D6D3D">
      <w:pPr>
        <w:snapToGrid w:val="0"/>
        <w:spacing w:line="360" w:lineRule="auto"/>
        <w:ind w:firstLine="480" w:firstLineChars="200"/>
        <w:jc w:val="left"/>
        <w:rPr>
          <w:rFonts w:ascii="宋体" w:hAnsi="宋体" w:cs="宋体"/>
          <w:b/>
          <w:color w:val="auto"/>
          <w:kern w:val="0"/>
          <w:sz w:val="24"/>
          <w:highlight w:val="none"/>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BAD92DF">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DEB28FF">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3394D91A">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bookmarkStart w:id="406" w:name="_Toc6660"/>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bookmarkEnd w:id="406"/>
    </w:p>
    <w:p w14:paraId="3BE5A8D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6）。]</w:t>
      </w:r>
    </w:p>
    <w:p w14:paraId="5549FF33">
      <w:pPr>
        <w:pStyle w:val="5"/>
        <w:rPr>
          <w:rFonts w:hAnsi="宋体" w:cs="宋体"/>
          <w:b/>
          <w:color w:val="auto"/>
          <w:sz w:val="24"/>
          <w:highlight w:val="none"/>
        </w:rPr>
      </w:pPr>
    </w:p>
    <w:p w14:paraId="03253A3C">
      <w:pPr>
        <w:rPr>
          <w:color w:val="auto"/>
          <w:highlight w:val="none"/>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B3241CA">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4563A97">
      <w:pPr>
        <w:spacing w:line="360" w:lineRule="auto"/>
        <w:jc w:val="center"/>
        <w:rPr>
          <w:rFonts w:ascii="宋体" w:hAnsi="宋体" w:cs="宋体"/>
          <w:b/>
          <w:color w:val="auto"/>
          <w:spacing w:val="6"/>
          <w:sz w:val="32"/>
          <w:szCs w:val="32"/>
          <w:highlight w:val="none"/>
        </w:rPr>
      </w:pPr>
      <w:bookmarkStart w:id="407" w:name="OLE_LINK13"/>
      <w:bookmarkStart w:id="408" w:name="OLE_LINK14"/>
      <w:r>
        <w:rPr>
          <w:rFonts w:hint="eastAsia" w:ascii="宋体" w:hAnsi="宋体" w:cs="宋体"/>
          <w:b/>
          <w:color w:val="auto"/>
          <w:spacing w:val="6"/>
          <w:sz w:val="32"/>
          <w:szCs w:val="32"/>
          <w:highlight w:val="none"/>
        </w:rPr>
        <w:t>残疾人福利性单位声明函</w:t>
      </w:r>
    </w:p>
    <w:bookmarkEnd w:id="407"/>
    <w:bookmarkEnd w:id="408"/>
    <w:p w14:paraId="4941F5BD">
      <w:pPr>
        <w:spacing w:line="360" w:lineRule="auto"/>
        <w:rPr>
          <w:rFonts w:ascii="宋体" w:hAnsi="宋体" w:cs="宋体"/>
          <w:b/>
          <w:color w:val="auto"/>
          <w:spacing w:val="6"/>
          <w:sz w:val="30"/>
          <w:szCs w:val="30"/>
          <w:highlight w:val="none"/>
        </w:rPr>
      </w:pPr>
    </w:p>
    <w:p w14:paraId="61CE92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宁波市江北区慈城镇中心卫生院（采购人）</w:t>
      </w:r>
      <w:r>
        <w:rPr>
          <w:rFonts w:hint="eastAsia" w:ascii="宋体" w:hAnsi="宋体" w:cs="宋体"/>
          <w:color w:val="auto"/>
          <w:sz w:val="24"/>
          <w:highlight w:val="none"/>
        </w:rPr>
        <w:t>_单位的</w:t>
      </w:r>
      <w:r>
        <w:rPr>
          <w:rFonts w:hint="eastAsia" w:ascii="宋体" w:hAnsi="宋体" w:cs="宋体"/>
          <w:color w:val="auto"/>
          <w:sz w:val="24"/>
          <w:highlight w:val="none"/>
          <w:u w:val="single"/>
        </w:rPr>
        <w:t>宁波市江北区外送检测服务项目</w:t>
      </w:r>
      <w:r>
        <w:rPr>
          <w:rFonts w:hint="eastAsia" w:ascii="宋体" w:hAnsi="宋体" w:cs="宋体"/>
          <w:color w:val="auto"/>
          <w:sz w:val="24"/>
          <w:highlight w:val="none"/>
        </w:rPr>
        <w:t>__采购活动提供本单位制造的货物（由本单位承担工程/提供服务），或者提供其他残疾人福利性单位制造的货物（不包括使用非残疾人福利性单位注册商标的货物）。</w:t>
      </w:r>
    </w:p>
    <w:p w14:paraId="538999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4A04D76">
      <w:pPr>
        <w:spacing w:line="360" w:lineRule="auto"/>
        <w:ind w:firstLine="480" w:firstLineChars="200"/>
        <w:rPr>
          <w:rFonts w:ascii="宋体" w:hAnsi="宋体" w:cs="宋体"/>
          <w:color w:val="auto"/>
          <w:sz w:val="24"/>
          <w:highlight w:val="none"/>
        </w:rPr>
      </w:pPr>
    </w:p>
    <w:p w14:paraId="7BF42BB3">
      <w:pPr>
        <w:spacing w:line="360" w:lineRule="auto"/>
        <w:ind w:firstLine="480" w:firstLineChars="200"/>
        <w:rPr>
          <w:rFonts w:ascii="宋体" w:hAnsi="宋体" w:cs="宋体"/>
          <w:color w:val="auto"/>
          <w:sz w:val="24"/>
          <w:highlight w:val="none"/>
        </w:rPr>
      </w:pPr>
    </w:p>
    <w:p w14:paraId="1F2D2E0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27BA96A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C739123">
      <w:pPr>
        <w:spacing w:line="360" w:lineRule="auto"/>
        <w:ind w:firstLine="480" w:firstLineChars="200"/>
        <w:rPr>
          <w:rFonts w:ascii="宋体" w:hAnsi="宋体" w:cs="宋体"/>
          <w:color w:val="auto"/>
          <w:sz w:val="24"/>
          <w:highlight w:val="none"/>
        </w:rPr>
      </w:pPr>
    </w:p>
    <w:p w14:paraId="0B4A8015">
      <w:pPr>
        <w:spacing w:line="360" w:lineRule="auto"/>
        <w:ind w:firstLine="420" w:firstLineChars="200"/>
        <w:rPr>
          <w:rFonts w:ascii="宋体" w:hAnsi="宋体" w:cs="宋体"/>
          <w:color w:val="auto"/>
          <w:highlight w:val="none"/>
        </w:rPr>
      </w:pPr>
    </w:p>
    <w:p w14:paraId="0A7811A7">
      <w:pPr>
        <w:spacing w:line="360" w:lineRule="auto"/>
        <w:ind w:firstLine="420" w:firstLineChars="200"/>
        <w:rPr>
          <w:rFonts w:ascii="宋体" w:hAnsi="宋体" w:cs="宋体"/>
          <w:color w:val="auto"/>
          <w:highlight w:val="none"/>
        </w:rPr>
      </w:pPr>
    </w:p>
    <w:p w14:paraId="018A2780">
      <w:pPr>
        <w:spacing w:line="360" w:lineRule="auto"/>
        <w:ind w:firstLine="420" w:firstLineChars="200"/>
        <w:rPr>
          <w:rFonts w:ascii="宋体" w:hAnsi="宋体" w:cs="宋体"/>
          <w:color w:val="auto"/>
          <w:highlight w:val="none"/>
        </w:rPr>
      </w:pPr>
    </w:p>
    <w:p w14:paraId="3749C00B">
      <w:pPr>
        <w:spacing w:line="360" w:lineRule="auto"/>
        <w:ind w:firstLine="420" w:firstLineChars="200"/>
        <w:rPr>
          <w:rFonts w:ascii="宋体" w:hAnsi="宋体" w:cs="宋体"/>
          <w:color w:val="auto"/>
          <w:highlight w:val="none"/>
        </w:rPr>
      </w:pPr>
    </w:p>
    <w:p w14:paraId="623B8328">
      <w:pPr>
        <w:spacing w:line="360" w:lineRule="auto"/>
        <w:rPr>
          <w:rFonts w:ascii="宋体" w:hAnsi="宋体" w:cs="宋体"/>
          <w:b/>
          <w:color w:val="auto"/>
          <w:sz w:val="24"/>
          <w:highlight w:val="none"/>
        </w:rPr>
      </w:pPr>
    </w:p>
    <w:p w14:paraId="2E508EE2">
      <w:pPr>
        <w:spacing w:line="360" w:lineRule="auto"/>
        <w:rPr>
          <w:rFonts w:ascii="宋体" w:hAnsi="宋体" w:cs="宋体"/>
          <w:b/>
          <w:color w:val="auto"/>
          <w:sz w:val="24"/>
          <w:highlight w:val="none"/>
        </w:rPr>
      </w:pPr>
    </w:p>
    <w:p w14:paraId="37401242">
      <w:pPr>
        <w:spacing w:line="360" w:lineRule="auto"/>
        <w:rPr>
          <w:rFonts w:ascii="宋体" w:hAnsi="宋体" w:cs="宋体"/>
          <w:b/>
          <w:color w:val="auto"/>
          <w:sz w:val="24"/>
          <w:highlight w:val="none"/>
        </w:rPr>
      </w:pPr>
    </w:p>
    <w:p w14:paraId="0DAC488B">
      <w:pPr>
        <w:spacing w:line="360" w:lineRule="auto"/>
        <w:rPr>
          <w:rFonts w:ascii="宋体" w:hAnsi="宋体" w:cs="宋体"/>
          <w:b/>
          <w:color w:val="auto"/>
          <w:sz w:val="24"/>
          <w:highlight w:val="none"/>
        </w:rPr>
      </w:pPr>
    </w:p>
    <w:p w14:paraId="000A1162">
      <w:pPr>
        <w:spacing w:line="360" w:lineRule="auto"/>
        <w:rPr>
          <w:rFonts w:ascii="宋体" w:hAnsi="宋体" w:cs="宋体"/>
          <w:b/>
          <w:color w:val="auto"/>
          <w:sz w:val="24"/>
          <w:highlight w:val="none"/>
        </w:rPr>
      </w:pPr>
    </w:p>
    <w:p w14:paraId="5AAB2B4E">
      <w:pPr>
        <w:spacing w:line="360" w:lineRule="auto"/>
        <w:rPr>
          <w:rFonts w:ascii="宋体" w:hAnsi="宋体" w:cs="宋体"/>
          <w:b/>
          <w:color w:val="auto"/>
          <w:sz w:val="24"/>
          <w:highlight w:val="none"/>
        </w:rPr>
      </w:pPr>
    </w:p>
    <w:p w14:paraId="479B7307">
      <w:pPr>
        <w:spacing w:line="360" w:lineRule="auto"/>
        <w:rPr>
          <w:rFonts w:ascii="宋体" w:hAnsi="宋体" w:cs="宋体"/>
          <w:b/>
          <w:color w:val="auto"/>
          <w:sz w:val="24"/>
          <w:highlight w:val="none"/>
        </w:rPr>
      </w:pPr>
    </w:p>
    <w:p w14:paraId="1493EA66">
      <w:pPr>
        <w:spacing w:line="360" w:lineRule="auto"/>
        <w:rPr>
          <w:rFonts w:ascii="宋体" w:hAnsi="宋体" w:cs="宋体"/>
          <w:b/>
          <w:color w:val="auto"/>
          <w:sz w:val="24"/>
          <w:highlight w:val="none"/>
        </w:rPr>
      </w:pPr>
    </w:p>
    <w:p w14:paraId="3E70D9D0">
      <w:pPr>
        <w:spacing w:line="360" w:lineRule="auto"/>
        <w:jc w:val="left"/>
        <w:rPr>
          <w:rFonts w:ascii="宋体" w:hAnsi="宋体" w:cs="宋体"/>
          <w:b/>
          <w:color w:val="auto"/>
          <w:spacing w:val="6"/>
          <w:sz w:val="32"/>
          <w:szCs w:val="32"/>
          <w:highlight w:val="none"/>
        </w:rPr>
      </w:pPr>
    </w:p>
    <w:p w14:paraId="401FB3E1">
      <w:pPr>
        <w:spacing w:line="360" w:lineRule="auto"/>
        <w:jc w:val="left"/>
        <w:rPr>
          <w:rFonts w:hint="eastAsia" w:ascii="宋体" w:hAnsi="宋体" w:cs="宋体"/>
          <w:b/>
          <w:color w:val="auto"/>
          <w:spacing w:val="6"/>
          <w:sz w:val="32"/>
          <w:szCs w:val="32"/>
          <w:highlight w:val="none"/>
        </w:rPr>
      </w:pPr>
    </w:p>
    <w:p w14:paraId="5426E3C6">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5AD439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5A677D9">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377E70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1BFFBB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9A9501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956C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8F2310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0CDCB5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7F5128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0D261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9A8AA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88B14D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67D318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招标文件获取日期：</w:t>
      </w:r>
      <w:r>
        <w:rPr>
          <w:rFonts w:hint="eastAsia" w:ascii="宋体" w:hAnsi="宋体" w:cs="宋体"/>
          <w:color w:val="auto"/>
          <w:sz w:val="24"/>
          <w:highlight w:val="none"/>
          <w:u w:val="dotted"/>
        </w:rPr>
        <w:t xml:space="preserve">                                           </w:t>
      </w:r>
    </w:p>
    <w:p w14:paraId="5DF8FB5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3C53B3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8F955A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128379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4864B9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5EE281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64D0EE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96EF15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2BB734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8AC421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5A5C09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C6D788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E57FD4A">
      <w:pPr>
        <w:spacing w:line="360" w:lineRule="auto"/>
        <w:jc w:val="center"/>
        <w:rPr>
          <w:rFonts w:ascii="宋体" w:hAnsi="宋体" w:cs="宋体"/>
          <w:b/>
          <w:bCs/>
          <w:color w:val="auto"/>
          <w:sz w:val="24"/>
          <w:highlight w:val="none"/>
        </w:rPr>
      </w:pPr>
    </w:p>
    <w:p w14:paraId="50E03B8C">
      <w:pPr>
        <w:spacing w:line="360" w:lineRule="auto"/>
        <w:rPr>
          <w:rFonts w:ascii="宋体" w:hAnsi="宋体" w:cs="宋体"/>
          <w:b/>
          <w:color w:val="auto"/>
          <w:sz w:val="24"/>
          <w:highlight w:val="none"/>
        </w:rPr>
      </w:pPr>
    </w:p>
    <w:p w14:paraId="75597A01">
      <w:pPr>
        <w:spacing w:line="360" w:lineRule="auto"/>
        <w:rPr>
          <w:rFonts w:ascii="宋体" w:hAnsi="宋体" w:cs="宋体"/>
          <w:b/>
          <w:color w:val="auto"/>
          <w:sz w:val="24"/>
          <w:highlight w:val="none"/>
        </w:rPr>
      </w:pPr>
    </w:p>
    <w:p w14:paraId="38F5A80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8BD717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8F4368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FA30AA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EDE2B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38C91C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8CE19F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447C991">
      <w:pPr>
        <w:widowControl/>
        <w:spacing w:line="360" w:lineRule="auto"/>
        <w:ind w:firstLine="600" w:firstLineChars="200"/>
        <w:jc w:val="left"/>
        <w:rPr>
          <w:rFonts w:ascii="宋体" w:hAnsi="宋体" w:cs="宋体"/>
          <w:color w:val="auto"/>
          <w:sz w:val="30"/>
          <w:szCs w:val="30"/>
          <w:highlight w:val="none"/>
        </w:rPr>
      </w:pPr>
    </w:p>
    <w:p w14:paraId="7449AC21">
      <w:pPr>
        <w:spacing w:line="360" w:lineRule="auto"/>
        <w:jc w:val="center"/>
        <w:rPr>
          <w:rFonts w:ascii="宋体" w:hAnsi="宋体" w:cs="宋体"/>
          <w:b/>
          <w:color w:val="auto"/>
          <w:spacing w:val="6"/>
          <w:sz w:val="32"/>
          <w:szCs w:val="32"/>
          <w:highlight w:val="none"/>
        </w:rPr>
      </w:pPr>
    </w:p>
    <w:p w14:paraId="0A46D098">
      <w:pPr>
        <w:spacing w:line="360" w:lineRule="auto"/>
        <w:jc w:val="center"/>
        <w:rPr>
          <w:rFonts w:ascii="宋体" w:hAnsi="宋体" w:cs="宋体"/>
          <w:b/>
          <w:color w:val="auto"/>
          <w:spacing w:val="6"/>
          <w:sz w:val="32"/>
          <w:szCs w:val="32"/>
          <w:highlight w:val="none"/>
        </w:rPr>
      </w:pPr>
    </w:p>
    <w:p w14:paraId="495C1AF4">
      <w:pPr>
        <w:spacing w:line="360" w:lineRule="auto"/>
        <w:jc w:val="center"/>
        <w:rPr>
          <w:rFonts w:ascii="宋体" w:hAnsi="宋体" w:cs="宋体"/>
          <w:b/>
          <w:color w:val="auto"/>
          <w:spacing w:val="6"/>
          <w:sz w:val="32"/>
          <w:szCs w:val="32"/>
          <w:highlight w:val="none"/>
        </w:rPr>
      </w:pPr>
    </w:p>
    <w:p w14:paraId="20852CA3">
      <w:pPr>
        <w:spacing w:line="360" w:lineRule="auto"/>
        <w:jc w:val="center"/>
        <w:rPr>
          <w:rFonts w:ascii="宋体" w:hAnsi="宋体" w:cs="宋体"/>
          <w:b/>
          <w:color w:val="auto"/>
          <w:spacing w:val="6"/>
          <w:sz w:val="32"/>
          <w:szCs w:val="32"/>
          <w:highlight w:val="none"/>
        </w:rPr>
      </w:pPr>
    </w:p>
    <w:p w14:paraId="0B6416B9">
      <w:pPr>
        <w:spacing w:line="360" w:lineRule="auto"/>
        <w:jc w:val="center"/>
        <w:rPr>
          <w:rFonts w:ascii="宋体" w:hAnsi="宋体" w:cs="宋体"/>
          <w:b/>
          <w:color w:val="auto"/>
          <w:spacing w:val="6"/>
          <w:sz w:val="32"/>
          <w:szCs w:val="32"/>
          <w:highlight w:val="none"/>
        </w:rPr>
      </w:pPr>
    </w:p>
    <w:p w14:paraId="796F9B3E">
      <w:pPr>
        <w:spacing w:line="360" w:lineRule="auto"/>
        <w:jc w:val="center"/>
        <w:rPr>
          <w:rFonts w:ascii="宋体" w:hAnsi="宋体" w:cs="宋体"/>
          <w:b/>
          <w:color w:val="auto"/>
          <w:spacing w:val="6"/>
          <w:sz w:val="32"/>
          <w:szCs w:val="32"/>
          <w:highlight w:val="none"/>
        </w:rPr>
      </w:pPr>
    </w:p>
    <w:p w14:paraId="1083A5EC">
      <w:pPr>
        <w:spacing w:line="360" w:lineRule="auto"/>
        <w:jc w:val="center"/>
        <w:rPr>
          <w:rFonts w:ascii="宋体" w:hAnsi="宋体" w:cs="宋体"/>
          <w:b/>
          <w:color w:val="auto"/>
          <w:spacing w:val="6"/>
          <w:sz w:val="32"/>
          <w:szCs w:val="32"/>
          <w:highlight w:val="none"/>
        </w:rPr>
      </w:pPr>
    </w:p>
    <w:p w14:paraId="32EE5730">
      <w:pPr>
        <w:spacing w:line="360" w:lineRule="auto"/>
        <w:jc w:val="center"/>
        <w:rPr>
          <w:rFonts w:ascii="宋体" w:hAnsi="宋体" w:cs="宋体"/>
          <w:b/>
          <w:color w:val="auto"/>
          <w:spacing w:val="6"/>
          <w:sz w:val="32"/>
          <w:szCs w:val="32"/>
          <w:highlight w:val="none"/>
        </w:rPr>
      </w:pPr>
    </w:p>
    <w:p w14:paraId="1113C5C1">
      <w:pPr>
        <w:spacing w:line="360" w:lineRule="auto"/>
        <w:jc w:val="center"/>
        <w:rPr>
          <w:rFonts w:ascii="宋体" w:hAnsi="宋体" w:cs="宋体"/>
          <w:b/>
          <w:color w:val="auto"/>
          <w:spacing w:val="6"/>
          <w:sz w:val="32"/>
          <w:szCs w:val="32"/>
          <w:highlight w:val="none"/>
        </w:rPr>
      </w:pPr>
    </w:p>
    <w:p w14:paraId="1125277F">
      <w:pPr>
        <w:spacing w:line="360" w:lineRule="auto"/>
        <w:jc w:val="center"/>
        <w:rPr>
          <w:rFonts w:ascii="宋体" w:hAnsi="宋体" w:cs="宋体"/>
          <w:b/>
          <w:color w:val="auto"/>
          <w:spacing w:val="6"/>
          <w:sz w:val="32"/>
          <w:szCs w:val="32"/>
          <w:highlight w:val="none"/>
        </w:rPr>
      </w:pPr>
    </w:p>
    <w:p w14:paraId="508ABF62">
      <w:pPr>
        <w:spacing w:line="360" w:lineRule="auto"/>
        <w:jc w:val="center"/>
        <w:rPr>
          <w:rFonts w:ascii="宋体" w:hAnsi="宋体" w:cs="宋体"/>
          <w:b/>
          <w:color w:val="auto"/>
          <w:spacing w:val="6"/>
          <w:sz w:val="32"/>
          <w:szCs w:val="32"/>
          <w:highlight w:val="none"/>
        </w:rPr>
      </w:pPr>
    </w:p>
    <w:p w14:paraId="194D3485">
      <w:pPr>
        <w:spacing w:line="360" w:lineRule="auto"/>
        <w:jc w:val="center"/>
        <w:rPr>
          <w:rFonts w:ascii="宋体" w:hAnsi="宋体" w:cs="宋体"/>
          <w:b/>
          <w:color w:val="auto"/>
          <w:spacing w:val="6"/>
          <w:sz w:val="32"/>
          <w:szCs w:val="32"/>
          <w:highlight w:val="none"/>
        </w:rPr>
      </w:pPr>
    </w:p>
    <w:p w14:paraId="77D61C08">
      <w:pPr>
        <w:spacing w:line="360" w:lineRule="auto"/>
        <w:jc w:val="left"/>
        <w:rPr>
          <w:rFonts w:ascii="宋体" w:hAnsi="宋体" w:cs="宋体"/>
          <w:b/>
          <w:color w:val="auto"/>
          <w:spacing w:val="6"/>
          <w:sz w:val="32"/>
          <w:szCs w:val="32"/>
          <w:highlight w:val="none"/>
        </w:rPr>
      </w:pPr>
    </w:p>
    <w:p w14:paraId="2D786BB4">
      <w:pPr>
        <w:spacing w:line="360" w:lineRule="auto"/>
        <w:jc w:val="left"/>
        <w:rPr>
          <w:rFonts w:ascii="宋体" w:hAnsi="宋体" w:cs="宋体"/>
          <w:b/>
          <w:color w:val="auto"/>
          <w:spacing w:val="6"/>
          <w:sz w:val="32"/>
          <w:szCs w:val="32"/>
          <w:highlight w:val="none"/>
        </w:rPr>
      </w:pPr>
    </w:p>
    <w:p w14:paraId="419CDBB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F3CFC63">
      <w:pPr>
        <w:spacing w:line="360" w:lineRule="auto"/>
        <w:jc w:val="center"/>
        <w:rPr>
          <w:rFonts w:ascii="宋体" w:hAnsi="宋体" w:cs="宋体"/>
          <w:b/>
          <w:color w:val="auto"/>
          <w:sz w:val="24"/>
          <w:highlight w:val="none"/>
        </w:rPr>
      </w:pPr>
    </w:p>
    <w:p w14:paraId="1031FAB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6C0E987">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AB9E8F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D96FD7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62F427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A6C3896">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48E13A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7DC45ED">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1B80EF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67F505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C6895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946941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C6DD8C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4A90EB6">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96AF7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887B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29AB2F">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55204F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422C28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8524FDA">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01214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D5310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招标文件公告：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D1601E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C47F93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49FA3F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C5D6B9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2FB2FC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E02566A">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69D1D0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EB82E98">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581DFC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4EA132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A0A33F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EBC1353">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C420AB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6163B33">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3B05E73">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229CA03">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E4235A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91030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F3CE51A">
      <w:pPr>
        <w:spacing w:line="360" w:lineRule="auto"/>
        <w:rPr>
          <w:rFonts w:ascii="宋体" w:hAnsi="宋体" w:cs="宋体"/>
          <w:b/>
          <w:color w:val="auto"/>
          <w:sz w:val="24"/>
          <w:highlight w:val="none"/>
        </w:rPr>
      </w:pPr>
    </w:p>
    <w:p w14:paraId="55E7194A">
      <w:pPr>
        <w:spacing w:line="360" w:lineRule="auto"/>
        <w:rPr>
          <w:rFonts w:ascii="宋体" w:hAnsi="宋体" w:cs="宋体"/>
          <w:b/>
          <w:color w:val="auto"/>
          <w:sz w:val="24"/>
          <w:highlight w:val="none"/>
        </w:rPr>
      </w:pPr>
    </w:p>
    <w:p w14:paraId="077F8F4C">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550D9A7">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D67A2E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DABCB9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EBAF1B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3B199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14AC9D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A7882B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3FC5FCA">
      <w:pPr>
        <w:spacing w:line="360" w:lineRule="auto"/>
        <w:rPr>
          <w:rFonts w:ascii="宋体" w:hAnsi="宋体" w:cs="宋体"/>
          <w:b/>
          <w:color w:val="auto"/>
          <w:sz w:val="24"/>
          <w:highlight w:val="none"/>
        </w:rPr>
      </w:pPr>
    </w:p>
    <w:p w14:paraId="1E6C4999">
      <w:pPr>
        <w:autoSpaceDE w:val="0"/>
        <w:autoSpaceDN w:val="0"/>
        <w:jc w:val="center"/>
        <w:rPr>
          <w:rFonts w:ascii="宋体" w:hAnsi="宋体" w:cs="宋体"/>
          <w:b/>
          <w:color w:val="auto"/>
          <w:spacing w:val="6"/>
          <w:sz w:val="32"/>
          <w:szCs w:val="32"/>
          <w:highlight w:val="none"/>
        </w:rPr>
      </w:pPr>
    </w:p>
    <w:p w14:paraId="5C492735">
      <w:pPr>
        <w:autoSpaceDE w:val="0"/>
        <w:autoSpaceDN w:val="0"/>
        <w:jc w:val="center"/>
        <w:rPr>
          <w:rFonts w:ascii="宋体" w:hAnsi="宋体" w:cs="宋体"/>
          <w:b/>
          <w:color w:val="auto"/>
          <w:spacing w:val="6"/>
          <w:sz w:val="32"/>
          <w:szCs w:val="32"/>
          <w:highlight w:val="none"/>
        </w:rPr>
      </w:pPr>
    </w:p>
    <w:p w14:paraId="67BD6583">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627336A">
      <w:pPr>
        <w:spacing w:line="360" w:lineRule="auto"/>
        <w:rPr>
          <w:rFonts w:ascii="宋体" w:hAnsi="宋体" w:cs="宋体"/>
          <w:color w:val="auto"/>
          <w:sz w:val="24"/>
          <w:highlight w:val="none"/>
          <w:u w:val="single"/>
        </w:rPr>
      </w:pPr>
    </w:p>
    <w:p w14:paraId="404648D6">
      <w:pPr>
        <w:spacing w:line="360" w:lineRule="auto"/>
        <w:rPr>
          <w:rFonts w:ascii="宋体" w:hAnsi="宋体" w:cs="宋体"/>
          <w:color w:val="auto"/>
          <w:sz w:val="24"/>
          <w:highlight w:val="none"/>
        </w:rPr>
      </w:pPr>
      <w:r>
        <w:rPr>
          <w:rFonts w:hint="eastAsia" w:ascii="宋体" w:hAnsi="宋体" w:cs="宋体"/>
          <w:color w:val="auto"/>
          <w:sz w:val="24"/>
          <w:highlight w:val="none"/>
          <w:u w:val="single"/>
        </w:rPr>
        <w:t>宁波市江北区慈城镇中心卫生院、宁波中基国际招标有限公司：</w:t>
      </w:r>
    </w:p>
    <w:p w14:paraId="324AE4C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你方组织的宁波市江北区外送检测服务项目【招标编号：CBNB-20246440G】</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EC3D2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5FADCDC">
      <w:pPr>
        <w:spacing w:line="360" w:lineRule="auto"/>
        <w:ind w:firstLine="494"/>
        <w:rPr>
          <w:rFonts w:ascii="宋体" w:hAnsi="宋体" w:cs="宋体"/>
          <w:color w:val="auto"/>
          <w:sz w:val="24"/>
          <w:highlight w:val="none"/>
        </w:rPr>
      </w:pPr>
    </w:p>
    <w:p w14:paraId="6CD1BDC0">
      <w:pPr>
        <w:spacing w:line="360" w:lineRule="auto"/>
        <w:ind w:firstLine="494"/>
        <w:rPr>
          <w:rFonts w:ascii="宋体" w:hAnsi="宋体" w:cs="宋体"/>
          <w:color w:val="auto"/>
          <w:sz w:val="24"/>
          <w:highlight w:val="none"/>
        </w:rPr>
      </w:pPr>
    </w:p>
    <w:p w14:paraId="0D81BB8D">
      <w:pPr>
        <w:spacing w:line="360" w:lineRule="auto"/>
        <w:ind w:firstLine="494"/>
        <w:rPr>
          <w:rFonts w:ascii="宋体" w:hAnsi="宋体" w:cs="宋体"/>
          <w:color w:val="auto"/>
          <w:sz w:val="24"/>
          <w:highlight w:val="none"/>
        </w:rPr>
      </w:pPr>
    </w:p>
    <w:p w14:paraId="7DB59ED8">
      <w:pPr>
        <w:spacing w:line="360" w:lineRule="auto"/>
        <w:ind w:firstLine="494"/>
        <w:rPr>
          <w:rFonts w:ascii="宋体" w:hAnsi="宋体" w:cs="宋体"/>
          <w:color w:val="auto"/>
          <w:sz w:val="24"/>
          <w:highlight w:val="none"/>
        </w:rPr>
      </w:pPr>
    </w:p>
    <w:p w14:paraId="4AB9F7B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05EE88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B197F6F">
      <w:pPr>
        <w:rPr>
          <w:rFonts w:ascii="宋体" w:hAnsi="宋体" w:cs="宋体"/>
          <w:color w:val="auto"/>
          <w:sz w:val="24"/>
          <w:highlight w:val="none"/>
        </w:rPr>
      </w:pPr>
      <w:r>
        <w:rPr>
          <w:rFonts w:hint="eastAsia" w:ascii="宋体" w:hAnsi="宋体" w:cs="宋体"/>
          <w:b/>
          <w:bCs/>
          <w:color w:val="auto"/>
          <w:sz w:val="24"/>
          <w:highlight w:val="none"/>
        </w:rPr>
        <w:t>附：</w:t>
      </w:r>
    </w:p>
    <w:p w14:paraId="5A448DE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643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686539DE">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004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686539DE">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745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649132E0">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4902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649132E0">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7CB89B06">
      <w:pPr>
        <w:autoSpaceDE w:val="0"/>
        <w:autoSpaceDN w:val="0"/>
        <w:jc w:val="center"/>
        <w:rPr>
          <w:rFonts w:ascii="宋体" w:hAnsi="宋体" w:cs="宋体"/>
          <w:b/>
          <w:color w:val="auto"/>
          <w:spacing w:val="6"/>
          <w:sz w:val="32"/>
          <w:szCs w:val="32"/>
          <w:highlight w:val="none"/>
        </w:rPr>
      </w:pPr>
    </w:p>
    <w:p w14:paraId="00ECFF92">
      <w:pPr>
        <w:autoSpaceDE w:val="0"/>
        <w:autoSpaceDN w:val="0"/>
        <w:jc w:val="center"/>
        <w:rPr>
          <w:rFonts w:ascii="宋体" w:hAnsi="宋体" w:cs="宋体"/>
          <w:b/>
          <w:color w:val="auto"/>
          <w:spacing w:val="6"/>
          <w:sz w:val="32"/>
          <w:szCs w:val="32"/>
          <w:highlight w:val="none"/>
        </w:rPr>
      </w:pPr>
    </w:p>
    <w:p w14:paraId="6A9AFD96">
      <w:pPr>
        <w:autoSpaceDE w:val="0"/>
        <w:autoSpaceDN w:val="0"/>
        <w:jc w:val="center"/>
        <w:rPr>
          <w:rFonts w:ascii="宋体" w:hAnsi="宋体" w:cs="宋体"/>
          <w:b/>
          <w:color w:val="auto"/>
          <w:spacing w:val="6"/>
          <w:sz w:val="32"/>
          <w:szCs w:val="32"/>
          <w:highlight w:val="none"/>
        </w:rPr>
      </w:pPr>
    </w:p>
    <w:p w14:paraId="190DB351">
      <w:pPr>
        <w:autoSpaceDE w:val="0"/>
        <w:autoSpaceDN w:val="0"/>
        <w:jc w:val="center"/>
        <w:rPr>
          <w:rFonts w:ascii="宋体" w:hAnsi="宋体" w:cs="宋体"/>
          <w:b/>
          <w:color w:val="auto"/>
          <w:spacing w:val="6"/>
          <w:sz w:val="32"/>
          <w:szCs w:val="32"/>
          <w:highlight w:val="none"/>
        </w:rPr>
      </w:pPr>
    </w:p>
    <w:p w14:paraId="31C36523">
      <w:pPr>
        <w:autoSpaceDE w:val="0"/>
        <w:autoSpaceDN w:val="0"/>
        <w:jc w:val="center"/>
        <w:rPr>
          <w:rFonts w:ascii="宋体" w:hAnsi="宋体" w:cs="宋体"/>
          <w:b/>
          <w:color w:val="auto"/>
          <w:spacing w:val="6"/>
          <w:sz w:val="32"/>
          <w:szCs w:val="32"/>
          <w:highlight w:val="none"/>
        </w:rPr>
      </w:pPr>
    </w:p>
    <w:p w14:paraId="5C66497E">
      <w:pPr>
        <w:autoSpaceDE w:val="0"/>
        <w:autoSpaceDN w:val="0"/>
        <w:jc w:val="center"/>
        <w:rPr>
          <w:rFonts w:ascii="宋体" w:hAnsi="宋体" w:cs="宋体"/>
          <w:b/>
          <w:color w:val="auto"/>
          <w:spacing w:val="6"/>
          <w:sz w:val="32"/>
          <w:szCs w:val="32"/>
          <w:highlight w:val="none"/>
        </w:rPr>
      </w:pPr>
    </w:p>
    <w:p w14:paraId="36B09078">
      <w:pPr>
        <w:autoSpaceDE w:val="0"/>
        <w:autoSpaceDN w:val="0"/>
        <w:jc w:val="center"/>
        <w:rPr>
          <w:rFonts w:ascii="宋体" w:hAnsi="宋体" w:cs="宋体"/>
          <w:b/>
          <w:color w:val="auto"/>
          <w:spacing w:val="6"/>
          <w:sz w:val="32"/>
          <w:szCs w:val="32"/>
          <w:highlight w:val="none"/>
        </w:rPr>
      </w:pPr>
    </w:p>
    <w:p w14:paraId="20742E0B">
      <w:pPr>
        <w:autoSpaceDE w:val="0"/>
        <w:autoSpaceDN w:val="0"/>
        <w:jc w:val="center"/>
        <w:rPr>
          <w:rFonts w:ascii="宋体" w:hAnsi="宋体" w:cs="宋体"/>
          <w:b/>
          <w:color w:val="auto"/>
          <w:spacing w:val="6"/>
          <w:sz w:val="32"/>
          <w:szCs w:val="32"/>
          <w:highlight w:val="none"/>
        </w:rPr>
      </w:pPr>
    </w:p>
    <w:p w14:paraId="5FFB127E">
      <w:pPr>
        <w:autoSpaceDE w:val="0"/>
        <w:autoSpaceDN w:val="0"/>
        <w:jc w:val="center"/>
        <w:rPr>
          <w:rFonts w:ascii="宋体" w:hAnsi="宋体" w:cs="宋体"/>
          <w:b/>
          <w:color w:val="auto"/>
          <w:spacing w:val="6"/>
          <w:sz w:val="32"/>
          <w:szCs w:val="32"/>
          <w:highlight w:val="none"/>
        </w:rPr>
      </w:pPr>
    </w:p>
    <w:p w14:paraId="08F131C6">
      <w:pPr>
        <w:autoSpaceDE w:val="0"/>
        <w:autoSpaceDN w:val="0"/>
        <w:jc w:val="center"/>
        <w:rPr>
          <w:rFonts w:ascii="宋体" w:hAnsi="宋体" w:cs="宋体"/>
          <w:b/>
          <w:color w:val="auto"/>
          <w:spacing w:val="6"/>
          <w:sz w:val="32"/>
          <w:szCs w:val="32"/>
          <w:highlight w:val="none"/>
        </w:rPr>
      </w:pPr>
    </w:p>
    <w:p w14:paraId="5A26C28E">
      <w:pPr>
        <w:autoSpaceDE w:val="0"/>
        <w:autoSpaceDN w:val="0"/>
        <w:jc w:val="center"/>
        <w:rPr>
          <w:rFonts w:ascii="宋体" w:hAnsi="宋体" w:cs="宋体"/>
          <w:b/>
          <w:color w:val="auto"/>
          <w:spacing w:val="6"/>
          <w:sz w:val="32"/>
          <w:szCs w:val="32"/>
          <w:highlight w:val="none"/>
        </w:rPr>
      </w:pPr>
    </w:p>
    <w:p w14:paraId="074CF2D8">
      <w:pPr>
        <w:autoSpaceDE w:val="0"/>
        <w:autoSpaceDN w:val="0"/>
        <w:jc w:val="center"/>
        <w:rPr>
          <w:rFonts w:ascii="宋体" w:hAnsi="宋体" w:cs="宋体"/>
          <w:b/>
          <w:color w:val="auto"/>
          <w:spacing w:val="6"/>
          <w:sz w:val="32"/>
          <w:szCs w:val="32"/>
          <w:highlight w:val="none"/>
        </w:rPr>
      </w:pPr>
    </w:p>
    <w:p w14:paraId="544414D2">
      <w:pPr>
        <w:autoSpaceDE w:val="0"/>
        <w:autoSpaceDN w:val="0"/>
        <w:jc w:val="center"/>
        <w:rPr>
          <w:rFonts w:ascii="宋体" w:hAnsi="宋体" w:cs="宋体"/>
          <w:b/>
          <w:color w:val="auto"/>
          <w:spacing w:val="6"/>
          <w:sz w:val="32"/>
          <w:szCs w:val="32"/>
          <w:highlight w:val="none"/>
        </w:rPr>
      </w:pPr>
    </w:p>
    <w:p w14:paraId="25D4E5FA">
      <w:pPr>
        <w:autoSpaceDE w:val="0"/>
        <w:autoSpaceDN w:val="0"/>
        <w:jc w:val="center"/>
        <w:rPr>
          <w:rFonts w:ascii="宋体" w:hAnsi="宋体" w:cs="宋体"/>
          <w:b/>
          <w:color w:val="auto"/>
          <w:spacing w:val="6"/>
          <w:sz w:val="32"/>
          <w:szCs w:val="32"/>
          <w:highlight w:val="none"/>
        </w:rPr>
      </w:pPr>
    </w:p>
    <w:p w14:paraId="03FD0CDC">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0C82B19">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AFC278C">
      <w:pPr>
        <w:widowControl/>
        <w:spacing w:line="288"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（以联合体形式投标的，提供联合协议；本项目不接受联合体投标或者供应商不以联合体形式投标的，则不需要提供）</w:t>
      </w:r>
    </w:p>
    <w:p w14:paraId="4B886386">
      <w:pPr>
        <w:snapToGrid w:val="0"/>
        <w:spacing w:line="288"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宁波市江北区外送检测服务项目【招标编号：CBNB-20246440G 】</w:t>
      </w:r>
      <w:r>
        <w:rPr>
          <w:rFonts w:hint="eastAsia" w:ascii="宋体" w:hAnsi="宋体" w:cs="宋体"/>
          <w:color w:val="auto"/>
          <w:kern w:val="0"/>
          <w:sz w:val="24"/>
          <w:highlight w:val="none"/>
          <w:lang w:val="zh-CN"/>
        </w:rPr>
        <w:t xml:space="preserve">投标。 </w:t>
      </w:r>
    </w:p>
    <w:p w14:paraId="4E835C90">
      <w:pPr>
        <w:snapToGrid w:val="0"/>
        <w:spacing w:line="288"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BEA3BD6">
      <w:pPr>
        <w:snapToGrid w:val="0"/>
        <w:spacing w:line="288"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1498F54B">
      <w:pPr>
        <w:snapToGrid w:val="0"/>
        <w:spacing w:line="288"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D448D08">
      <w:pPr>
        <w:snapToGrid w:val="0"/>
        <w:spacing w:line="288"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18AEB12">
      <w:pPr>
        <w:snapToGrid w:val="0"/>
        <w:spacing w:line="288"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C9A0595">
      <w:pPr>
        <w:snapToGrid w:val="0"/>
        <w:spacing w:line="288"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B1BA32A">
      <w:pPr>
        <w:snapToGrid w:val="0"/>
        <w:spacing w:line="288"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84C986E">
      <w:pPr>
        <w:snapToGrid w:val="0"/>
        <w:spacing w:line="288"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0"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0"/>
      <w:r>
        <w:rPr>
          <w:rFonts w:hint="eastAsia" w:ascii="宋体" w:hAnsi="宋体" w:cs="宋体"/>
          <w:b/>
          <w:color w:val="auto"/>
          <w:kern w:val="0"/>
          <w:sz w:val="24"/>
          <w:highlight w:val="none"/>
          <w:lang w:val="zh-CN"/>
        </w:rPr>
        <w:t>）</w:t>
      </w:r>
    </w:p>
    <w:p w14:paraId="7F8DAEF7">
      <w:pPr>
        <w:spacing w:line="288"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1"/>
    </w:p>
    <w:p w14:paraId="50899636">
      <w:pPr>
        <w:snapToGrid w:val="0"/>
        <w:spacing w:line="288"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F74AC8C">
      <w:pPr>
        <w:snapToGrid w:val="0"/>
        <w:spacing w:line="288"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EA62FC1">
      <w:pPr>
        <w:snapToGrid w:val="0"/>
        <w:spacing w:line="288"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879EEBE">
      <w:pPr>
        <w:snapToGrid w:val="0"/>
        <w:spacing w:line="288"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0A400DD">
      <w:pPr>
        <w:snapToGrid w:val="0"/>
        <w:spacing w:line="288"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44A8CF1">
      <w:pPr>
        <w:snapToGrid w:val="0"/>
        <w:spacing w:line="288"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D7D6C5C">
      <w:pPr>
        <w:snapToGrid w:val="0"/>
        <w:spacing w:line="288"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3F0D734">
      <w:pPr>
        <w:snapToGrid w:val="0"/>
        <w:spacing w:line="288"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F5CBE0C">
      <w:pPr>
        <w:snapToGrid w:val="0"/>
        <w:spacing w:line="288"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A6930A6">
      <w:pPr>
        <w:spacing w:line="288"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2AD7B46">
      <w:pPr>
        <w:spacing w:line="360" w:lineRule="auto"/>
        <w:jc w:val="left"/>
        <w:rPr>
          <w:rFonts w:ascii="宋体" w:hAnsi="宋体" w:cs="宋体"/>
          <w:b/>
          <w:color w:val="auto"/>
          <w:sz w:val="36"/>
          <w:szCs w:val="20"/>
          <w:highlight w:val="none"/>
        </w:rPr>
      </w:pPr>
      <w:r>
        <w:rPr>
          <w:rFonts w:hint="eastAsia" w:ascii="宋体" w:hAnsi="宋体" w:cs="宋体"/>
          <w:b/>
          <w:color w:val="auto"/>
          <w:sz w:val="36"/>
          <w:szCs w:val="20"/>
          <w:highlight w:val="none"/>
        </w:rPr>
        <w:t>附件6：中小企业声明函</w:t>
      </w:r>
    </w:p>
    <w:p w14:paraId="37B490DA">
      <w:pPr>
        <w:spacing w:line="312"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CF88EF2">
      <w:pPr>
        <w:spacing w:line="312"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宁波市江北区慈城镇中心卫生院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宁波市江北区外送检测服务项目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5ADF11E">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（标的名称：外送检测服务）</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（所属行业：其他未列明行业）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427B4EE">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317909C6">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50DB624">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72E7D5B">
      <w:pPr>
        <w:spacing w:line="312" w:lineRule="auto"/>
        <w:ind w:right="1760"/>
        <w:jc w:val="right"/>
        <w:rPr>
          <w:rFonts w:ascii="宋体" w:hAnsi="宋体" w:cs="宋体"/>
          <w:color w:val="auto"/>
          <w:sz w:val="24"/>
          <w:highlight w:val="none"/>
        </w:rPr>
      </w:pPr>
      <w:r>
        <w:rPr>
          <w:rFonts w:hint="eastAsia" w:ascii="宋体" w:hAnsi="宋体" w:cs="宋体"/>
          <w:color w:val="auto"/>
          <w:sz w:val="24"/>
          <w:highlight w:val="none"/>
        </w:rPr>
        <w:t>供应商名称（电子签名）：</w:t>
      </w:r>
    </w:p>
    <w:p w14:paraId="6D43B045">
      <w:pPr>
        <w:spacing w:line="312"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BDE48FA">
      <w:pPr>
        <w:spacing w:line="312"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46A69DA0">
      <w:pPr>
        <w:spacing w:line="312"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69F87464">
      <w:pPr>
        <w:spacing w:line="312"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招标文件中明确的所属行业”依据招标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C696AA3">
      <w:pPr>
        <w:spacing w:line="312"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27918E9">
      <w:pPr>
        <w:spacing w:line="312" w:lineRule="auto"/>
        <w:ind w:right="420" w:firstLine="723" w:firstLineChars="300"/>
        <w:rPr>
          <w:rFonts w:ascii="宋体" w:hAnsi="宋体" w:cs="宋体"/>
          <w:bCs/>
          <w:color w:val="auto"/>
          <w:sz w:val="24"/>
          <w:highlight w:val="none"/>
        </w:rPr>
      </w:pPr>
      <w:r>
        <w:rPr>
          <w:rFonts w:hint="eastAsia" w:ascii="宋体" w:hAnsi="宋体" w:cs="宋体"/>
          <w:b/>
          <w:bCs/>
          <w:color w:val="auto"/>
          <w:sz w:val="24"/>
          <w:highlight w:val="none"/>
        </w:rPr>
        <w:t>3、本招标文件中明确的所属行业为其他未列明行业：从业人员300人以下的为中小微型企业。其中，从业人员100人及以上的为中型企业；从业人员10人及以上的为小型企业；从业人员10人以下的为微型企业。</w:t>
      </w:r>
    </w:p>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B2E50">
    <w:pPr>
      <w:pStyle w:val="40"/>
      <w:framePr w:wrap="around" w:vAnchor="text" w:hAnchor="margin" w:xAlign="right" w:y="1"/>
      <w:rPr>
        <w:rStyle w:val="73"/>
      </w:rPr>
    </w:pPr>
    <w:r>
      <w:fldChar w:fldCharType="begin"/>
    </w:r>
    <w:r>
      <w:rPr>
        <w:rStyle w:val="73"/>
      </w:rPr>
      <w:instrText xml:space="preserve">PAGE  </w:instrText>
    </w:r>
    <w:r>
      <w:fldChar w:fldCharType="end"/>
    </w:r>
  </w:p>
  <w:p w14:paraId="18BB31F3">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B160C">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DB8374">
                          <w:pPr>
                            <w:pStyle w:val="40"/>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5EDB8374">
                    <w:pPr>
                      <w:pStyle w:val="40"/>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B88F1">
    <w:pPr>
      <w:pStyle w:val="40"/>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E065F2">
                          <w:pPr>
                            <w:pStyle w:val="40"/>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DE065F2">
                    <w:pPr>
                      <w:pStyle w:val="40"/>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F2DB3">
    <w:pPr>
      <w:pStyle w:val="40"/>
      <w:framePr w:wrap="around" w:vAnchor="text" w:hAnchor="margin" w:xAlign="right" w:y="1"/>
      <w:rPr>
        <w:rStyle w:val="73"/>
      </w:rPr>
    </w:pPr>
    <w:r>
      <w:fldChar w:fldCharType="begin"/>
    </w:r>
    <w:r>
      <w:rPr>
        <w:rStyle w:val="73"/>
      </w:rPr>
      <w:instrText xml:space="preserve">PAGE  </w:instrText>
    </w:r>
    <w:r>
      <w:fldChar w:fldCharType="end"/>
    </w:r>
  </w:p>
  <w:p w14:paraId="5EF03003">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832A4">
    <w:pPr>
      <w:pStyle w:val="40"/>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E1D78">
                          <w:pPr>
                            <w:pStyle w:val="40"/>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71E1D78">
                    <w:pPr>
                      <w:pStyle w:val="40"/>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3E483">
    <w:pPr>
      <w:pStyle w:val="40"/>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8C5F6">
                          <w:pPr>
                            <w:pStyle w:val="40"/>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9E8C5F6">
                    <w:pPr>
                      <w:pStyle w:val="40"/>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1B13E">
    <w:pPr>
      <w:pStyle w:val="40"/>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1F8B81">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41F8B81">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3E9B5">
    <w:pPr>
      <w:snapToGrid w:val="0"/>
      <w:ind w:right="360" w:firstLine="360"/>
      <w:jc w:val="left"/>
      <w:rPr>
        <w:rFonts w:eastAsia="黑体"/>
        <w:snapToGrid w:val="0"/>
        <w:sz w:val="18"/>
        <w:szCs w:val="18"/>
      </w:rPr>
    </w:pPr>
    <w:r>
      <w:rPr>
        <w:rFonts w:eastAsia="黑体"/>
        <w:snapToGrid w:val="0"/>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7BD7F55">
                          <w:pPr>
                            <w:adjustRightInd/>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hdkjPTAQAApQMAAA4AAABkcnMvZTJvRG9jLnhtbK1TzY7TMBC+&#10;I/EOlu80adEuUdR0Bap2tdIKkBYewHXsxpL/5HGb9AXgDThx4c5z9TkYO0kXLZc9cHHGM+Nv5vtm&#10;sr4ZjCZHEUA529DloqREWO5aZfcN/frl9k1FCURmW6adFQ09CaA3m9ev1r2vxcp1TrciEASxUPe+&#10;oV2Mvi4K4J0wDBbOC4tB6YJhEa9hX7SB9YhudLEqy+uid6H1wXEBgN7tGKQTYngJoJNScbF1/GCE&#10;jSNqEJpFpASd8kA3uVspBY+fpAQRiW4oMo35xCJo79JZbNas3gfmO8WnFthLWnjGyTBlsegFassi&#10;I4eg/oEyigcHTsYFd6YYiWRFkMWyfKbNY8e8yFxQavAX0eH/wfKPx8+BqBY34S0llhmc+PnH9/PP&#10;3+df3wj6UKDeQ415jx4z4/DBDZg8+wGdifcgg0lfZEQwjvKeLvKKIRKeHlWrqioxxDE2XxC/eHru&#10;A8Q74QxJRkMDzi/Lyo4PEMfUOSVVs+5WaZ1nqC3pEfWqeneVX1xCiK4tFkksxm6TFYfdMFHbufaE&#10;zHpcgoZa3HlK9L1FjdO+zEaYjd1sHHxQ+w6bXOZ64N8fIraTu0wVRtipME4v85w2La3H3/ec9fR3&#10;b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EhdkjPTAQAApQMAAA4AAAAAAAAAAQAgAAAA&#10;IgEAAGRycy9lMm9Eb2MueG1sUEsFBgAAAAAGAAYAWQEAAGcFAAAAAA==&#10;">
              <v:fill on="f" focussize="0,0"/>
              <v:stroke on="f" weight="1.25pt"/>
              <v:imagedata o:title=""/>
              <o:lock v:ext="edit" aspectratio="f"/>
              <v:textbox inset="0mm,0mm,0mm,0mm" style="mso-fit-shape-to-text:t;">
                <w:txbxContent>
                  <w:p w14:paraId="37BD7F55">
                    <w:pPr>
                      <w:adjustRightInd/>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8AC12">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C8F5FF">
                          <w:pPr>
                            <w:pStyle w:val="40"/>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BC8F5FF">
                    <w:pPr>
                      <w:pStyle w:val="40"/>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A66AF">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7C0A31">
                          <w:pPr>
                            <w:pStyle w:val="40"/>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67C0A31">
                    <w:pPr>
                      <w:pStyle w:val="40"/>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2F557">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4A30F6">
                          <w:pPr>
                            <w:pStyle w:val="40"/>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84A30F6">
                    <w:pPr>
                      <w:pStyle w:val="40"/>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4442B">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307FE">
                          <w:pPr>
                            <w:pStyle w:val="40"/>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EA307FE">
                    <w:pPr>
                      <w:pStyle w:val="40"/>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5D43C">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5313C3">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45313C3">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43782">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9F3DB">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0BADA">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168EC">
    <w:pPr>
      <w:pStyle w:val="41"/>
      <w:rPr>
        <w:rFonts w:ascii="仿宋_GB2312" w:eastAsia="仿宋_GB2312"/>
        <w:b/>
        <w:i/>
        <w:u w:val="single"/>
      </w:rPr>
    </w:pPr>
    <w:r>
      <w:t></w:t>
    </w:r>
    <w:r>
      <w:rPr>
        <w:rFonts w:hint="eastAsia"/>
      </w:rPr>
      <w:t xml:space="preserve">                                                   </w:t>
    </w:r>
    <w:r>
      <w:t>政府采购公开招标文件</w:t>
    </w:r>
  </w:p>
  <w:p w14:paraId="58D3A631">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6E3F2">
    <w:pPr>
      <w:pStyle w:val="41"/>
      <w:jc w:val="right"/>
    </w:pPr>
    <w:r>
      <w:t></w:t>
    </w:r>
    <w:r>
      <w:rPr>
        <w:rFonts w:hint="eastAsia"/>
      </w:rPr>
      <w:t xml:space="preserve">                 </w:t>
    </w:r>
    <w:r>
      <w:t xml:space="preserve">                                </w:t>
    </w:r>
    <w:r>
      <w:rPr>
        <w:rFonts w:hint="eastAsia"/>
      </w:rPr>
      <w:t xml:space="preserve">         </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1B20A">
    <w:pPr>
      <w:pStyle w:val="41"/>
      <w:jc w:val="right"/>
    </w:pPr>
    <w:r>
      <w:rPr>
        <w:rFonts w:hint="eastAsia"/>
      </w:rPr>
      <w:t xml:space="preserve">                                  </w:t>
    </w:r>
  </w:p>
  <w:p w14:paraId="516B6B4D">
    <w:pPr>
      <w:pStyle w:val="41"/>
      <w:jc w:val="right"/>
      <w:rPr>
        <w:rFonts w:ascii="仿宋_GB2312" w:eastAsia="仿宋_GB2312"/>
        <w:b/>
        <w:i/>
        <w:u w:val="single"/>
      </w:rPr>
    </w:pPr>
    <w:r>
      <w:t>政府采购公开招标文件</w:t>
    </w:r>
  </w:p>
  <w:p w14:paraId="05EA27B6">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56EBC">
    <w:pPr>
      <w:pStyle w:val="41"/>
      <w:jc w:val="right"/>
    </w:pPr>
    <w:r>
      <w:rPr>
        <w:rFonts w:hint="eastAsia"/>
      </w:rPr>
      <w:t xml:space="preserve">                                                                                                        政</w:t>
    </w:r>
    <w:r>
      <w:t>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470E8">
    <w:pPr>
      <w:pStyle w:val="41"/>
      <w:jc w:val="right"/>
      <w:rPr>
        <w:rFonts w:ascii="仿宋_GB2312" w:eastAsia="仿宋_GB2312"/>
        <w:b/>
        <w:i/>
        <w:iCs/>
        <w:u w:val="single"/>
      </w:rPr>
    </w:pP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D0208">
    <w:pPr>
      <w:pStyle w:val="41"/>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CB59A"/>
    <w:multiLevelType w:val="singleLevel"/>
    <w:tmpl w:val="A52CB59A"/>
    <w:lvl w:ilvl="0" w:tentative="0">
      <w:start w:val="2"/>
      <w:numFmt w:val="decimal"/>
      <w:suff w:val="nothing"/>
      <w:lvlText w:val="%1）"/>
      <w:lvlJc w:val="left"/>
    </w:lvl>
  </w:abstractNum>
  <w:abstractNum w:abstractNumId="1">
    <w:nsid w:val="BA378484"/>
    <w:multiLevelType w:val="singleLevel"/>
    <w:tmpl w:val="BA37848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1NDI0OTFhZGFlZDc0OTlhZjI2NTdiOTJhMDU4ZWIifQ=="/>
    <w:docVar w:name="KSO_WPS_MARK_KEY" w:val="5039789f-acc4-42b1-b64e-d6d92dbee501"/>
  </w:docVars>
  <w:rsids>
    <w:rsidRoot w:val="00172A27"/>
    <w:rsid w:val="00000451"/>
    <w:rsid w:val="0000108B"/>
    <w:rsid w:val="0000133D"/>
    <w:rsid w:val="00001509"/>
    <w:rsid w:val="00001E3F"/>
    <w:rsid w:val="00001F5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479EA"/>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3C6C"/>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325"/>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37F"/>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C6B"/>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4EB"/>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6BF2"/>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594"/>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02C"/>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0984"/>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4F0B"/>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244937"/>
    <w:rsid w:val="016A0F61"/>
    <w:rsid w:val="018E0D0D"/>
    <w:rsid w:val="019F7441"/>
    <w:rsid w:val="01B37585"/>
    <w:rsid w:val="01BD3BBD"/>
    <w:rsid w:val="01BF5575"/>
    <w:rsid w:val="01D55165"/>
    <w:rsid w:val="01DF6BF8"/>
    <w:rsid w:val="01E062DA"/>
    <w:rsid w:val="01EC2C57"/>
    <w:rsid w:val="023E38D3"/>
    <w:rsid w:val="024D561F"/>
    <w:rsid w:val="025F0711"/>
    <w:rsid w:val="026B2E25"/>
    <w:rsid w:val="02812738"/>
    <w:rsid w:val="02824D4D"/>
    <w:rsid w:val="029D33DC"/>
    <w:rsid w:val="02AC677F"/>
    <w:rsid w:val="02DC4B10"/>
    <w:rsid w:val="02DD76CE"/>
    <w:rsid w:val="02F36323"/>
    <w:rsid w:val="02F5619C"/>
    <w:rsid w:val="02FD2E8D"/>
    <w:rsid w:val="0326446A"/>
    <w:rsid w:val="032D5555"/>
    <w:rsid w:val="036634D2"/>
    <w:rsid w:val="03710AF1"/>
    <w:rsid w:val="03DD35E4"/>
    <w:rsid w:val="04076900"/>
    <w:rsid w:val="04085328"/>
    <w:rsid w:val="041A5A3B"/>
    <w:rsid w:val="041A67F9"/>
    <w:rsid w:val="042311BA"/>
    <w:rsid w:val="042B157A"/>
    <w:rsid w:val="043C52BF"/>
    <w:rsid w:val="046D67FB"/>
    <w:rsid w:val="047A6B49"/>
    <w:rsid w:val="048C0345"/>
    <w:rsid w:val="048F763B"/>
    <w:rsid w:val="049F330E"/>
    <w:rsid w:val="04AA775C"/>
    <w:rsid w:val="04AF1889"/>
    <w:rsid w:val="04C579CE"/>
    <w:rsid w:val="04F66F48"/>
    <w:rsid w:val="05056200"/>
    <w:rsid w:val="05251E14"/>
    <w:rsid w:val="05713C16"/>
    <w:rsid w:val="05A16594"/>
    <w:rsid w:val="05A7762D"/>
    <w:rsid w:val="05E50007"/>
    <w:rsid w:val="060E5941"/>
    <w:rsid w:val="06110FAF"/>
    <w:rsid w:val="0619721E"/>
    <w:rsid w:val="06493CA7"/>
    <w:rsid w:val="065A13C7"/>
    <w:rsid w:val="065A6178"/>
    <w:rsid w:val="06606E3A"/>
    <w:rsid w:val="066716E0"/>
    <w:rsid w:val="066F1CF3"/>
    <w:rsid w:val="06930BB8"/>
    <w:rsid w:val="06B84730"/>
    <w:rsid w:val="06CB62A4"/>
    <w:rsid w:val="07005FB5"/>
    <w:rsid w:val="0721282E"/>
    <w:rsid w:val="07245D42"/>
    <w:rsid w:val="07264C62"/>
    <w:rsid w:val="0779354C"/>
    <w:rsid w:val="078400DD"/>
    <w:rsid w:val="07921036"/>
    <w:rsid w:val="07BB5EF2"/>
    <w:rsid w:val="07C57079"/>
    <w:rsid w:val="07D57174"/>
    <w:rsid w:val="07ED2336"/>
    <w:rsid w:val="07F12200"/>
    <w:rsid w:val="08061376"/>
    <w:rsid w:val="0823202C"/>
    <w:rsid w:val="08452D77"/>
    <w:rsid w:val="08604CC0"/>
    <w:rsid w:val="086401F8"/>
    <w:rsid w:val="08751CAA"/>
    <w:rsid w:val="087E4C40"/>
    <w:rsid w:val="08A871D0"/>
    <w:rsid w:val="08C95DA1"/>
    <w:rsid w:val="08D66AD6"/>
    <w:rsid w:val="08DA33A3"/>
    <w:rsid w:val="08E2175A"/>
    <w:rsid w:val="08E80F13"/>
    <w:rsid w:val="08FF340F"/>
    <w:rsid w:val="09335624"/>
    <w:rsid w:val="0944690F"/>
    <w:rsid w:val="09535675"/>
    <w:rsid w:val="095624FF"/>
    <w:rsid w:val="09595A6B"/>
    <w:rsid w:val="095F057D"/>
    <w:rsid w:val="09642282"/>
    <w:rsid w:val="096500A5"/>
    <w:rsid w:val="09733572"/>
    <w:rsid w:val="09772C16"/>
    <w:rsid w:val="098353B5"/>
    <w:rsid w:val="09936181"/>
    <w:rsid w:val="09972933"/>
    <w:rsid w:val="09A92330"/>
    <w:rsid w:val="09B06B87"/>
    <w:rsid w:val="09BD16D6"/>
    <w:rsid w:val="09C13146"/>
    <w:rsid w:val="09E04166"/>
    <w:rsid w:val="09EC7123"/>
    <w:rsid w:val="09F77876"/>
    <w:rsid w:val="09FB7366"/>
    <w:rsid w:val="0A0A1722"/>
    <w:rsid w:val="0A1C0718"/>
    <w:rsid w:val="0A2E2EE2"/>
    <w:rsid w:val="0A3E7710"/>
    <w:rsid w:val="0A5B7E63"/>
    <w:rsid w:val="0AA374A5"/>
    <w:rsid w:val="0AA56AB0"/>
    <w:rsid w:val="0AAB7649"/>
    <w:rsid w:val="0ABC5606"/>
    <w:rsid w:val="0AFD2C6A"/>
    <w:rsid w:val="0B30404E"/>
    <w:rsid w:val="0B3D575C"/>
    <w:rsid w:val="0B464611"/>
    <w:rsid w:val="0B472137"/>
    <w:rsid w:val="0B4C6C14"/>
    <w:rsid w:val="0B4F791F"/>
    <w:rsid w:val="0B510CC2"/>
    <w:rsid w:val="0B547599"/>
    <w:rsid w:val="0B631A88"/>
    <w:rsid w:val="0B683D45"/>
    <w:rsid w:val="0B7F3F11"/>
    <w:rsid w:val="0B884417"/>
    <w:rsid w:val="0BC45746"/>
    <w:rsid w:val="0BF6188C"/>
    <w:rsid w:val="0BF73C91"/>
    <w:rsid w:val="0C004584"/>
    <w:rsid w:val="0C170175"/>
    <w:rsid w:val="0C215260"/>
    <w:rsid w:val="0C545FE7"/>
    <w:rsid w:val="0C571A41"/>
    <w:rsid w:val="0C5C1171"/>
    <w:rsid w:val="0C5E1CBC"/>
    <w:rsid w:val="0C613435"/>
    <w:rsid w:val="0C615B50"/>
    <w:rsid w:val="0C762CD4"/>
    <w:rsid w:val="0C8445DA"/>
    <w:rsid w:val="0C87121B"/>
    <w:rsid w:val="0CAF1157"/>
    <w:rsid w:val="0CC007F7"/>
    <w:rsid w:val="0CC617AC"/>
    <w:rsid w:val="0CE618DF"/>
    <w:rsid w:val="0CFE707A"/>
    <w:rsid w:val="0D063BDA"/>
    <w:rsid w:val="0D08375F"/>
    <w:rsid w:val="0D184CFB"/>
    <w:rsid w:val="0D3715BC"/>
    <w:rsid w:val="0D3F3A0E"/>
    <w:rsid w:val="0D4A7419"/>
    <w:rsid w:val="0D4C0A5C"/>
    <w:rsid w:val="0D6A10D3"/>
    <w:rsid w:val="0D827401"/>
    <w:rsid w:val="0D84094E"/>
    <w:rsid w:val="0D8A00E9"/>
    <w:rsid w:val="0D8D589E"/>
    <w:rsid w:val="0D9B41F9"/>
    <w:rsid w:val="0DA01C73"/>
    <w:rsid w:val="0DD63300"/>
    <w:rsid w:val="0DDE4FD5"/>
    <w:rsid w:val="0DF50604"/>
    <w:rsid w:val="0DF702FE"/>
    <w:rsid w:val="0E060E51"/>
    <w:rsid w:val="0E5604B2"/>
    <w:rsid w:val="0E602003"/>
    <w:rsid w:val="0E6D5D79"/>
    <w:rsid w:val="0E777F55"/>
    <w:rsid w:val="0E984360"/>
    <w:rsid w:val="0E9D0089"/>
    <w:rsid w:val="0EB803EE"/>
    <w:rsid w:val="0EDB32C2"/>
    <w:rsid w:val="0EF60F28"/>
    <w:rsid w:val="0EF94D4B"/>
    <w:rsid w:val="0F182497"/>
    <w:rsid w:val="0F1862C4"/>
    <w:rsid w:val="0F476BAA"/>
    <w:rsid w:val="0F4958DC"/>
    <w:rsid w:val="0F515DF7"/>
    <w:rsid w:val="0F596BA8"/>
    <w:rsid w:val="0F6248D2"/>
    <w:rsid w:val="0F693536"/>
    <w:rsid w:val="0F7B0511"/>
    <w:rsid w:val="0F7B76D9"/>
    <w:rsid w:val="0F816ACD"/>
    <w:rsid w:val="0F916E5A"/>
    <w:rsid w:val="0F9832DB"/>
    <w:rsid w:val="0FA21DCD"/>
    <w:rsid w:val="0FBF3FD2"/>
    <w:rsid w:val="0FBF7FF3"/>
    <w:rsid w:val="0FEC5E28"/>
    <w:rsid w:val="0FFC6856"/>
    <w:rsid w:val="102E1B18"/>
    <w:rsid w:val="103E1D5B"/>
    <w:rsid w:val="104906FF"/>
    <w:rsid w:val="10646583"/>
    <w:rsid w:val="107D4B15"/>
    <w:rsid w:val="108A3C80"/>
    <w:rsid w:val="10C26171"/>
    <w:rsid w:val="10CB4326"/>
    <w:rsid w:val="10F22B45"/>
    <w:rsid w:val="10F33360"/>
    <w:rsid w:val="10FC16EA"/>
    <w:rsid w:val="110F1D40"/>
    <w:rsid w:val="11266F33"/>
    <w:rsid w:val="11625DC1"/>
    <w:rsid w:val="118963A1"/>
    <w:rsid w:val="11991213"/>
    <w:rsid w:val="11A947D6"/>
    <w:rsid w:val="11B03394"/>
    <w:rsid w:val="11C6522A"/>
    <w:rsid w:val="11E026B8"/>
    <w:rsid w:val="11E104CC"/>
    <w:rsid w:val="11E20309"/>
    <w:rsid w:val="11E64458"/>
    <w:rsid w:val="12255233"/>
    <w:rsid w:val="12500C0A"/>
    <w:rsid w:val="12530213"/>
    <w:rsid w:val="12633CFA"/>
    <w:rsid w:val="127723A9"/>
    <w:rsid w:val="127B54E8"/>
    <w:rsid w:val="12862074"/>
    <w:rsid w:val="12883966"/>
    <w:rsid w:val="129E45B4"/>
    <w:rsid w:val="12D81596"/>
    <w:rsid w:val="13072A44"/>
    <w:rsid w:val="135F4BE2"/>
    <w:rsid w:val="13842FCA"/>
    <w:rsid w:val="139B1A0A"/>
    <w:rsid w:val="139D25C7"/>
    <w:rsid w:val="13BF3CE4"/>
    <w:rsid w:val="13CB1D49"/>
    <w:rsid w:val="13E250F3"/>
    <w:rsid w:val="13EC4B9E"/>
    <w:rsid w:val="140577FA"/>
    <w:rsid w:val="141008D8"/>
    <w:rsid w:val="14125FE6"/>
    <w:rsid w:val="143E57C7"/>
    <w:rsid w:val="144624E8"/>
    <w:rsid w:val="146D271E"/>
    <w:rsid w:val="14707AB9"/>
    <w:rsid w:val="14982588"/>
    <w:rsid w:val="149A5AD9"/>
    <w:rsid w:val="149D06AB"/>
    <w:rsid w:val="14A7619D"/>
    <w:rsid w:val="14B22D17"/>
    <w:rsid w:val="14DB7894"/>
    <w:rsid w:val="14E60C13"/>
    <w:rsid w:val="150536C3"/>
    <w:rsid w:val="150C1963"/>
    <w:rsid w:val="151447A0"/>
    <w:rsid w:val="15297389"/>
    <w:rsid w:val="154A6454"/>
    <w:rsid w:val="156A1844"/>
    <w:rsid w:val="15762120"/>
    <w:rsid w:val="15CE4571"/>
    <w:rsid w:val="15F416F5"/>
    <w:rsid w:val="15F61834"/>
    <w:rsid w:val="166149F5"/>
    <w:rsid w:val="166C5148"/>
    <w:rsid w:val="16A8729C"/>
    <w:rsid w:val="16AB3EC2"/>
    <w:rsid w:val="16B33777"/>
    <w:rsid w:val="16BC70A7"/>
    <w:rsid w:val="16C6339E"/>
    <w:rsid w:val="16CD4127"/>
    <w:rsid w:val="16D412CD"/>
    <w:rsid w:val="16D423C1"/>
    <w:rsid w:val="17033CFE"/>
    <w:rsid w:val="17260F0E"/>
    <w:rsid w:val="172F2D79"/>
    <w:rsid w:val="17557BEF"/>
    <w:rsid w:val="175C6F6A"/>
    <w:rsid w:val="17943E3D"/>
    <w:rsid w:val="17B62FCE"/>
    <w:rsid w:val="17D349C1"/>
    <w:rsid w:val="17DD2B78"/>
    <w:rsid w:val="1821268E"/>
    <w:rsid w:val="1830729E"/>
    <w:rsid w:val="1864152A"/>
    <w:rsid w:val="1870062C"/>
    <w:rsid w:val="187C61CA"/>
    <w:rsid w:val="18817102"/>
    <w:rsid w:val="18830A15"/>
    <w:rsid w:val="18852B28"/>
    <w:rsid w:val="188B5321"/>
    <w:rsid w:val="18F71640"/>
    <w:rsid w:val="19067AD5"/>
    <w:rsid w:val="191001F6"/>
    <w:rsid w:val="193907DB"/>
    <w:rsid w:val="194667FA"/>
    <w:rsid w:val="19566367"/>
    <w:rsid w:val="19932372"/>
    <w:rsid w:val="19A20DD5"/>
    <w:rsid w:val="19AE03F1"/>
    <w:rsid w:val="19C31523"/>
    <w:rsid w:val="19C857A0"/>
    <w:rsid w:val="19CA0B03"/>
    <w:rsid w:val="19EC0A79"/>
    <w:rsid w:val="1A071A03"/>
    <w:rsid w:val="1A187AC0"/>
    <w:rsid w:val="1A1F16AE"/>
    <w:rsid w:val="1A3B5C77"/>
    <w:rsid w:val="1A8342DE"/>
    <w:rsid w:val="1A984BAD"/>
    <w:rsid w:val="1AA834CA"/>
    <w:rsid w:val="1AB8220E"/>
    <w:rsid w:val="1AC83A13"/>
    <w:rsid w:val="1AE4166C"/>
    <w:rsid w:val="1AF06CFB"/>
    <w:rsid w:val="1AF11B8D"/>
    <w:rsid w:val="1B01337C"/>
    <w:rsid w:val="1B11359C"/>
    <w:rsid w:val="1B2A271F"/>
    <w:rsid w:val="1B530544"/>
    <w:rsid w:val="1B544CE3"/>
    <w:rsid w:val="1B713184"/>
    <w:rsid w:val="1B844BEA"/>
    <w:rsid w:val="1BA209CF"/>
    <w:rsid w:val="1BB4777D"/>
    <w:rsid w:val="1BD75AB8"/>
    <w:rsid w:val="1BE0460E"/>
    <w:rsid w:val="1C0459C2"/>
    <w:rsid w:val="1C1B3B4A"/>
    <w:rsid w:val="1C5055DC"/>
    <w:rsid w:val="1C88086E"/>
    <w:rsid w:val="1C9F1474"/>
    <w:rsid w:val="1CA468B3"/>
    <w:rsid w:val="1CBF5157"/>
    <w:rsid w:val="1CC655B2"/>
    <w:rsid w:val="1CFC1C64"/>
    <w:rsid w:val="1D266CE1"/>
    <w:rsid w:val="1D3963AF"/>
    <w:rsid w:val="1D6A673C"/>
    <w:rsid w:val="1D9247AE"/>
    <w:rsid w:val="1DB567EC"/>
    <w:rsid w:val="1DC702CA"/>
    <w:rsid w:val="1DD464FF"/>
    <w:rsid w:val="1DF51A98"/>
    <w:rsid w:val="1E2A1362"/>
    <w:rsid w:val="1E361291"/>
    <w:rsid w:val="1E3D060F"/>
    <w:rsid w:val="1E3F7D2E"/>
    <w:rsid w:val="1E4134E4"/>
    <w:rsid w:val="1E5062B3"/>
    <w:rsid w:val="1E523514"/>
    <w:rsid w:val="1E5C4616"/>
    <w:rsid w:val="1E714A66"/>
    <w:rsid w:val="1E802593"/>
    <w:rsid w:val="1E8B6156"/>
    <w:rsid w:val="1EA402FF"/>
    <w:rsid w:val="1EA703CC"/>
    <w:rsid w:val="1EB7330C"/>
    <w:rsid w:val="1EBD29E4"/>
    <w:rsid w:val="1F0A0FF3"/>
    <w:rsid w:val="1F3B76DF"/>
    <w:rsid w:val="1F5771FF"/>
    <w:rsid w:val="1F7723E6"/>
    <w:rsid w:val="1FC1466E"/>
    <w:rsid w:val="1FD52DD5"/>
    <w:rsid w:val="1FE868A9"/>
    <w:rsid w:val="20034907"/>
    <w:rsid w:val="20173E4B"/>
    <w:rsid w:val="201E1C07"/>
    <w:rsid w:val="20210F16"/>
    <w:rsid w:val="202366A3"/>
    <w:rsid w:val="20344555"/>
    <w:rsid w:val="204E48BC"/>
    <w:rsid w:val="2077032A"/>
    <w:rsid w:val="20794DB5"/>
    <w:rsid w:val="208921B3"/>
    <w:rsid w:val="20973DEB"/>
    <w:rsid w:val="20B26522"/>
    <w:rsid w:val="20B44310"/>
    <w:rsid w:val="20D90E52"/>
    <w:rsid w:val="211116EB"/>
    <w:rsid w:val="21260D15"/>
    <w:rsid w:val="212F27D1"/>
    <w:rsid w:val="213A45E3"/>
    <w:rsid w:val="214D44F3"/>
    <w:rsid w:val="216133FC"/>
    <w:rsid w:val="217F03DA"/>
    <w:rsid w:val="218E6104"/>
    <w:rsid w:val="21D56769"/>
    <w:rsid w:val="21E52EF3"/>
    <w:rsid w:val="21FB5D7B"/>
    <w:rsid w:val="22015E94"/>
    <w:rsid w:val="220B1C3D"/>
    <w:rsid w:val="221D1D20"/>
    <w:rsid w:val="222B1658"/>
    <w:rsid w:val="22334A87"/>
    <w:rsid w:val="22993768"/>
    <w:rsid w:val="22BE6801"/>
    <w:rsid w:val="22D87DED"/>
    <w:rsid w:val="233500BF"/>
    <w:rsid w:val="23377FF7"/>
    <w:rsid w:val="23566F63"/>
    <w:rsid w:val="236817F3"/>
    <w:rsid w:val="236B425F"/>
    <w:rsid w:val="237644F1"/>
    <w:rsid w:val="23836192"/>
    <w:rsid w:val="23901F29"/>
    <w:rsid w:val="239C0061"/>
    <w:rsid w:val="23B908A4"/>
    <w:rsid w:val="23D700A4"/>
    <w:rsid w:val="23E95BEF"/>
    <w:rsid w:val="23EB1DA2"/>
    <w:rsid w:val="23FD0064"/>
    <w:rsid w:val="240B41F2"/>
    <w:rsid w:val="24341B4E"/>
    <w:rsid w:val="244F60E9"/>
    <w:rsid w:val="245375B0"/>
    <w:rsid w:val="24642C0A"/>
    <w:rsid w:val="2473125F"/>
    <w:rsid w:val="2485348A"/>
    <w:rsid w:val="24B22173"/>
    <w:rsid w:val="24B95AD9"/>
    <w:rsid w:val="24BE24DA"/>
    <w:rsid w:val="24CF5825"/>
    <w:rsid w:val="24D663E6"/>
    <w:rsid w:val="24D77F2B"/>
    <w:rsid w:val="24E032B6"/>
    <w:rsid w:val="25253091"/>
    <w:rsid w:val="25280096"/>
    <w:rsid w:val="255816B9"/>
    <w:rsid w:val="258B00E2"/>
    <w:rsid w:val="259524B0"/>
    <w:rsid w:val="25A917A6"/>
    <w:rsid w:val="25BA1A2C"/>
    <w:rsid w:val="25BE27CC"/>
    <w:rsid w:val="25F74A5C"/>
    <w:rsid w:val="260E7FC9"/>
    <w:rsid w:val="2628662C"/>
    <w:rsid w:val="262D45DE"/>
    <w:rsid w:val="2650413E"/>
    <w:rsid w:val="2661459D"/>
    <w:rsid w:val="267162CA"/>
    <w:rsid w:val="26871DC8"/>
    <w:rsid w:val="26A53EF9"/>
    <w:rsid w:val="26A94201"/>
    <w:rsid w:val="26AC274F"/>
    <w:rsid w:val="26B2493E"/>
    <w:rsid w:val="26C06B34"/>
    <w:rsid w:val="26D11357"/>
    <w:rsid w:val="27044A29"/>
    <w:rsid w:val="271D34C8"/>
    <w:rsid w:val="27277595"/>
    <w:rsid w:val="275B665F"/>
    <w:rsid w:val="276142BF"/>
    <w:rsid w:val="27783712"/>
    <w:rsid w:val="27787DF0"/>
    <w:rsid w:val="27907362"/>
    <w:rsid w:val="27A377C7"/>
    <w:rsid w:val="27B11B79"/>
    <w:rsid w:val="27D74B17"/>
    <w:rsid w:val="28333E1D"/>
    <w:rsid w:val="28454BD6"/>
    <w:rsid w:val="28455253"/>
    <w:rsid w:val="28551971"/>
    <w:rsid w:val="285B1C53"/>
    <w:rsid w:val="289F7086"/>
    <w:rsid w:val="28B12D73"/>
    <w:rsid w:val="28B94DA8"/>
    <w:rsid w:val="28C32028"/>
    <w:rsid w:val="28CC490F"/>
    <w:rsid w:val="28DE40AA"/>
    <w:rsid w:val="29332221"/>
    <w:rsid w:val="29345E77"/>
    <w:rsid w:val="294C65AD"/>
    <w:rsid w:val="29806583"/>
    <w:rsid w:val="298B3C4C"/>
    <w:rsid w:val="29F26D24"/>
    <w:rsid w:val="2A15033F"/>
    <w:rsid w:val="2A1662C1"/>
    <w:rsid w:val="2A1C7367"/>
    <w:rsid w:val="2A2815FA"/>
    <w:rsid w:val="2A6D6092"/>
    <w:rsid w:val="2A7D76B4"/>
    <w:rsid w:val="2A93222D"/>
    <w:rsid w:val="2ACE3236"/>
    <w:rsid w:val="2AD10FC0"/>
    <w:rsid w:val="2AD90BA6"/>
    <w:rsid w:val="2AEF599B"/>
    <w:rsid w:val="2B021058"/>
    <w:rsid w:val="2B437463"/>
    <w:rsid w:val="2B7807EE"/>
    <w:rsid w:val="2B914A51"/>
    <w:rsid w:val="2BA50BF7"/>
    <w:rsid w:val="2BBF00EC"/>
    <w:rsid w:val="2BC37CFD"/>
    <w:rsid w:val="2BD5237F"/>
    <w:rsid w:val="2BDA1A1F"/>
    <w:rsid w:val="2BE536CE"/>
    <w:rsid w:val="2BE758D9"/>
    <w:rsid w:val="2C09049E"/>
    <w:rsid w:val="2C0A653C"/>
    <w:rsid w:val="2C191F85"/>
    <w:rsid w:val="2C22708E"/>
    <w:rsid w:val="2C402280"/>
    <w:rsid w:val="2C5F332D"/>
    <w:rsid w:val="2C826E81"/>
    <w:rsid w:val="2CBA4A07"/>
    <w:rsid w:val="2CE82D6F"/>
    <w:rsid w:val="2D045C82"/>
    <w:rsid w:val="2D343236"/>
    <w:rsid w:val="2D5C23F2"/>
    <w:rsid w:val="2D630BFB"/>
    <w:rsid w:val="2D776454"/>
    <w:rsid w:val="2DA74F8B"/>
    <w:rsid w:val="2DD15014"/>
    <w:rsid w:val="2DF72DE4"/>
    <w:rsid w:val="2E0220AF"/>
    <w:rsid w:val="2E210323"/>
    <w:rsid w:val="2E212DFE"/>
    <w:rsid w:val="2E4B082A"/>
    <w:rsid w:val="2E5D4E86"/>
    <w:rsid w:val="2E5D790B"/>
    <w:rsid w:val="2E8822E7"/>
    <w:rsid w:val="2E960B5C"/>
    <w:rsid w:val="2E9A3C18"/>
    <w:rsid w:val="2EBB0FEE"/>
    <w:rsid w:val="2EC63002"/>
    <w:rsid w:val="2ECF20B3"/>
    <w:rsid w:val="2F0A6B38"/>
    <w:rsid w:val="2F21169C"/>
    <w:rsid w:val="2F3426DA"/>
    <w:rsid w:val="2F66176D"/>
    <w:rsid w:val="2F946CCB"/>
    <w:rsid w:val="2FD25781"/>
    <w:rsid w:val="2FDC745C"/>
    <w:rsid w:val="2FE54AD9"/>
    <w:rsid w:val="2FED0547"/>
    <w:rsid w:val="2FF14FCA"/>
    <w:rsid w:val="2FFD7934"/>
    <w:rsid w:val="301F52AD"/>
    <w:rsid w:val="30252E9E"/>
    <w:rsid w:val="304046D5"/>
    <w:rsid w:val="306E7DF3"/>
    <w:rsid w:val="30733ACD"/>
    <w:rsid w:val="308B70BE"/>
    <w:rsid w:val="308C3862"/>
    <w:rsid w:val="309379D8"/>
    <w:rsid w:val="30A270F7"/>
    <w:rsid w:val="30D51ACE"/>
    <w:rsid w:val="30DF1478"/>
    <w:rsid w:val="30EC586F"/>
    <w:rsid w:val="30EE29AB"/>
    <w:rsid w:val="31230DCD"/>
    <w:rsid w:val="314550B7"/>
    <w:rsid w:val="317629D6"/>
    <w:rsid w:val="319C6071"/>
    <w:rsid w:val="31AC537E"/>
    <w:rsid w:val="31D24182"/>
    <w:rsid w:val="31E3679B"/>
    <w:rsid w:val="31E732FD"/>
    <w:rsid w:val="32517576"/>
    <w:rsid w:val="32BE5C2C"/>
    <w:rsid w:val="32D71AEA"/>
    <w:rsid w:val="32D878D0"/>
    <w:rsid w:val="32EE0F4A"/>
    <w:rsid w:val="32FB6478"/>
    <w:rsid w:val="3301513E"/>
    <w:rsid w:val="330F43A7"/>
    <w:rsid w:val="33263B3F"/>
    <w:rsid w:val="336963EB"/>
    <w:rsid w:val="33816EEB"/>
    <w:rsid w:val="33C16FE7"/>
    <w:rsid w:val="33D10EAC"/>
    <w:rsid w:val="33E347C2"/>
    <w:rsid w:val="33EB55CD"/>
    <w:rsid w:val="33EC4C02"/>
    <w:rsid w:val="33F24A86"/>
    <w:rsid w:val="340D2360"/>
    <w:rsid w:val="3410665D"/>
    <w:rsid w:val="34211214"/>
    <w:rsid w:val="342E63AB"/>
    <w:rsid w:val="34533777"/>
    <w:rsid w:val="346A0AC1"/>
    <w:rsid w:val="34950E68"/>
    <w:rsid w:val="34986E94"/>
    <w:rsid w:val="34AF62C9"/>
    <w:rsid w:val="34CB4388"/>
    <w:rsid w:val="34EC078A"/>
    <w:rsid w:val="34FA6E12"/>
    <w:rsid w:val="35052FCD"/>
    <w:rsid w:val="354D7158"/>
    <w:rsid w:val="355E591C"/>
    <w:rsid w:val="357A65AA"/>
    <w:rsid w:val="358D5588"/>
    <w:rsid w:val="35A02E2C"/>
    <w:rsid w:val="35B0255C"/>
    <w:rsid w:val="35D92624"/>
    <w:rsid w:val="362F2B67"/>
    <w:rsid w:val="363A3B40"/>
    <w:rsid w:val="365302AE"/>
    <w:rsid w:val="36607A0A"/>
    <w:rsid w:val="366E227C"/>
    <w:rsid w:val="366F2E0D"/>
    <w:rsid w:val="367B6A5C"/>
    <w:rsid w:val="36A74ADA"/>
    <w:rsid w:val="36AD60D5"/>
    <w:rsid w:val="36B224F9"/>
    <w:rsid w:val="36E83F1F"/>
    <w:rsid w:val="36EC0CC9"/>
    <w:rsid w:val="370611FE"/>
    <w:rsid w:val="371371EE"/>
    <w:rsid w:val="373F410B"/>
    <w:rsid w:val="374B2347"/>
    <w:rsid w:val="375032DD"/>
    <w:rsid w:val="37831469"/>
    <w:rsid w:val="3796672C"/>
    <w:rsid w:val="379A01E0"/>
    <w:rsid w:val="37CF0CE0"/>
    <w:rsid w:val="37EE7094"/>
    <w:rsid w:val="38296C89"/>
    <w:rsid w:val="382D4135"/>
    <w:rsid w:val="383002EB"/>
    <w:rsid w:val="38586797"/>
    <w:rsid w:val="38AF2F46"/>
    <w:rsid w:val="38BC0149"/>
    <w:rsid w:val="38D87D1C"/>
    <w:rsid w:val="38E77618"/>
    <w:rsid w:val="38EE74F9"/>
    <w:rsid w:val="39092558"/>
    <w:rsid w:val="39127E98"/>
    <w:rsid w:val="392C27E9"/>
    <w:rsid w:val="39636459"/>
    <w:rsid w:val="396B7F6C"/>
    <w:rsid w:val="397406B0"/>
    <w:rsid w:val="399D36E6"/>
    <w:rsid w:val="39AD3BC2"/>
    <w:rsid w:val="39B417A9"/>
    <w:rsid w:val="39FC5695"/>
    <w:rsid w:val="3A006D8E"/>
    <w:rsid w:val="3A053765"/>
    <w:rsid w:val="3A0906C7"/>
    <w:rsid w:val="3A13432A"/>
    <w:rsid w:val="3A3651E5"/>
    <w:rsid w:val="3A557B1D"/>
    <w:rsid w:val="3A744481"/>
    <w:rsid w:val="3A8C7BEF"/>
    <w:rsid w:val="3A906246"/>
    <w:rsid w:val="3AA67A19"/>
    <w:rsid w:val="3ADB6274"/>
    <w:rsid w:val="3B2349B7"/>
    <w:rsid w:val="3B547DD5"/>
    <w:rsid w:val="3B616CFF"/>
    <w:rsid w:val="3B6259F6"/>
    <w:rsid w:val="3B6444BC"/>
    <w:rsid w:val="3B7566C9"/>
    <w:rsid w:val="3B854A7A"/>
    <w:rsid w:val="3B976654"/>
    <w:rsid w:val="3BC01EFC"/>
    <w:rsid w:val="3BCA786A"/>
    <w:rsid w:val="3BD31E2F"/>
    <w:rsid w:val="3BF15831"/>
    <w:rsid w:val="3C105946"/>
    <w:rsid w:val="3C471448"/>
    <w:rsid w:val="3C5D7A5C"/>
    <w:rsid w:val="3C5F759A"/>
    <w:rsid w:val="3C6C525A"/>
    <w:rsid w:val="3C721269"/>
    <w:rsid w:val="3CA1195A"/>
    <w:rsid w:val="3CAC4265"/>
    <w:rsid w:val="3CBB43AF"/>
    <w:rsid w:val="3CC0115D"/>
    <w:rsid w:val="3CCE23CB"/>
    <w:rsid w:val="3CD17D17"/>
    <w:rsid w:val="3CEC43DA"/>
    <w:rsid w:val="3D3879AE"/>
    <w:rsid w:val="3D3C7F39"/>
    <w:rsid w:val="3D440F09"/>
    <w:rsid w:val="3D4504A0"/>
    <w:rsid w:val="3D4577DE"/>
    <w:rsid w:val="3D8734BB"/>
    <w:rsid w:val="3D9A11D4"/>
    <w:rsid w:val="3DA02CE4"/>
    <w:rsid w:val="3DA16D89"/>
    <w:rsid w:val="3DA364BE"/>
    <w:rsid w:val="3DA7225D"/>
    <w:rsid w:val="3DC14A8D"/>
    <w:rsid w:val="3DE041CB"/>
    <w:rsid w:val="3DEB4A20"/>
    <w:rsid w:val="3E0D48F6"/>
    <w:rsid w:val="3E1868B4"/>
    <w:rsid w:val="3E230AB2"/>
    <w:rsid w:val="3E377251"/>
    <w:rsid w:val="3E42664B"/>
    <w:rsid w:val="3E5A7334"/>
    <w:rsid w:val="3E7B5D6B"/>
    <w:rsid w:val="3E8310FD"/>
    <w:rsid w:val="3E843E66"/>
    <w:rsid w:val="3E8F51FE"/>
    <w:rsid w:val="3E926F87"/>
    <w:rsid w:val="3E942EC5"/>
    <w:rsid w:val="3E9A59DE"/>
    <w:rsid w:val="3EAF2F70"/>
    <w:rsid w:val="3EAF4836"/>
    <w:rsid w:val="3EC33DFA"/>
    <w:rsid w:val="3EEC4010"/>
    <w:rsid w:val="3EF6313A"/>
    <w:rsid w:val="3F060E16"/>
    <w:rsid w:val="3F0F0BE2"/>
    <w:rsid w:val="3F1D1096"/>
    <w:rsid w:val="3F2F0234"/>
    <w:rsid w:val="3F536D21"/>
    <w:rsid w:val="3F6363FE"/>
    <w:rsid w:val="3F756B8F"/>
    <w:rsid w:val="3F7F703F"/>
    <w:rsid w:val="3F8D661A"/>
    <w:rsid w:val="3F95482B"/>
    <w:rsid w:val="3FA466B4"/>
    <w:rsid w:val="3FB26998"/>
    <w:rsid w:val="3FFF452F"/>
    <w:rsid w:val="4019356B"/>
    <w:rsid w:val="4033464A"/>
    <w:rsid w:val="40592157"/>
    <w:rsid w:val="406E1CAE"/>
    <w:rsid w:val="40A0133A"/>
    <w:rsid w:val="40C31A53"/>
    <w:rsid w:val="40CB1D5D"/>
    <w:rsid w:val="40FF545D"/>
    <w:rsid w:val="410067C8"/>
    <w:rsid w:val="412439D3"/>
    <w:rsid w:val="41727207"/>
    <w:rsid w:val="418F0D2A"/>
    <w:rsid w:val="41B17D2F"/>
    <w:rsid w:val="41D01505"/>
    <w:rsid w:val="41EC0D67"/>
    <w:rsid w:val="41FC0F58"/>
    <w:rsid w:val="42024A2E"/>
    <w:rsid w:val="42037115"/>
    <w:rsid w:val="42075E9B"/>
    <w:rsid w:val="42474939"/>
    <w:rsid w:val="424C3C57"/>
    <w:rsid w:val="424D2F17"/>
    <w:rsid w:val="42562684"/>
    <w:rsid w:val="42613FF3"/>
    <w:rsid w:val="42660D96"/>
    <w:rsid w:val="428667D2"/>
    <w:rsid w:val="42933DB2"/>
    <w:rsid w:val="42B83FD7"/>
    <w:rsid w:val="42C1481C"/>
    <w:rsid w:val="42CD1CE0"/>
    <w:rsid w:val="42E1381E"/>
    <w:rsid w:val="42ED6459"/>
    <w:rsid w:val="42FE58DD"/>
    <w:rsid w:val="430D7573"/>
    <w:rsid w:val="43140575"/>
    <w:rsid w:val="43174B3D"/>
    <w:rsid w:val="434B790E"/>
    <w:rsid w:val="4360274F"/>
    <w:rsid w:val="4391537B"/>
    <w:rsid w:val="43977AB6"/>
    <w:rsid w:val="43A3342B"/>
    <w:rsid w:val="43C006FD"/>
    <w:rsid w:val="43C77C27"/>
    <w:rsid w:val="43DE09EE"/>
    <w:rsid w:val="44002FAD"/>
    <w:rsid w:val="44315157"/>
    <w:rsid w:val="444558B4"/>
    <w:rsid w:val="44650D7A"/>
    <w:rsid w:val="449101DD"/>
    <w:rsid w:val="44D102A5"/>
    <w:rsid w:val="44D73812"/>
    <w:rsid w:val="44DE1391"/>
    <w:rsid w:val="44EB409B"/>
    <w:rsid w:val="44FB1141"/>
    <w:rsid w:val="451B225C"/>
    <w:rsid w:val="452410C9"/>
    <w:rsid w:val="45317DFB"/>
    <w:rsid w:val="453C3A68"/>
    <w:rsid w:val="456D3CE4"/>
    <w:rsid w:val="4579042C"/>
    <w:rsid w:val="457F0571"/>
    <w:rsid w:val="45851176"/>
    <w:rsid w:val="45961A5A"/>
    <w:rsid w:val="45C63B94"/>
    <w:rsid w:val="45CB1E22"/>
    <w:rsid w:val="45D87F80"/>
    <w:rsid w:val="45F16B5A"/>
    <w:rsid w:val="460E7DA5"/>
    <w:rsid w:val="462B0339"/>
    <w:rsid w:val="463E5FBE"/>
    <w:rsid w:val="46422483"/>
    <w:rsid w:val="4659254A"/>
    <w:rsid w:val="465B0637"/>
    <w:rsid w:val="465E3F0D"/>
    <w:rsid w:val="466A16E6"/>
    <w:rsid w:val="466A4950"/>
    <w:rsid w:val="46893F2B"/>
    <w:rsid w:val="469D4D26"/>
    <w:rsid w:val="46BA1434"/>
    <w:rsid w:val="46C4686E"/>
    <w:rsid w:val="477B778F"/>
    <w:rsid w:val="478203EC"/>
    <w:rsid w:val="47A07BBB"/>
    <w:rsid w:val="47B025FA"/>
    <w:rsid w:val="4809698F"/>
    <w:rsid w:val="4811697D"/>
    <w:rsid w:val="487A3E25"/>
    <w:rsid w:val="48884C46"/>
    <w:rsid w:val="488B5503"/>
    <w:rsid w:val="48937E21"/>
    <w:rsid w:val="489A0361"/>
    <w:rsid w:val="48A04659"/>
    <w:rsid w:val="48B94FF3"/>
    <w:rsid w:val="48E37AAB"/>
    <w:rsid w:val="48FD4B4C"/>
    <w:rsid w:val="490A68E0"/>
    <w:rsid w:val="491055FE"/>
    <w:rsid w:val="495C4A24"/>
    <w:rsid w:val="495D70FC"/>
    <w:rsid w:val="495F5B3E"/>
    <w:rsid w:val="496F77D7"/>
    <w:rsid w:val="497654FD"/>
    <w:rsid w:val="49B64211"/>
    <w:rsid w:val="49E56AF9"/>
    <w:rsid w:val="49F6167F"/>
    <w:rsid w:val="4A0347A8"/>
    <w:rsid w:val="4A064FA0"/>
    <w:rsid w:val="4A16615C"/>
    <w:rsid w:val="4A2F0833"/>
    <w:rsid w:val="4A4424D7"/>
    <w:rsid w:val="4A580775"/>
    <w:rsid w:val="4A9D1E8F"/>
    <w:rsid w:val="4AB82D0F"/>
    <w:rsid w:val="4AEB7664"/>
    <w:rsid w:val="4AFD5FB8"/>
    <w:rsid w:val="4AFD7C19"/>
    <w:rsid w:val="4B0567D1"/>
    <w:rsid w:val="4B236AAE"/>
    <w:rsid w:val="4B420B01"/>
    <w:rsid w:val="4B49666B"/>
    <w:rsid w:val="4B707271"/>
    <w:rsid w:val="4B846B63"/>
    <w:rsid w:val="4B921486"/>
    <w:rsid w:val="4B9739F7"/>
    <w:rsid w:val="4BB072A9"/>
    <w:rsid w:val="4BCE772F"/>
    <w:rsid w:val="4BEE2503"/>
    <w:rsid w:val="4BEE392E"/>
    <w:rsid w:val="4BFE1C4A"/>
    <w:rsid w:val="4C245A30"/>
    <w:rsid w:val="4C2F4368"/>
    <w:rsid w:val="4CB6685F"/>
    <w:rsid w:val="4CC367FE"/>
    <w:rsid w:val="4D077F3C"/>
    <w:rsid w:val="4D123355"/>
    <w:rsid w:val="4D13189E"/>
    <w:rsid w:val="4D2A3B31"/>
    <w:rsid w:val="4D312C52"/>
    <w:rsid w:val="4D4E12EF"/>
    <w:rsid w:val="4D605321"/>
    <w:rsid w:val="4D7A4C4B"/>
    <w:rsid w:val="4D7E6ED6"/>
    <w:rsid w:val="4D800342"/>
    <w:rsid w:val="4D905305"/>
    <w:rsid w:val="4D964A72"/>
    <w:rsid w:val="4D9C1254"/>
    <w:rsid w:val="4E537616"/>
    <w:rsid w:val="4E654842"/>
    <w:rsid w:val="4E793892"/>
    <w:rsid w:val="4E800872"/>
    <w:rsid w:val="4E842A5B"/>
    <w:rsid w:val="4E867065"/>
    <w:rsid w:val="4EC569ED"/>
    <w:rsid w:val="4ED50EA1"/>
    <w:rsid w:val="4EEC050C"/>
    <w:rsid w:val="4F104EC3"/>
    <w:rsid w:val="4F3C4E12"/>
    <w:rsid w:val="4F47354A"/>
    <w:rsid w:val="4F911C54"/>
    <w:rsid w:val="4FE625E0"/>
    <w:rsid w:val="5021480F"/>
    <w:rsid w:val="507C775A"/>
    <w:rsid w:val="50962ECB"/>
    <w:rsid w:val="50A42E38"/>
    <w:rsid w:val="50A4577F"/>
    <w:rsid w:val="50B17876"/>
    <w:rsid w:val="50B73D1F"/>
    <w:rsid w:val="50BD5BC9"/>
    <w:rsid w:val="50C11EEE"/>
    <w:rsid w:val="50CB7C2C"/>
    <w:rsid w:val="50E97CFC"/>
    <w:rsid w:val="50FA4028"/>
    <w:rsid w:val="510D65B7"/>
    <w:rsid w:val="511157AB"/>
    <w:rsid w:val="51166C22"/>
    <w:rsid w:val="5142540C"/>
    <w:rsid w:val="515052C4"/>
    <w:rsid w:val="516A5418"/>
    <w:rsid w:val="518832C8"/>
    <w:rsid w:val="5190642C"/>
    <w:rsid w:val="519D3C50"/>
    <w:rsid w:val="51A0432A"/>
    <w:rsid w:val="51A86090"/>
    <w:rsid w:val="51B7396D"/>
    <w:rsid w:val="51BF308A"/>
    <w:rsid w:val="51C92E73"/>
    <w:rsid w:val="52067F7E"/>
    <w:rsid w:val="521A1920"/>
    <w:rsid w:val="522E4CC3"/>
    <w:rsid w:val="5244713B"/>
    <w:rsid w:val="52615633"/>
    <w:rsid w:val="526B1ADE"/>
    <w:rsid w:val="526F4DE4"/>
    <w:rsid w:val="52934714"/>
    <w:rsid w:val="52977FD4"/>
    <w:rsid w:val="52A25790"/>
    <w:rsid w:val="52A96B6F"/>
    <w:rsid w:val="52AF3E17"/>
    <w:rsid w:val="52B45975"/>
    <w:rsid w:val="52D94AA4"/>
    <w:rsid w:val="52DF055B"/>
    <w:rsid w:val="52EA3A62"/>
    <w:rsid w:val="52F50BB8"/>
    <w:rsid w:val="53097272"/>
    <w:rsid w:val="53544462"/>
    <w:rsid w:val="536D2676"/>
    <w:rsid w:val="536F5C64"/>
    <w:rsid w:val="5397158E"/>
    <w:rsid w:val="53D14261"/>
    <w:rsid w:val="54013861"/>
    <w:rsid w:val="540C5299"/>
    <w:rsid w:val="54365456"/>
    <w:rsid w:val="54487265"/>
    <w:rsid w:val="544D6070"/>
    <w:rsid w:val="54605E1E"/>
    <w:rsid w:val="5484213F"/>
    <w:rsid w:val="54B3506A"/>
    <w:rsid w:val="54BA1E19"/>
    <w:rsid w:val="54CA0D16"/>
    <w:rsid w:val="54DD4057"/>
    <w:rsid w:val="54E7490F"/>
    <w:rsid w:val="54ED01D5"/>
    <w:rsid w:val="54EE3123"/>
    <w:rsid w:val="550764A4"/>
    <w:rsid w:val="550B2BF6"/>
    <w:rsid w:val="55214EB5"/>
    <w:rsid w:val="55364EFD"/>
    <w:rsid w:val="55435688"/>
    <w:rsid w:val="555D4828"/>
    <w:rsid w:val="55602A34"/>
    <w:rsid w:val="557A4C8B"/>
    <w:rsid w:val="558931E1"/>
    <w:rsid w:val="55923347"/>
    <w:rsid w:val="55925180"/>
    <w:rsid w:val="55983B1B"/>
    <w:rsid w:val="55A8376B"/>
    <w:rsid w:val="55BC7D0E"/>
    <w:rsid w:val="55C324D2"/>
    <w:rsid w:val="55DC29B6"/>
    <w:rsid w:val="55DD4241"/>
    <w:rsid w:val="56122A29"/>
    <w:rsid w:val="5625341C"/>
    <w:rsid w:val="565C6A08"/>
    <w:rsid w:val="565F12D4"/>
    <w:rsid w:val="566B6D1E"/>
    <w:rsid w:val="56A8574D"/>
    <w:rsid w:val="56D952C7"/>
    <w:rsid w:val="57032A2C"/>
    <w:rsid w:val="570F5219"/>
    <w:rsid w:val="5719267A"/>
    <w:rsid w:val="57346FE0"/>
    <w:rsid w:val="575D12B5"/>
    <w:rsid w:val="57610A87"/>
    <w:rsid w:val="57765C7A"/>
    <w:rsid w:val="57776916"/>
    <w:rsid w:val="577B1140"/>
    <w:rsid w:val="577B7F21"/>
    <w:rsid w:val="577F181B"/>
    <w:rsid w:val="57877110"/>
    <w:rsid w:val="57921984"/>
    <w:rsid w:val="579737F0"/>
    <w:rsid w:val="57AB7B30"/>
    <w:rsid w:val="57AF5251"/>
    <w:rsid w:val="57B26373"/>
    <w:rsid w:val="57B63F04"/>
    <w:rsid w:val="57CD20C2"/>
    <w:rsid w:val="57D675AB"/>
    <w:rsid w:val="57D95FDD"/>
    <w:rsid w:val="57DF519E"/>
    <w:rsid w:val="584B708D"/>
    <w:rsid w:val="588135D4"/>
    <w:rsid w:val="58917D2F"/>
    <w:rsid w:val="5894085C"/>
    <w:rsid w:val="58A106A5"/>
    <w:rsid w:val="58AE4F0C"/>
    <w:rsid w:val="58B85899"/>
    <w:rsid w:val="58BB257A"/>
    <w:rsid w:val="58E363A9"/>
    <w:rsid w:val="595E1678"/>
    <w:rsid w:val="596D5BD4"/>
    <w:rsid w:val="59746E82"/>
    <w:rsid w:val="5978041C"/>
    <w:rsid w:val="597E3DD8"/>
    <w:rsid w:val="59F50429"/>
    <w:rsid w:val="59F80043"/>
    <w:rsid w:val="5A026F22"/>
    <w:rsid w:val="5A09252F"/>
    <w:rsid w:val="5A0B2778"/>
    <w:rsid w:val="5A2A7C7B"/>
    <w:rsid w:val="5A3E2560"/>
    <w:rsid w:val="5A5A6D5E"/>
    <w:rsid w:val="5A5D3B6E"/>
    <w:rsid w:val="5A637A76"/>
    <w:rsid w:val="5A6D33BA"/>
    <w:rsid w:val="5A792B1F"/>
    <w:rsid w:val="5A874767"/>
    <w:rsid w:val="5AA85BE2"/>
    <w:rsid w:val="5AAD6F28"/>
    <w:rsid w:val="5AD63A24"/>
    <w:rsid w:val="5ADA0928"/>
    <w:rsid w:val="5B226321"/>
    <w:rsid w:val="5B2B529F"/>
    <w:rsid w:val="5B2E1A1D"/>
    <w:rsid w:val="5B473176"/>
    <w:rsid w:val="5B50392E"/>
    <w:rsid w:val="5B843A1C"/>
    <w:rsid w:val="5B873E3F"/>
    <w:rsid w:val="5BA521B0"/>
    <w:rsid w:val="5BC91E86"/>
    <w:rsid w:val="5BDB5C7C"/>
    <w:rsid w:val="5C02690E"/>
    <w:rsid w:val="5C196DA7"/>
    <w:rsid w:val="5C2A048C"/>
    <w:rsid w:val="5C4D5AD4"/>
    <w:rsid w:val="5C80234E"/>
    <w:rsid w:val="5C8A680C"/>
    <w:rsid w:val="5CEF7F90"/>
    <w:rsid w:val="5D0C4701"/>
    <w:rsid w:val="5D0E2082"/>
    <w:rsid w:val="5D0F0395"/>
    <w:rsid w:val="5D221076"/>
    <w:rsid w:val="5D397964"/>
    <w:rsid w:val="5D477B84"/>
    <w:rsid w:val="5D5A391C"/>
    <w:rsid w:val="5D5F10C0"/>
    <w:rsid w:val="5D5F5FD3"/>
    <w:rsid w:val="5D675118"/>
    <w:rsid w:val="5D891B7B"/>
    <w:rsid w:val="5DAD38EE"/>
    <w:rsid w:val="5DEA21A7"/>
    <w:rsid w:val="5E006862"/>
    <w:rsid w:val="5E0207B9"/>
    <w:rsid w:val="5E1834A1"/>
    <w:rsid w:val="5E261785"/>
    <w:rsid w:val="5E345B18"/>
    <w:rsid w:val="5E4A7017"/>
    <w:rsid w:val="5E552BBA"/>
    <w:rsid w:val="5E611C10"/>
    <w:rsid w:val="5E655CD1"/>
    <w:rsid w:val="5E7A0F3F"/>
    <w:rsid w:val="5EFC7377"/>
    <w:rsid w:val="5F06174D"/>
    <w:rsid w:val="5F3A3602"/>
    <w:rsid w:val="5F45733B"/>
    <w:rsid w:val="5F6277C6"/>
    <w:rsid w:val="5F6D0B1D"/>
    <w:rsid w:val="5F8D0B82"/>
    <w:rsid w:val="5F9E5C9E"/>
    <w:rsid w:val="5FB10E83"/>
    <w:rsid w:val="5FBA204D"/>
    <w:rsid w:val="5FBD72E3"/>
    <w:rsid w:val="5FC0209B"/>
    <w:rsid w:val="5FCC5339"/>
    <w:rsid w:val="5FE34A5B"/>
    <w:rsid w:val="5FFE1E36"/>
    <w:rsid w:val="60232584"/>
    <w:rsid w:val="603D3188"/>
    <w:rsid w:val="6045400C"/>
    <w:rsid w:val="60690939"/>
    <w:rsid w:val="606E53D9"/>
    <w:rsid w:val="607330CE"/>
    <w:rsid w:val="607A19E4"/>
    <w:rsid w:val="60825176"/>
    <w:rsid w:val="609F2AC4"/>
    <w:rsid w:val="60B81261"/>
    <w:rsid w:val="60FA2EE8"/>
    <w:rsid w:val="61054A27"/>
    <w:rsid w:val="610A52BC"/>
    <w:rsid w:val="611D2366"/>
    <w:rsid w:val="61421856"/>
    <w:rsid w:val="615227C4"/>
    <w:rsid w:val="61654E3F"/>
    <w:rsid w:val="617F354E"/>
    <w:rsid w:val="6182292A"/>
    <w:rsid w:val="61844B11"/>
    <w:rsid w:val="618639A0"/>
    <w:rsid w:val="619F7F92"/>
    <w:rsid w:val="61F94C26"/>
    <w:rsid w:val="62000E56"/>
    <w:rsid w:val="62214605"/>
    <w:rsid w:val="624A76B8"/>
    <w:rsid w:val="624F3E49"/>
    <w:rsid w:val="625241B7"/>
    <w:rsid w:val="62632286"/>
    <w:rsid w:val="62877764"/>
    <w:rsid w:val="62885958"/>
    <w:rsid w:val="6294694F"/>
    <w:rsid w:val="62F40B65"/>
    <w:rsid w:val="62FC2CFE"/>
    <w:rsid w:val="63024505"/>
    <w:rsid w:val="63351F05"/>
    <w:rsid w:val="63471762"/>
    <w:rsid w:val="635527B8"/>
    <w:rsid w:val="635600A5"/>
    <w:rsid w:val="635B1DB5"/>
    <w:rsid w:val="63711FED"/>
    <w:rsid w:val="63880DDC"/>
    <w:rsid w:val="638D750D"/>
    <w:rsid w:val="63910123"/>
    <w:rsid w:val="63AC6CC0"/>
    <w:rsid w:val="63B34089"/>
    <w:rsid w:val="64055776"/>
    <w:rsid w:val="64240056"/>
    <w:rsid w:val="643B41CE"/>
    <w:rsid w:val="643E143A"/>
    <w:rsid w:val="64472311"/>
    <w:rsid w:val="64491666"/>
    <w:rsid w:val="648B6EEF"/>
    <w:rsid w:val="64C158BF"/>
    <w:rsid w:val="64CE2EAA"/>
    <w:rsid w:val="64EE66F1"/>
    <w:rsid w:val="64F74C64"/>
    <w:rsid w:val="65000502"/>
    <w:rsid w:val="653C3090"/>
    <w:rsid w:val="65854376"/>
    <w:rsid w:val="658767BE"/>
    <w:rsid w:val="65892531"/>
    <w:rsid w:val="66117C3F"/>
    <w:rsid w:val="66195831"/>
    <w:rsid w:val="662E75B1"/>
    <w:rsid w:val="66342C2E"/>
    <w:rsid w:val="663E784C"/>
    <w:rsid w:val="66846F11"/>
    <w:rsid w:val="668B6A45"/>
    <w:rsid w:val="668D3232"/>
    <w:rsid w:val="66C037C7"/>
    <w:rsid w:val="66C13CC1"/>
    <w:rsid w:val="66DE4873"/>
    <w:rsid w:val="67011F07"/>
    <w:rsid w:val="671B5AC7"/>
    <w:rsid w:val="672F3F24"/>
    <w:rsid w:val="673E055F"/>
    <w:rsid w:val="67551CE3"/>
    <w:rsid w:val="67A22552"/>
    <w:rsid w:val="67B22DCC"/>
    <w:rsid w:val="67BE71AA"/>
    <w:rsid w:val="67D90273"/>
    <w:rsid w:val="67DE5875"/>
    <w:rsid w:val="67E55852"/>
    <w:rsid w:val="67EB1AB4"/>
    <w:rsid w:val="67FA1285"/>
    <w:rsid w:val="682C023D"/>
    <w:rsid w:val="68551F4F"/>
    <w:rsid w:val="6861498F"/>
    <w:rsid w:val="686D795E"/>
    <w:rsid w:val="687C10C9"/>
    <w:rsid w:val="68840C16"/>
    <w:rsid w:val="68872541"/>
    <w:rsid w:val="68876EFB"/>
    <w:rsid w:val="68884654"/>
    <w:rsid w:val="689F444F"/>
    <w:rsid w:val="68B96DBB"/>
    <w:rsid w:val="68C27158"/>
    <w:rsid w:val="68CA2805"/>
    <w:rsid w:val="68D51CA5"/>
    <w:rsid w:val="68DD6BF5"/>
    <w:rsid w:val="68E937A3"/>
    <w:rsid w:val="68FF6C0E"/>
    <w:rsid w:val="69003651"/>
    <w:rsid w:val="690E1E0F"/>
    <w:rsid w:val="690F02BE"/>
    <w:rsid w:val="69146C72"/>
    <w:rsid w:val="691664E5"/>
    <w:rsid w:val="69341C75"/>
    <w:rsid w:val="693C4933"/>
    <w:rsid w:val="693E15D3"/>
    <w:rsid w:val="69627681"/>
    <w:rsid w:val="696C759C"/>
    <w:rsid w:val="6977531D"/>
    <w:rsid w:val="698F62F8"/>
    <w:rsid w:val="69B8584F"/>
    <w:rsid w:val="69CC2BFF"/>
    <w:rsid w:val="69FD55B8"/>
    <w:rsid w:val="6A04125B"/>
    <w:rsid w:val="6A0B1C62"/>
    <w:rsid w:val="6A13037E"/>
    <w:rsid w:val="6A2406C8"/>
    <w:rsid w:val="6A365075"/>
    <w:rsid w:val="6A6D0279"/>
    <w:rsid w:val="6AA33E09"/>
    <w:rsid w:val="6ADE0BD1"/>
    <w:rsid w:val="6AE96859"/>
    <w:rsid w:val="6B147746"/>
    <w:rsid w:val="6B24787C"/>
    <w:rsid w:val="6B2C180E"/>
    <w:rsid w:val="6B482C03"/>
    <w:rsid w:val="6B4847FB"/>
    <w:rsid w:val="6B4F325E"/>
    <w:rsid w:val="6B573233"/>
    <w:rsid w:val="6B5B6274"/>
    <w:rsid w:val="6B712159"/>
    <w:rsid w:val="6B935D53"/>
    <w:rsid w:val="6C196F71"/>
    <w:rsid w:val="6C226FCB"/>
    <w:rsid w:val="6C31226F"/>
    <w:rsid w:val="6C552F0B"/>
    <w:rsid w:val="6C847CB9"/>
    <w:rsid w:val="6C871917"/>
    <w:rsid w:val="6C8C67B7"/>
    <w:rsid w:val="6C9B0980"/>
    <w:rsid w:val="6C9D744C"/>
    <w:rsid w:val="6CB92618"/>
    <w:rsid w:val="6CCD33BF"/>
    <w:rsid w:val="6CDA488F"/>
    <w:rsid w:val="6CE0354D"/>
    <w:rsid w:val="6D167928"/>
    <w:rsid w:val="6D26299B"/>
    <w:rsid w:val="6D4772EC"/>
    <w:rsid w:val="6D7C6B93"/>
    <w:rsid w:val="6D9078AF"/>
    <w:rsid w:val="6DA85BDA"/>
    <w:rsid w:val="6DAA3FEF"/>
    <w:rsid w:val="6DC0172B"/>
    <w:rsid w:val="6DCB690C"/>
    <w:rsid w:val="6DD41A5B"/>
    <w:rsid w:val="6DDB3069"/>
    <w:rsid w:val="6DF43C2E"/>
    <w:rsid w:val="6DF51CA3"/>
    <w:rsid w:val="6E8335BD"/>
    <w:rsid w:val="6E8E12EF"/>
    <w:rsid w:val="6E972936"/>
    <w:rsid w:val="6ED446C5"/>
    <w:rsid w:val="6F012FA0"/>
    <w:rsid w:val="6F1928EC"/>
    <w:rsid w:val="6F2A7D94"/>
    <w:rsid w:val="6F700D66"/>
    <w:rsid w:val="6F815400"/>
    <w:rsid w:val="6F8331F1"/>
    <w:rsid w:val="6FAE1A09"/>
    <w:rsid w:val="6FD75BF8"/>
    <w:rsid w:val="6FEC0A99"/>
    <w:rsid w:val="6FEE1FCA"/>
    <w:rsid w:val="70545BA6"/>
    <w:rsid w:val="707723D0"/>
    <w:rsid w:val="70C73A71"/>
    <w:rsid w:val="70ED2282"/>
    <w:rsid w:val="70F5661B"/>
    <w:rsid w:val="71325EE7"/>
    <w:rsid w:val="71360107"/>
    <w:rsid w:val="713B688E"/>
    <w:rsid w:val="71D15351"/>
    <w:rsid w:val="71D43752"/>
    <w:rsid w:val="71F1796A"/>
    <w:rsid w:val="72154626"/>
    <w:rsid w:val="721910BE"/>
    <w:rsid w:val="72262B5D"/>
    <w:rsid w:val="72283FF7"/>
    <w:rsid w:val="722C2B09"/>
    <w:rsid w:val="722E7212"/>
    <w:rsid w:val="72367C59"/>
    <w:rsid w:val="723A0474"/>
    <w:rsid w:val="725923E4"/>
    <w:rsid w:val="72864BF7"/>
    <w:rsid w:val="729023FC"/>
    <w:rsid w:val="730147FD"/>
    <w:rsid w:val="73373C88"/>
    <w:rsid w:val="73487C44"/>
    <w:rsid w:val="73A94CE3"/>
    <w:rsid w:val="73C0646E"/>
    <w:rsid w:val="73F030AD"/>
    <w:rsid w:val="73FE9EBC"/>
    <w:rsid w:val="74212243"/>
    <w:rsid w:val="74213FF1"/>
    <w:rsid w:val="742222F5"/>
    <w:rsid w:val="742E21DF"/>
    <w:rsid w:val="74476126"/>
    <w:rsid w:val="74706664"/>
    <w:rsid w:val="747F3682"/>
    <w:rsid w:val="74911824"/>
    <w:rsid w:val="749869A9"/>
    <w:rsid w:val="749C4185"/>
    <w:rsid w:val="75067759"/>
    <w:rsid w:val="752B1BC9"/>
    <w:rsid w:val="752E6DCD"/>
    <w:rsid w:val="7551380D"/>
    <w:rsid w:val="75600BE5"/>
    <w:rsid w:val="7564475C"/>
    <w:rsid w:val="757765BE"/>
    <w:rsid w:val="7583797F"/>
    <w:rsid w:val="75B74E8D"/>
    <w:rsid w:val="75D20F1D"/>
    <w:rsid w:val="75DA2C18"/>
    <w:rsid w:val="75F54412"/>
    <w:rsid w:val="76003BF8"/>
    <w:rsid w:val="76160274"/>
    <w:rsid w:val="76197675"/>
    <w:rsid w:val="761D08E0"/>
    <w:rsid w:val="765D347C"/>
    <w:rsid w:val="76826699"/>
    <w:rsid w:val="768F5B89"/>
    <w:rsid w:val="76AA29C3"/>
    <w:rsid w:val="76C87133"/>
    <w:rsid w:val="76CD08D5"/>
    <w:rsid w:val="76DB4B92"/>
    <w:rsid w:val="76F73A24"/>
    <w:rsid w:val="76FA0980"/>
    <w:rsid w:val="76FD013A"/>
    <w:rsid w:val="77052AA4"/>
    <w:rsid w:val="77136511"/>
    <w:rsid w:val="77340A39"/>
    <w:rsid w:val="77351FD0"/>
    <w:rsid w:val="77472422"/>
    <w:rsid w:val="776A5D31"/>
    <w:rsid w:val="777F31F2"/>
    <w:rsid w:val="7798281C"/>
    <w:rsid w:val="77A64F39"/>
    <w:rsid w:val="77AA4BA9"/>
    <w:rsid w:val="77B8754F"/>
    <w:rsid w:val="77D1700D"/>
    <w:rsid w:val="77E3618D"/>
    <w:rsid w:val="77EC04CC"/>
    <w:rsid w:val="78617D97"/>
    <w:rsid w:val="78680440"/>
    <w:rsid w:val="786971B0"/>
    <w:rsid w:val="78775729"/>
    <w:rsid w:val="787F7779"/>
    <w:rsid w:val="78A42DB0"/>
    <w:rsid w:val="78A656AB"/>
    <w:rsid w:val="78B2245C"/>
    <w:rsid w:val="78C11D93"/>
    <w:rsid w:val="78D058FA"/>
    <w:rsid w:val="78E172CC"/>
    <w:rsid w:val="78EA1D1F"/>
    <w:rsid w:val="7904172F"/>
    <w:rsid w:val="790F7E27"/>
    <w:rsid w:val="792A231A"/>
    <w:rsid w:val="792E03F6"/>
    <w:rsid w:val="79316829"/>
    <w:rsid w:val="793B5AC8"/>
    <w:rsid w:val="797400FD"/>
    <w:rsid w:val="79743BBA"/>
    <w:rsid w:val="797E66A9"/>
    <w:rsid w:val="798518A4"/>
    <w:rsid w:val="79A97383"/>
    <w:rsid w:val="79DF59C1"/>
    <w:rsid w:val="79E27E8B"/>
    <w:rsid w:val="79E955B1"/>
    <w:rsid w:val="79F850CE"/>
    <w:rsid w:val="79FD443C"/>
    <w:rsid w:val="7A0D1584"/>
    <w:rsid w:val="7A1D1975"/>
    <w:rsid w:val="7A2946DE"/>
    <w:rsid w:val="7A3E5150"/>
    <w:rsid w:val="7A4670D6"/>
    <w:rsid w:val="7A496BE4"/>
    <w:rsid w:val="7A4E7CB5"/>
    <w:rsid w:val="7A534B63"/>
    <w:rsid w:val="7A615382"/>
    <w:rsid w:val="7A67303B"/>
    <w:rsid w:val="7AAB1D04"/>
    <w:rsid w:val="7ABA4368"/>
    <w:rsid w:val="7AD05746"/>
    <w:rsid w:val="7AF40ED0"/>
    <w:rsid w:val="7B257FFD"/>
    <w:rsid w:val="7B273D20"/>
    <w:rsid w:val="7B343476"/>
    <w:rsid w:val="7B5A2978"/>
    <w:rsid w:val="7B5A7E4C"/>
    <w:rsid w:val="7B613689"/>
    <w:rsid w:val="7B667AF9"/>
    <w:rsid w:val="7B7468F8"/>
    <w:rsid w:val="7B8D6D92"/>
    <w:rsid w:val="7BC3064A"/>
    <w:rsid w:val="7BEE0103"/>
    <w:rsid w:val="7BF87FE7"/>
    <w:rsid w:val="7C0A0FE4"/>
    <w:rsid w:val="7C254906"/>
    <w:rsid w:val="7C384F6E"/>
    <w:rsid w:val="7C590818"/>
    <w:rsid w:val="7C6D071B"/>
    <w:rsid w:val="7C7C10F6"/>
    <w:rsid w:val="7C853BEA"/>
    <w:rsid w:val="7C881368"/>
    <w:rsid w:val="7CAC0188"/>
    <w:rsid w:val="7CE27788"/>
    <w:rsid w:val="7D0C32F1"/>
    <w:rsid w:val="7D0F408D"/>
    <w:rsid w:val="7D1312C2"/>
    <w:rsid w:val="7D2D1788"/>
    <w:rsid w:val="7D491C6C"/>
    <w:rsid w:val="7D5429C0"/>
    <w:rsid w:val="7D665380"/>
    <w:rsid w:val="7D6E6D43"/>
    <w:rsid w:val="7DB57A34"/>
    <w:rsid w:val="7DE60973"/>
    <w:rsid w:val="7DEF0916"/>
    <w:rsid w:val="7E1E5218"/>
    <w:rsid w:val="7E9271C8"/>
    <w:rsid w:val="7E99415D"/>
    <w:rsid w:val="7E9A4E1F"/>
    <w:rsid w:val="7EA7723A"/>
    <w:rsid w:val="7EF56FBB"/>
    <w:rsid w:val="7F0768EB"/>
    <w:rsid w:val="7F143BEC"/>
    <w:rsid w:val="7F715AF2"/>
    <w:rsid w:val="7F7D666C"/>
    <w:rsid w:val="7F886E69"/>
    <w:rsid w:val="7FBA3523"/>
    <w:rsid w:val="BB7FA927"/>
    <w:rsid w:val="EDEB2613"/>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5"/>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7"/>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8"/>
    <w:qFormat/>
    <w:uiPriority w:val="0"/>
    <w:rPr>
      <w:b/>
      <w:bCs/>
    </w:rPr>
  </w:style>
  <w:style w:type="paragraph" w:styleId="61">
    <w:name w:val="Body Text First Indent"/>
    <w:basedOn w:val="1"/>
    <w:next w:val="51"/>
    <w:link w:val="323"/>
    <w:qFormat/>
    <w:uiPriority w:val="0"/>
    <w:pPr>
      <w:ind w:firstLine="420"/>
    </w:pPr>
    <w:rPr>
      <w:rFonts w:hAnsi="Calibri"/>
      <w:szCs w:val="20"/>
    </w:rPr>
  </w:style>
  <w:style w:type="paragraph" w:styleId="62">
    <w:name w:val="Body Text First Indent 2"/>
    <w:basedOn w:val="25"/>
    <w:next w:val="1"/>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样式3"/>
    <w:basedOn w:val="33"/>
    <w:next w:val="1"/>
    <w:qFormat/>
    <w:uiPriority w:val="0"/>
    <w:pPr>
      <w:tabs>
        <w:tab w:val="left" w:pos="2790"/>
        <w:tab w:val="left" w:pos="4230"/>
      </w:tabs>
      <w:spacing w:before="312" w:beforeLines="100"/>
      <w:jc w:val="left"/>
    </w:pPr>
  </w:style>
  <w:style w:type="paragraph" w:customStyle="1" w:styleId="81">
    <w:name w:val="xl53"/>
    <w:basedOn w:val="1"/>
    <w:next w:val="1"/>
    <w:qFormat/>
    <w:uiPriority w:val="0"/>
    <w:pPr>
      <w:spacing w:before="280" w:after="280" w:line="100" w:lineRule="exact"/>
      <w:jc w:val="center"/>
    </w:pPr>
    <w:rPr>
      <w:b/>
      <w:sz w:val="20"/>
    </w:rPr>
  </w:style>
  <w:style w:type="paragraph" w:customStyle="1" w:styleId="82">
    <w:name w:val="正文1"/>
    <w:basedOn w:val="1"/>
    <w:qFormat/>
    <w:uiPriority w:val="0"/>
    <w:pPr>
      <w:spacing w:line="318" w:lineRule="atLeast"/>
      <w:ind w:left="369" w:firstLine="369"/>
      <w:textAlignment w:val="baseline"/>
    </w:pPr>
    <w:rPr>
      <w:rFonts w:ascii="宋体"/>
      <w:szCs w:val="20"/>
    </w:rPr>
  </w:style>
  <w:style w:type="paragraph" w:customStyle="1" w:styleId="83">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2"/>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6"/>
    <w:qFormat/>
    <w:uiPriority w:val="0"/>
    <w:rPr>
      <w:rFonts w:ascii="宋体"/>
      <w:kern w:val="2"/>
      <w:sz w:val="24"/>
      <w:szCs w:val="21"/>
      <w:lang w:val="zh-CN"/>
    </w:rPr>
  </w:style>
  <w:style w:type="character" w:customStyle="1" w:styleId="184">
    <w:name w:val="标题 9 字符"/>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7"/>
    <w:qFormat/>
    <w:uiPriority w:val="0"/>
    <w:rPr>
      <w:rFonts w:ascii="黑体" w:hAnsi="Courier New" w:eastAsia="黑体"/>
    </w:rPr>
  </w:style>
  <w:style w:type="character" w:customStyle="1" w:styleId="304">
    <w:name w:val="正文文本 2 字符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9"/>
    <w:qFormat/>
    <w:uiPriority w:val="0"/>
    <w:rPr>
      <w:b/>
      <w:bCs/>
      <w:kern w:val="2"/>
      <w:sz w:val="24"/>
      <w:szCs w:val="24"/>
    </w:rPr>
  </w:style>
  <w:style w:type="character" w:customStyle="1" w:styleId="310">
    <w:name w:val="正文文本缩进 2 字符"/>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2"/>
    <w:qFormat/>
    <w:uiPriority w:val="0"/>
    <w:rPr>
      <w:kern w:val="2"/>
      <w:sz w:val="21"/>
    </w:rPr>
  </w:style>
  <w:style w:type="character" w:customStyle="1" w:styleId="333">
    <w:name w:val="font31"/>
    <w:basedOn w:val="70"/>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0"/>
    <w:qFormat/>
    <w:uiPriority w:val="99"/>
    <w:rPr>
      <w:kern w:val="2"/>
      <w:sz w:val="21"/>
      <w:szCs w:val="24"/>
    </w:rPr>
  </w:style>
  <w:style w:type="character" w:customStyle="1" w:styleId="347">
    <w:name w:val="签名 字符"/>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8"/>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WPSOffice手动目录 1"/>
    <w:qFormat/>
    <w:uiPriority w:val="0"/>
    <w:rPr>
      <w:rFonts w:ascii="Times New Roman" w:hAnsi="Times New Roman" w:eastAsia="宋体" w:cs="Times New Roman"/>
      <w:lang w:val="en-US" w:eastAsia="zh-CN" w:bidi="ar-SA"/>
    </w:rPr>
  </w:style>
  <w:style w:type="character" w:customStyle="1" w:styleId="967">
    <w:name w:val="flname8"/>
    <w:qFormat/>
    <w:uiPriority w:val="99"/>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40917</Words>
  <Characters>44915</Characters>
  <Lines>362</Lines>
  <Paragraphs>102</Paragraphs>
  <TotalTime>1</TotalTime>
  <ScaleCrop>false</ScaleCrop>
  <LinksUpToDate>false</LinksUpToDate>
  <CharactersWithSpaces>48473</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2024-07-05T03:16:00Z</dcterms:created>
  <dc:creator>玥</dc:creator>
  <cp:lastModifiedBy>朱同学。</cp:lastModifiedBy>
  <cp:lastPrinted>2024-03-12T10:27:00Z</cp:lastPrinted>
  <dcterms:modified xsi:type="dcterms:W3CDTF">2024-09-02T07:00:37Z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33D7633A7147E70C88428766C75D3BC9_43</vt:lpwstr>
  </property>
</Properties>
</file>