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rPr>
          <w:rFonts w:cs="仿宋_GB2312" w:asciiTheme="minorEastAsia" w:hAnsiTheme="minorEastAsia" w:eastAsiaTheme="minorEastAsia"/>
          <w:color w:val="auto"/>
          <w:sz w:val="30"/>
          <w:szCs w:val="30"/>
          <w:highlight w:val="none"/>
        </w:rPr>
      </w:pPr>
      <w:bookmarkStart w:id="1" w:name="_Toc30047"/>
    </w:p>
    <w:p>
      <w:pPr>
        <w:snapToGrid w:val="0"/>
        <w:spacing w:line="360" w:lineRule="auto"/>
        <w:jc w:val="left"/>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：2024NBHSWCS203</w:t>
      </w:r>
      <w:r>
        <w:rPr>
          <w:rFonts w:hint="eastAsia" w:cs="仿宋_GB2312" w:asciiTheme="minorEastAsia" w:hAnsiTheme="minorEastAsia" w:eastAsiaTheme="minorEastAsia"/>
          <w:color w:val="auto"/>
          <w:sz w:val="32"/>
          <w:szCs w:val="32"/>
          <w:highlight w:val="none"/>
        </w:rPr>
        <w:t xml:space="preserve">   </w:t>
      </w:r>
    </w:p>
    <w:p>
      <w:pPr>
        <w:snapToGrid w:val="0"/>
        <w:spacing w:line="360" w:lineRule="auto"/>
        <w:jc w:val="left"/>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宁波市海曙区鄞江中心卫生院设备整体维保项目</w:t>
      </w: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napToGrid w:val="0"/>
        <w:spacing w:line="360" w:lineRule="auto"/>
        <w:jc w:val="center"/>
        <w:rPr>
          <w:rFonts w:cs="仿宋_GB2312" w:asciiTheme="minorEastAsia" w:hAnsiTheme="minorEastAsia" w:eastAsiaTheme="minorEastAsia"/>
          <w:color w:val="auto"/>
          <w:sz w:val="32"/>
          <w:szCs w:val="32"/>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bookmarkStart w:id="2" w:name="_Toc24447"/>
    </w:p>
    <w:p>
      <w:pPr>
        <w:snapToGrid w:val="0"/>
        <w:spacing w:line="360" w:lineRule="auto"/>
        <w:jc w:val="center"/>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bookmarkEnd w:id="2"/>
      <w:r>
        <w:rPr>
          <w:rFonts w:hint="eastAsia" w:cs="仿宋_GB2312" w:asciiTheme="minorEastAsia" w:hAnsiTheme="minorEastAsia" w:eastAsiaTheme="minorEastAsia"/>
          <w:color w:val="auto"/>
          <w:sz w:val="32"/>
          <w:szCs w:val="32"/>
          <w:highlight w:val="none"/>
          <w:lang w:eastAsia="zh-CN"/>
        </w:rPr>
        <w:t>宁波市海曙区鄞江中心卫生院</w:t>
      </w:r>
    </w:p>
    <w:p>
      <w:pPr>
        <w:spacing w:line="360" w:lineRule="auto"/>
        <w:jc w:val="center"/>
        <w:rPr>
          <w:rFonts w:hint="eastAsia" w:cs="仿宋_GB2312" w:asciiTheme="minorEastAsia" w:hAnsiTheme="minorEastAsia" w:eastAsiaTheme="minorEastAsia"/>
          <w:bCs/>
          <w:color w:val="auto"/>
          <w:sz w:val="32"/>
          <w:szCs w:val="32"/>
          <w:highlight w:val="none"/>
          <w:lang w:eastAsia="zh-CN"/>
        </w:rPr>
      </w:pPr>
      <w:bookmarkStart w:id="3" w:name="_Toc7448"/>
      <w:r>
        <w:rPr>
          <w:rFonts w:hint="eastAsia" w:cs="仿宋_GB2312" w:asciiTheme="minorEastAsia" w:hAnsiTheme="minorEastAsia" w:eastAsiaTheme="minorEastAsia"/>
          <w:bCs/>
          <w:color w:val="auto"/>
          <w:sz w:val="32"/>
          <w:szCs w:val="32"/>
          <w:highlight w:val="none"/>
        </w:rPr>
        <w:t>采购代理机构：</w:t>
      </w:r>
      <w:bookmarkEnd w:id="3"/>
      <w:r>
        <w:rPr>
          <w:rFonts w:hint="eastAsia" w:cs="仿宋_GB2312" w:asciiTheme="minorEastAsia" w:hAnsiTheme="minorEastAsia" w:eastAsiaTheme="minorEastAsia"/>
          <w:bCs/>
          <w:color w:val="auto"/>
          <w:sz w:val="32"/>
          <w:szCs w:val="32"/>
          <w:highlight w:val="none"/>
          <w:lang w:eastAsia="zh-CN"/>
        </w:rPr>
        <w:t>宁波中基国际招标有限公司</w:t>
      </w:r>
    </w:p>
    <w:p>
      <w:pPr>
        <w:snapToGrid w:val="0"/>
        <w:spacing w:line="360" w:lineRule="auto"/>
        <w:jc w:val="center"/>
        <w:rPr>
          <w:rFonts w:cs="仿宋_GB2312" w:asciiTheme="minorEastAsia" w:hAnsiTheme="minorEastAsia" w:eastAsiaTheme="minorEastAsia"/>
          <w:bCs/>
          <w:color w:val="auto"/>
          <w:sz w:val="32"/>
          <w:szCs w:val="32"/>
          <w:highlight w:val="none"/>
        </w:rPr>
      </w:pPr>
    </w:p>
    <w:p>
      <w:pPr>
        <w:snapToGrid w:val="0"/>
        <w:spacing w:line="360" w:lineRule="auto"/>
        <w:jc w:val="center"/>
        <w:rPr>
          <w:rFonts w:hint="eastAsia" w:cs="仿宋_GB2312" w:asciiTheme="minorEastAsia" w:hAnsiTheme="minorEastAsia" w:eastAsiaTheme="minorEastAsia"/>
          <w:bCs/>
          <w:color w:val="auto"/>
          <w:sz w:val="32"/>
          <w:szCs w:val="32"/>
          <w:highlight w:val="none"/>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月</w:t>
      </w:r>
    </w:p>
    <w:p>
      <w:pPr>
        <w:pStyle w:val="72"/>
        <w:sectPr>
          <w:pgSz w:w="11906" w:h="16838"/>
          <w:pgMar w:top="1474" w:right="1474" w:bottom="1247" w:left="1474" w:header="851" w:footer="850" w:gutter="0"/>
          <w:cols w:space="720" w:num="1"/>
          <w:docGrid w:linePitch="312" w:charSpace="0"/>
        </w:sectPr>
      </w:pPr>
    </w:p>
    <w:p/>
    <w:p>
      <w:pPr>
        <w:spacing w:line="360" w:lineRule="auto"/>
        <w:jc w:val="center"/>
        <w:rPr>
          <w:rFonts w:hint="eastAsia" w:cs="仿宋_GB2312" w:asciiTheme="minorEastAsia" w:hAnsiTheme="minorEastAsia" w:eastAsiaTheme="minorEastAsia"/>
          <w:b/>
          <w:color w:val="auto"/>
          <w:sz w:val="48"/>
          <w:szCs w:val="48"/>
          <w:highlight w:val="none"/>
        </w:rPr>
      </w:pPr>
      <w:bookmarkStart w:id="4" w:name="_Hlt67893495"/>
      <w:bookmarkEnd w:id="4"/>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sdt>
      <w:sdtPr>
        <w:rPr>
          <w:rFonts w:ascii="宋体" w:hAnsi="宋体"/>
          <w:color w:val="auto"/>
          <w:highlight w:val="none"/>
        </w:rPr>
        <w:id w:val="147478835"/>
        <w15:color w:val="DBDBDB"/>
        <w:docPartObj>
          <w:docPartGallery w:val="Table of Contents"/>
          <w:docPartUnique/>
        </w:docPartObj>
      </w:sdtPr>
      <w:sdtEndPr>
        <w:rPr>
          <w:rFonts w:cs="仿宋_GB2312" w:asciiTheme="minorEastAsia" w:hAnsiTheme="minorEastAsia" w:eastAsiaTheme="minorEastAsia"/>
          <w:color w:val="auto"/>
          <w:szCs w:val="32"/>
          <w:highlight w:val="none"/>
        </w:rPr>
      </w:sdtEndPr>
      <w:sdtContent>
        <w:p>
          <w:pPr>
            <w:jc w:val="center"/>
            <w:rPr>
              <w:color w:val="auto"/>
              <w:highlight w:val="none"/>
            </w:rPr>
          </w:pPr>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TOC \o "1-1" \h \u </w:instrText>
          </w:r>
          <w:r>
            <w:rPr>
              <w:rFonts w:cs="仿宋_GB2312" w:asciiTheme="minorEastAsia" w:hAnsiTheme="minorEastAsia" w:eastAsiaTheme="minorEastAsia"/>
              <w:color w:val="auto"/>
              <w:sz w:val="32"/>
              <w:szCs w:val="32"/>
              <w:highlight w:val="none"/>
            </w:rPr>
            <w:fldChar w:fldCharType="separate"/>
          </w:r>
        </w:p>
        <w:p>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52"/>
              <w:highlight w:val="none"/>
            </w:rPr>
          </w:pP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HYPERLINK \l "_Toc354"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第一部分  邀请供应商</w:t>
          </w:r>
          <w:r>
            <w:rPr>
              <w:rFonts w:hint="eastAsia" w:cs="仿宋_GB2312" w:asciiTheme="minorEastAsia" w:hAnsiTheme="minorEastAsia" w:eastAsiaTheme="minorEastAsia"/>
              <w:color w:val="auto"/>
              <w:sz w:val="32"/>
              <w:szCs w:val="52"/>
              <w:highlight w:val="none"/>
            </w:rPr>
            <w:tab/>
          </w: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PAGEREF _Toc354 \h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1</w:t>
          </w:r>
          <w:r>
            <w:rPr>
              <w:rFonts w:hint="eastAsia" w:cs="仿宋_GB2312" w:asciiTheme="minorEastAsia" w:hAnsiTheme="minorEastAsia" w:eastAsiaTheme="minorEastAsia"/>
              <w:color w:val="auto"/>
              <w:sz w:val="32"/>
              <w:szCs w:val="52"/>
              <w:highlight w:val="none"/>
            </w:rPr>
            <w:fldChar w:fldCharType="end"/>
          </w:r>
          <w:r>
            <w:rPr>
              <w:rFonts w:hint="eastAsia" w:cs="仿宋_GB2312" w:asciiTheme="minorEastAsia" w:hAnsiTheme="minorEastAsia" w:eastAsiaTheme="minorEastAsia"/>
              <w:color w:val="auto"/>
              <w:sz w:val="32"/>
              <w:szCs w:val="52"/>
              <w:highlight w:val="none"/>
            </w:rPr>
            <w:fldChar w:fldCharType="end"/>
          </w:r>
        </w:p>
        <w:p>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52"/>
              <w:highlight w:val="none"/>
            </w:rPr>
          </w:pP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HYPERLINK \l "_Toc2540"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第二部分  竞争性磋商流程</w:t>
          </w:r>
          <w:r>
            <w:rPr>
              <w:rFonts w:hint="eastAsia" w:cs="仿宋_GB2312" w:asciiTheme="minorEastAsia" w:hAnsiTheme="minorEastAsia" w:eastAsiaTheme="minorEastAsia"/>
              <w:color w:val="auto"/>
              <w:sz w:val="32"/>
              <w:szCs w:val="52"/>
              <w:highlight w:val="none"/>
            </w:rPr>
            <w:tab/>
          </w: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PAGEREF _Toc2540 \h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6</w:t>
          </w:r>
          <w:r>
            <w:rPr>
              <w:rFonts w:hint="eastAsia" w:cs="仿宋_GB2312" w:asciiTheme="minorEastAsia" w:hAnsiTheme="minorEastAsia" w:eastAsiaTheme="minorEastAsia"/>
              <w:color w:val="auto"/>
              <w:sz w:val="32"/>
              <w:szCs w:val="52"/>
              <w:highlight w:val="none"/>
            </w:rPr>
            <w:fldChar w:fldCharType="end"/>
          </w:r>
          <w:r>
            <w:rPr>
              <w:rFonts w:hint="eastAsia" w:cs="仿宋_GB2312" w:asciiTheme="minorEastAsia" w:hAnsiTheme="minorEastAsia" w:eastAsiaTheme="minorEastAsia"/>
              <w:color w:val="auto"/>
              <w:sz w:val="32"/>
              <w:szCs w:val="52"/>
              <w:highlight w:val="none"/>
            </w:rPr>
            <w:fldChar w:fldCharType="end"/>
          </w:r>
        </w:p>
        <w:p>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52"/>
              <w:highlight w:val="none"/>
            </w:rPr>
          </w:pP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HYPERLINK \l "_Toc14128"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第三部分  供应商须知</w:t>
          </w:r>
          <w:r>
            <w:rPr>
              <w:rFonts w:hint="eastAsia" w:cs="仿宋_GB2312" w:asciiTheme="minorEastAsia" w:hAnsiTheme="minorEastAsia" w:eastAsiaTheme="minorEastAsia"/>
              <w:color w:val="auto"/>
              <w:sz w:val="32"/>
              <w:szCs w:val="52"/>
              <w:highlight w:val="none"/>
            </w:rPr>
            <w:tab/>
          </w: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PAGEREF _Toc14128 \h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10</w:t>
          </w:r>
          <w:r>
            <w:rPr>
              <w:rFonts w:hint="eastAsia" w:cs="仿宋_GB2312" w:asciiTheme="minorEastAsia" w:hAnsiTheme="minorEastAsia" w:eastAsiaTheme="minorEastAsia"/>
              <w:color w:val="auto"/>
              <w:sz w:val="32"/>
              <w:szCs w:val="52"/>
              <w:highlight w:val="none"/>
            </w:rPr>
            <w:fldChar w:fldCharType="end"/>
          </w:r>
          <w:r>
            <w:rPr>
              <w:rFonts w:hint="eastAsia" w:cs="仿宋_GB2312" w:asciiTheme="minorEastAsia" w:hAnsiTheme="minorEastAsia" w:eastAsiaTheme="minorEastAsia"/>
              <w:color w:val="auto"/>
              <w:sz w:val="32"/>
              <w:szCs w:val="52"/>
              <w:highlight w:val="none"/>
            </w:rPr>
            <w:fldChar w:fldCharType="end"/>
          </w:r>
        </w:p>
        <w:p>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52"/>
              <w:highlight w:val="none"/>
            </w:rPr>
          </w:pP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HYPERLINK \l "_Toc31035"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第四部分  采购需求</w:t>
          </w:r>
          <w:r>
            <w:rPr>
              <w:rFonts w:hint="eastAsia" w:cs="仿宋_GB2312" w:asciiTheme="minorEastAsia" w:hAnsiTheme="minorEastAsia" w:eastAsiaTheme="minorEastAsia"/>
              <w:color w:val="auto"/>
              <w:sz w:val="32"/>
              <w:szCs w:val="52"/>
              <w:highlight w:val="none"/>
            </w:rPr>
            <w:tab/>
          </w: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PAGEREF _Toc31035 \h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28</w:t>
          </w:r>
          <w:r>
            <w:rPr>
              <w:rFonts w:hint="eastAsia" w:cs="仿宋_GB2312" w:asciiTheme="minorEastAsia" w:hAnsiTheme="minorEastAsia" w:eastAsiaTheme="minorEastAsia"/>
              <w:color w:val="auto"/>
              <w:sz w:val="32"/>
              <w:szCs w:val="52"/>
              <w:highlight w:val="none"/>
            </w:rPr>
            <w:fldChar w:fldCharType="end"/>
          </w:r>
          <w:r>
            <w:rPr>
              <w:rFonts w:hint="eastAsia" w:cs="仿宋_GB2312" w:asciiTheme="minorEastAsia" w:hAnsiTheme="minorEastAsia" w:eastAsiaTheme="minorEastAsia"/>
              <w:color w:val="auto"/>
              <w:sz w:val="32"/>
              <w:szCs w:val="52"/>
              <w:highlight w:val="none"/>
            </w:rPr>
            <w:fldChar w:fldCharType="end"/>
          </w:r>
        </w:p>
        <w:p>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52"/>
              <w:highlight w:val="none"/>
            </w:rPr>
          </w:pP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HYPERLINK \l "_Toc17730"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第五部分  评审方法及评审标准</w:t>
          </w:r>
          <w:r>
            <w:rPr>
              <w:rFonts w:hint="eastAsia" w:cs="仿宋_GB2312" w:asciiTheme="minorEastAsia" w:hAnsiTheme="minorEastAsia" w:eastAsiaTheme="minorEastAsia"/>
              <w:color w:val="auto"/>
              <w:sz w:val="32"/>
              <w:szCs w:val="52"/>
              <w:highlight w:val="none"/>
            </w:rPr>
            <w:tab/>
          </w: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PAGEREF _Toc17730 \h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44</w:t>
          </w:r>
          <w:r>
            <w:rPr>
              <w:rFonts w:hint="eastAsia" w:cs="仿宋_GB2312" w:asciiTheme="minorEastAsia" w:hAnsiTheme="minorEastAsia" w:eastAsiaTheme="minorEastAsia"/>
              <w:color w:val="auto"/>
              <w:sz w:val="32"/>
              <w:szCs w:val="52"/>
              <w:highlight w:val="none"/>
            </w:rPr>
            <w:fldChar w:fldCharType="end"/>
          </w:r>
          <w:r>
            <w:rPr>
              <w:rFonts w:hint="eastAsia" w:cs="仿宋_GB2312" w:asciiTheme="minorEastAsia" w:hAnsiTheme="minorEastAsia" w:eastAsiaTheme="minorEastAsia"/>
              <w:color w:val="auto"/>
              <w:sz w:val="32"/>
              <w:szCs w:val="52"/>
              <w:highlight w:val="none"/>
            </w:rPr>
            <w:fldChar w:fldCharType="end"/>
          </w:r>
        </w:p>
        <w:p>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52"/>
              <w:highlight w:val="none"/>
            </w:rPr>
          </w:pP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HYPERLINK \l "_Toc7080"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第六部分  拟签订的合同文本</w:t>
          </w:r>
          <w:r>
            <w:rPr>
              <w:rFonts w:hint="eastAsia" w:cs="仿宋_GB2312" w:asciiTheme="minorEastAsia" w:hAnsiTheme="minorEastAsia" w:eastAsiaTheme="minorEastAsia"/>
              <w:color w:val="auto"/>
              <w:sz w:val="32"/>
              <w:szCs w:val="52"/>
              <w:highlight w:val="none"/>
            </w:rPr>
            <w:tab/>
          </w: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PAGEREF _Toc7080 \h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52</w:t>
          </w:r>
          <w:r>
            <w:rPr>
              <w:rFonts w:hint="eastAsia" w:cs="仿宋_GB2312" w:asciiTheme="minorEastAsia" w:hAnsiTheme="minorEastAsia" w:eastAsiaTheme="minorEastAsia"/>
              <w:color w:val="auto"/>
              <w:sz w:val="32"/>
              <w:szCs w:val="52"/>
              <w:highlight w:val="none"/>
            </w:rPr>
            <w:fldChar w:fldCharType="end"/>
          </w:r>
          <w:r>
            <w:rPr>
              <w:rFonts w:hint="eastAsia" w:cs="仿宋_GB2312" w:asciiTheme="minorEastAsia" w:hAnsiTheme="minorEastAsia" w:eastAsiaTheme="minorEastAsia"/>
              <w:color w:val="auto"/>
              <w:sz w:val="32"/>
              <w:szCs w:val="52"/>
              <w:highlight w:val="none"/>
            </w:rPr>
            <w:fldChar w:fldCharType="end"/>
          </w:r>
        </w:p>
        <w:p>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52"/>
              <w:highlight w:val="none"/>
            </w:rPr>
          </w:pP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HYPERLINK \l "_Toc20617"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第七部分  应提交的有关格式范例</w:t>
          </w:r>
          <w:r>
            <w:rPr>
              <w:rFonts w:hint="eastAsia" w:cs="仿宋_GB2312" w:asciiTheme="minorEastAsia" w:hAnsiTheme="minorEastAsia" w:eastAsiaTheme="minorEastAsia"/>
              <w:color w:val="auto"/>
              <w:sz w:val="32"/>
              <w:szCs w:val="52"/>
              <w:highlight w:val="none"/>
            </w:rPr>
            <w:tab/>
          </w:r>
          <w:r>
            <w:rPr>
              <w:rFonts w:hint="eastAsia" w:cs="仿宋_GB2312" w:asciiTheme="minorEastAsia" w:hAnsiTheme="minorEastAsia" w:eastAsiaTheme="minorEastAsia"/>
              <w:color w:val="auto"/>
              <w:sz w:val="32"/>
              <w:szCs w:val="52"/>
              <w:highlight w:val="none"/>
            </w:rPr>
            <w:fldChar w:fldCharType="begin"/>
          </w:r>
          <w:r>
            <w:rPr>
              <w:rFonts w:hint="eastAsia" w:cs="仿宋_GB2312" w:asciiTheme="minorEastAsia" w:hAnsiTheme="minorEastAsia" w:eastAsiaTheme="minorEastAsia"/>
              <w:color w:val="auto"/>
              <w:sz w:val="32"/>
              <w:szCs w:val="52"/>
              <w:highlight w:val="none"/>
            </w:rPr>
            <w:instrText xml:space="preserve"> PAGEREF _Toc20617 \h </w:instrText>
          </w:r>
          <w:r>
            <w:rPr>
              <w:rFonts w:hint="eastAsia" w:cs="仿宋_GB2312" w:asciiTheme="minorEastAsia" w:hAnsiTheme="minorEastAsia" w:eastAsiaTheme="minorEastAsia"/>
              <w:color w:val="auto"/>
              <w:sz w:val="32"/>
              <w:szCs w:val="52"/>
              <w:highlight w:val="none"/>
            </w:rPr>
            <w:fldChar w:fldCharType="separate"/>
          </w:r>
          <w:r>
            <w:rPr>
              <w:rFonts w:hint="eastAsia" w:cs="仿宋_GB2312" w:asciiTheme="minorEastAsia" w:hAnsiTheme="minorEastAsia" w:eastAsiaTheme="minorEastAsia"/>
              <w:color w:val="auto"/>
              <w:sz w:val="32"/>
              <w:szCs w:val="52"/>
              <w:highlight w:val="none"/>
            </w:rPr>
            <w:t>63</w:t>
          </w:r>
          <w:r>
            <w:rPr>
              <w:rFonts w:hint="eastAsia" w:cs="仿宋_GB2312" w:asciiTheme="minorEastAsia" w:hAnsiTheme="minorEastAsia" w:eastAsiaTheme="minorEastAsia"/>
              <w:color w:val="auto"/>
              <w:sz w:val="32"/>
              <w:szCs w:val="52"/>
              <w:highlight w:val="none"/>
            </w:rPr>
            <w:fldChar w:fldCharType="end"/>
          </w:r>
          <w:r>
            <w:rPr>
              <w:rFonts w:hint="eastAsia" w:cs="仿宋_GB2312" w:asciiTheme="minorEastAsia" w:hAnsiTheme="minorEastAsia" w:eastAsiaTheme="minorEastAsia"/>
              <w:color w:val="auto"/>
              <w:sz w:val="32"/>
              <w:szCs w:val="52"/>
              <w:highlight w:val="none"/>
            </w:rPr>
            <w:fldChar w:fldCharType="end"/>
          </w:r>
        </w:p>
        <w:p>
          <w:pPr>
            <w:spacing w:line="360" w:lineRule="auto"/>
            <w:rPr>
              <w:rFonts w:cs="仿宋_GB2312" w:asciiTheme="minorEastAsia" w:hAnsiTheme="minorEastAsia" w:eastAsiaTheme="minorEastAsia"/>
              <w:color w:val="auto"/>
              <w:sz w:val="32"/>
              <w:szCs w:val="32"/>
              <w:highlight w:val="none"/>
            </w:rPr>
          </w:pPr>
          <w:r>
            <w:rPr>
              <w:rFonts w:cs="仿宋_GB2312" w:asciiTheme="minorEastAsia" w:hAnsiTheme="minorEastAsia" w:eastAsiaTheme="minorEastAsia"/>
              <w:color w:val="auto"/>
              <w:szCs w:val="32"/>
              <w:highlight w:val="none"/>
            </w:rPr>
            <w:fldChar w:fldCharType="end"/>
          </w:r>
        </w:p>
      </w:sdtContent>
    </w:sdt>
    <w:p>
      <w:pPr>
        <w:spacing w:line="360" w:lineRule="auto"/>
        <w:rPr>
          <w:rFonts w:cs="仿宋_GB2312" w:asciiTheme="minorEastAsia" w:hAnsiTheme="minorEastAsia" w:eastAsiaTheme="minorEastAsia"/>
          <w:color w:val="auto"/>
          <w:sz w:val="32"/>
          <w:szCs w:val="32"/>
          <w:highlight w:val="none"/>
        </w:rPr>
        <w:sectPr>
          <w:pgSz w:w="11906" w:h="16838"/>
          <w:pgMar w:top="1474" w:right="1474" w:bottom="1247" w:left="1474" w:header="851" w:footer="850" w:gutter="0"/>
          <w:cols w:space="720" w:num="1"/>
          <w:docGrid w:linePitch="312" w:charSpace="0"/>
        </w:sectPr>
      </w:pPr>
    </w:p>
    <w:p>
      <w:pPr>
        <w:pStyle w:val="72"/>
        <w:sectPr>
          <w:pgSz w:w="11906" w:h="16838"/>
          <w:pgMar w:top="1474" w:right="1474" w:bottom="1247" w:left="1474" w:header="851" w:footer="850" w:gutter="0"/>
          <w:cols w:space="720" w:num="1"/>
          <w:docGrid w:linePitch="312" w:charSpace="0"/>
        </w:sectPr>
      </w:pPr>
    </w:p>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bookmarkEnd w:id="6"/>
    </w:p>
    <w:p>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宁波市海曙区鄞江中心卫生院设备整体维保项目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06</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12</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10" w:name="_Toc35393798"/>
      <w:bookmarkStart w:id="11" w:name="_Toc28359089"/>
      <w:bookmarkStart w:id="12" w:name="_Toc35393629"/>
      <w:bookmarkStart w:id="13" w:name="_Toc28359012"/>
      <w:r>
        <w:rPr>
          <w:rFonts w:hint="eastAsia" w:cs="宋体" w:asciiTheme="minorEastAsia" w:hAnsiTheme="minorEastAsia" w:eastAsiaTheme="minorEastAsia"/>
          <w:b/>
          <w:bCs/>
          <w:color w:val="auto"/>
          <w:sz w:val="24"/>
          <w:highlight w:val="none"/>
        </w:rPr>
        <w:t>一、项目基本情况</w:t>
      </w:r>
      <w:bookmarkEnd w:id="10"/>
      <w:bookmarkEnd w:id="11"/>
      <w:bookmarkEnd w:id="12"/>
      <w:bookmarkEnd w:id="13"/>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2024NBHSWCS203</w:t>
      </w:r>
      <w:r>
        <w:rPr>
          <w:rFonts w:hint="eastAsia" w:asciiTheme="minorEastAsia" w:hAnsiTheme="minorEastAsia" w:eastAsiaTheme="minorEastAsia"/>
          <w:bCs/>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宁波市海曙区鄞江中心卫生院设备整体维保项目</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cs="Times New Roman" w:asciiTheme="minorEastAsia" w:hAnsiTheme="minorEastAsia" w:eastAsiaTheme="minorEastAsia"/>
          <w:b/>
          <w:color w:val="auto"/>
          <w:sz w:val="24"/>
          <w:highlight w:val="none"/>
          <w:lang w:val="en-US" w:eastAsia="zh-CN"/>
        </w:rPr>
      </w:pPr>
      <w:r>
        <w:rPr>
          <w:rFonts w:hint="eastAsia" w:cs="Times New Roman" w:asciiTheme="minorEastAsia" w:hAnsiTheme="minorEastAsia" w:eastAsiaTheme="minorEastAsia"/>
          <w:b/>
          <w:color w:val="auto"/>
          <w:sz w:val="24"/>
          <w:highlight w:val="none"/>
          <w:lang w:val="en-US" w:eastAsia="zh-CN"/>
        </w:rPr>
        <w:t>数量：</w:t>
      </w:r>
      <w:r>
        <w:rPr>
          <w:rFonts w:hint="eastAsia" w:cs="Times New Roman" w:asciiTheme="minorEastAsia" w:hAnsiTheme="minorEastAsia" w:eastAsiaTheme="minorEastAsia"/>
          <w:color w:val="auto"/>
          <w:sz w:val="24"/>
          <w:highlight w:val="none"/>
          <w:lang w:val="en-US" w:eastAsia="zh-CN"/>
        </w:rPr>
        <w:t>1项</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420000.00</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420000.00</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cs="Times New Roman" w:asciiTheme="minorEastAsia" w:hAnsiTheme="minorEastAsia" w:eastAsiaTheme="minorEastAsia"/>
          <w:b w:val="0"/>
          <w:bCs/>
          <w:color w:val="auto"/>
          <w:sz w:val="24"/>
          <w:highlight w:val="none"/>
          <w:lang w:eastAsia="zh-CN"/>
        </w:rPr>
        <w:t>选取</w:t>
      </w:r>
      <w:r>
        <w:rPr>
          <w:rFonts w:hint="eastAsia" w:cs="Times New Roman" w:asciiTheme="minorEastAsia" w:hAnsiTheme="minorEastAsia" w:eastAsiaTheme="minorEastAsia"/>
          <w:b w:val="0"/>
          <w:bCs/>
          <w:color w:val="auto"/>
          <w:sz w:val="24"/>
          <w:highlight w:val="none"/>
          <w:lang w:val="en-US" w:eastAsia="zh-CN"/>
        </w:rPr>
        <w:t>一</w:t>
      </w:r>
      <w:r>
        <w:rPr>
          <w:rFonts w:hint="eastAsia" w:cs="Times New Roman" w:asciiTheme="minorEastAsia" w:hAnsiTheme="minorEastAsia" w:eastAsiaTheme="minorEastAsia"/>
          <w:b w:val="0"/>
          <w:bCs/>
          <w:color w:val="auto"/>
          <w:sz w:val="24"/>
          <w:highlight w:val="none"/>
          <w:lang w:eastAsia="zh-CN"/>
        </w:rPr>
        <w:t>家单位</w:t>
      </w:r>
      <w:r>
        <w:rPr>
          <w:rFonts w:hint="eastAsia" w:cs="Times New Roman" w:asciiTheme="minorEastAsia" w:hAnsiTheme="minorEastAsia" w:eastAsiaTheme="minorEastAsia"/>
          <w:b w:val="0"/>
          <w:bCs/>
          <w:color w:val="auto"/>
          <w:sz w:val="24"/>
          <w:highlight w:val="none"/>
          <w:lang w:val="en-US" w:eastAsia="zh-CN"/>
        </w:rPr>
        <w:t>负责</w:t>
      </w:r>
      <w:r>
        <w:rPr>
          <w:rFonts w:hint="eastAsia" w:cs="Times New Roman" w:asciiTheme="minorEastAsia" w:hAnsiTheme="minorEastAsia" w:eastAsiaTheme="minorEastAsia"/>
          <w:b w:val="0"/>
          <w:bCs/>
          <w:color w:val="auto"/>
          <w:sz w:val="24"/>
          <w:highlight w:val="none"/>
          <w:lang w:eastAsia="zh-CN"/>
        </w:rPr>
        <w:t>宁波市海曙区鄞江中心卫生院设备整体维保服务，具体工作内容详见《第四部分  采购需求》。</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lang w:eastAsia="zh-CN"/>
        </w:rPr>
        <w:t>合同履约期限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自合同签订之日起一年。</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3"/>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lang w:val="en-US" w:eastAsia="zh-CN"/>
        </w:rPr>
        <w:t>备注</w:t>
      </w:r>
      <w:r>
        <w:rPr>
          <w:rFonts w:hint="eastAsia" w:cs="Times New Roman" w:asciiTheme="minorEastAsia" w:hAnsiTheme="minorEastAsia" w:eastAsiaTheme="minorEastAsia"/>
          <w:b/>
          <w:color w:val="auto"/>
          <w:sz w:val="24"/>
          <w:highlight w:val="none"/>
        </w:rPr>
        <w:t>：</w:t>
      </w:r>
      <w:r>
        <w:rPr>
          <w:rFonts w:hint="eastAsia" w:cs="Times New Roman" w:asciiTheme="minorEastAsia" w:hAnsiTheme="minorEastAsia" w:eastAsiaTheme="minorEastAsia"/>
          <w:b/>
          <w:color w:val="auto"/>
          <w:sz w:val="24"/>
          <w:highlight w:val="none"/>
          <w:lang w:val="en-US" w:eastAsia="zh-CN"/>
        </w:rPr>
        <w:t>组成联合体的成员数量不超过2个。</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14" w:name="_Toc28359090"/>
      <w:bookmarkStart w:id="15" w:name="_Toc28359013"/>
      <w:bookmarkStart w:id="16" w:name="_Toc35393630"/>
      <w:bookmarkStart w:id="17" w:name="_Toc35393799"/>
      <w:r>
        <w:rPr>
          <w:rFonts w:hint="eastAsia" w:cs="宋体" w:asciiTheme="minorEastAsia" w:hAnsiTheme="minorEastAsia" w:eastAsiaTheme="minorEastAsia"/>
          <w:b/>
          <w:bCs/>
          <w:color w:val="auto"/>
          <w:sz w:val="24"/>
          <w:highlight w:val="none"/>
        </w:rPr>
        <w:t>二、申请人的资格要求：</w:t>
      </w:r>
      <w:bookmarkEnd w:id="14"/>
      <w:bookmarkEnd w:id="15"/>
      <w:bookmarkEnd w:id="16"/>
      <w:bookmarkEnd w:id="17"/>
    </w:p>
    <w:p>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w:t>
      </w:r>
      <w:r>
        <w:rPr>
          <w:rFonts w:hint="eastAsia" w:cs="宋体" w:asciiTheme="minorEastAsia" w:hAnsiTheme="minorEastAsia" w:eastAsiaTheme="minorEastAsia"/>
          <w:color w:val="auto"/>
          <w:spacing w:val="0"/>
          <w:kern w:val="2"/>
          <w:sz w:val="24"/>
          <w:highlight w:val="none"/>
        </w:rPr>
        <w:t>符合了资格条件，无需再向中小企业分包，无需提供分包意向协议</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color w:val="auto"/>
          <w:sz w:val="24"/>
          <w:highlight w:val="none"/>
          <w:lang w:val="en-US" w:eastAsia="zh-CN" w:bidi="ar"/>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18" w:name="_Toc35393631"/>
      <w:bookmarkStart w:id="19" w:name="_Toc28359091"/>
      <w:bookmarkStart w:id="20" w:name="_Toc28359014"/>
      <w:bookmarkStart w:id="21" w:name="_Toc35393800"/>
      <w:r>
        <w:rPr>
          <w:rFonts w:hint="eastAsia" w:cs="宋体" w:asciiTheme="minorEastAsia" w:hAnsiTheme="minorEastAsia" w:eastAsiaTheme="minorEastAsia"/>
          <w:b/>
          <w:bCs/>
          <w:color w:val="auto"/>
          <w:sz w:val="24"/>
          <w:highlight w:val="none"/>
        </w:rPr>
        <w:t>三、获取（下载）采购文件</w:t>
      </w:r>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Cs/>
          <w:color w:val="auto"/>
          <w:sz w:val="24"/>
          <w:highlight w:val="none"/>
        </w:rPr>
        <w:t>202</w:t>
      </w:r>
      <w:r>
        <w:rPr>
          <w:rFonts w:hint="eastAsia" w:cs="宋体" w:asciiTheme="minorEastAsia" w:hAnsiTheme="minorEastAsia" w:eastAsiaTheme="minorEastAsia"/>
          <w:bCs/>
          <w:color w:val="auto"/>
          <w:sz w:val="24"/>
          <w:highlight w:val="none"/>
          <w:lang w:val="en-US" w:eastAsia="zh-CN"/>
        </w:rPr>
        <w:t>4</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05</w:t>
      </w:r>
      <w:r>
        <w:rPr>
          <w:rFonts w:hint="eastAsia" w:cs="宋体" w:asciiTheme="minorEastAsia" w:hAnsiTheme="minorEastAsia" w:eastAsiaTheme="minorEastAsia"/>
          <w:bCs/>
          <w:color w:val="auto"/>
          <w:sz w:val="24"/>
          <w:highlight w:val="none"/>
        </w:rPr>
        <w:t>月</w:t>
      </w:r>
      <w:r>
        <w:rPr>
          <w:rFonts w:hint="eastAsia" w:cs="宋体" w:asciiTheme="minorEastAsia" w:hAnsiTheme="minorEastAsia" w:eastAsiaTheme="minorEastAsia"/>
          <w:bCs/>
          <w:color w:val="auto"/>
          <w:sz w:val="24"/>
          <w:highlight w:val="none"/>
          <w:lang w:val="en-US" w:eastAsia="zh-CN"/>
        </w:rPr>
        <w:t>31</w:t>
      </w:r>
      <w:r>
        <w:rPr>
          <w:rFonts w:hint="eastAsia" w:cs="宋体" w:asciiTheme="minorEastAsia" w:hAnsiTheme="minorEastAsia" w:eastAsiaTheme="minorEastAsia"/>
          <w:bCs/>
          <w:color w:val="auto"/>
          <w:sz w:val="24"/>
          <w:highlight w:val="none"/>
        </w:rPr>
        <w:t>日至202</w:t>
      </w:r>
      <w:r>
        <w:rPr>
          <w:rFonts w:hint="eastAsia" w:cs="宋体" w:asciiTheme="minorEastAsia" w:hAnsiTheme="minorEastAsia" w:eastAsiaTheme="minorEastAsia"/>
          <w:bCs/>
          <w:color w:val="auto"/>
          <w:sz w:val="24"/>
          <w:highlight w:val="none"/>
          <w:lang w:val="en-US" w:eastAsia="zh-CN"/>
        </w:rPr>
        <w:t>4</w:t>
      </w:r>
      <w:r>
        <w:rPr>
          <w:rFonts w:hint="eastAsia" w:cs="宋体" w:asciiTheme="minorEastAsia" w:hAnsiTheme="minorEastAsia" w:eastAsiaTheme="minorEastAsia"/>
          <w:bCs/>
          <w:color w:val="auto"/>
          <w:sz w:val="24"/>
          <w:highlight w:val="none"/>
        </w:rPr>
        <w:t>年</w:t>
      </w:r>
      <w:r>
        <w:rPr>
          <w:rFonts w:hint="eastAsia" w:cs="宋体" w:asciiTheme="minorEastAsia" w:hAnsiTheme="minorEastAsia" w:eastAsiaTheme="minorEastAsia"/>
          <w:bCs/>
          <w:color w:val="auto"/>
          <w:sz w:val="24"/>
          <w:highlight w:val="none"/>
          <w:lang w:val="en-US" w:eastAsia="zh-CN"/>
        </w:rPr>
        <w:t>06月11日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val="0"/>
        <w:spacing w:line="360" w:lineRule="auto"/>
        <w:ind w:firstLine="540"/>
        <w:textAlignment w:val="auto"/>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22" w:name="_Toc28359015"/>
      <w:bookmarkStart w:id="23" w:name="_Toc28359092"/>
      <w:bookmarkStart w:id="24" w:name="_Toc35393801"/>
      <w:bookmarkStart w:id="25" w:name="_Toc35393632"/>
      <w:r>
        <w:rPr>
          <w:rFonts w:hint="eastAsia" w:cs="宋体" w:asciiTheme="minorEastAsia" w:hAnsiTheme="minorEastAsia" w:eastAsiaTheme="minorEastAsia"/>
          <w:b/>
          <w:bCs/>
          <w:color w:val="auto"/>
          <w:sz w:val="24"/>
          <w:highlight w:val="none"/>
        </w:rPr>
        <w:t>四、响应文件提交</w:t>
      </w:r>
      <w:bookmarkEnd w:id="22"/>
      <w:bookmarkEnd w:id="23"/>
      <w:bookmarkEnd w:id="24"/>
      <w:bookmarkEnd w:id="25"/>
      <w:r>
        <w:rPr>
          <w:rFonts w:hint="eastAsia" w:cs="宋体" w:asciiTheme="minorEastAsia" w:hAnsiTheme="minorEastAsia" w:eastAsiaTheme="minorEastAsia"/>
          <w:b/>
          <w:bCs/>
          <w:color w:val="auto"/>
          <w:sz w:val="24"/>
          <w:highlight w:val="none"/>
        </w:rPr>
        <w:t>（上传）</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06月12日09点30分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地点：宁波市海曙区公共资源交易中心二楼开标室（</w:t>
      </w:r>
      <w:r>
        <w:rPr>
          <w:rFonts w:hint="eastAsia" w:asciiTheme="minorEastAsia" w:hAnsiTheme="minorEastAsia" w:eastAsiaTheme="minorEastAsia"/>
          <w:color w:val="auto"/>
          <w:sz w:val="24"/>
          <w:highlight w:val="none"/>
          <w:lang w:val="en-US" w:eastAsia="zh-CN"/>
        </w:rPr>
        <w:t>六</w:t>
      </w:r>
      <w:r>
        <w:rPr>
          <w:rFonts w:hint="eastAsia" w:asciiTheme="minorEastAsia" w:hAnsiTheme="minorEastAsia" w:eastAsiaTheme="minorEastAsia"/>
          <w:color w:val="auto"/>
          <w:sz w:val="24"/>
          <w:highlight w:val="none"/>
        </w:rPr>
        <w:t>）[宁波市海曙区气象路58号(南门上)]。政府采购云平台（http://www.zcygov.cn/）。</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26" w:name="_Toc35393802"/>
      <w:bookmarkStart w:id="27" w:name="_Toc35393633"/>
      <w:bookmarkStart w:id="28" w:name="_Toc28359016"/>
      <w:bookmarkStart w:id="29" w:name="_Toc28359093"/>
      <w:r>
        <w:rPr>
          <w:rFonts w:hint="eastAsia" w:cs="宋体" w:asciiTheme="minorEastAsia" w:hAnsiTheme="minorEastAsia" w:eastAsiaTheme="minorEastAsia"/>
          <w:b/>
          <w:bCs/>
          <w:color w:val="auto"/>
          <w:sz w:val="24"/>
          <w:highlight w:val="none"/>
        </w:rPr>
        <w:t>五、响应文件开启</w:t>
      </w:r>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06月12日09点30分</w:t>
      </w:r>
      <w:r>
        <w:rPr>
          <w:rFonts w:hint="eastAsia" w:asciiTheme="minorEastAsia" w:hAnsiTheme="minorEastAsia" w:eastAsiaTheme="minorEastAsia"/>
          <w:bCs/>
          <w:color w:val="auto"/>
          <w:sz w:val="24"/>
          <w:highlight w:val="none"/>
          <w:u w:val="single"/>
        </w:rPr>
        <w:t>00秒</w:t>
      </w:r>
      <w:r>
        <w:rPr>
          <w:rFonts w:hint="eastAsia" w:asciiTheme="minorEastAsia" w:hAnsiTheme="minorEastAsia" w:eastAsiaTheme="minorEastAsia"/>
          <w:bCs/>
          <w:color w:val="auto"/>
          <w:sz w:val="24"/>
          <w:highlight w:val="none"/>
        </w:rPr>
        <w:t>（北京时间）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地点：宁波市海曙区公共资源交易中心二楼开标室（</w:t>
      </w:r>
      <w:r>
        <w:rPr>
          <w:rFonts w:hint="eastAsia" w:asciiTheme="minorEastAsia" w:hAnsiTheme="minorEastAsia" w:eastAsiaTheme="minorEastAsia"/>
          <w:color w:val="auto"/>
          <w:sz w:val="24"/>
          <w:highlight w:val="none"/>
          <w:lang w:val="en-US" w:eastAsia="zh-CN"/>
        </w:rPr>
        <w:t>六</w:t>
      </w:r>
      <w:r>
        <w:rPr>
          <w:rFonts w:hint="eastAsia" w:asciiTheme="minorEastAsia" w:hAnsiTheme="minorEastAsia" w:eastAsiaTheme="minorEastAsia"/>
          <w:color w:val="auto"/>
          <w:sz w:val="24"/>
          <w:highlight w:val="none"/>
        </w:rPr>
        <w:t>）[宁波市海曙区气象路58号(南门上)]。政府采购云平台（http://www.zcygov.cn/）。</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30" w:name="_Toc28359094"/>
      <w:bookmarkStart w:id="31" w:name="_Toc28359017"/>
      <w:bookmarkStart w:id="32" w:name="_Toc35393803"/>
      <w:bookmarkStart w:id="33" w:name="_Toc35393634"/>
      <w:r>
        <w:rPr>
          <w:rFonts w:hint="eastAsia" w:cs="宋体" w:asciiTheme="minorEastAsia" w:hAnsiTheme="minorEastAsia" w:eastAsiaTheme="minorEastAsia"/>
          <w:b/>
          <w:bCs/>
          <w:color w:val="auto"/>
          <w:sz w:val="24"/>
          <w:highlight w:val="none"/>
        </w:rPr>
        <w:t>六、公告期限</w:t>
      </w:r>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34" w:name="_Toc35393635"/>
      <w:bookmarkStart w:id="35" w:name="_Toc35393804"/>
      <w:r>
        <w:rPr>
          <w:rFonts w:hint="eastAsia" w:cs="宋体" w:asciiTheme="minorEastAsia" w:hAnsiTheme="minorEastAsia" w:eastAsiaTheme="minorEastAsia"/>
          <w:b/>
          <w:bCs/>
          <w:color w:val="auto"/>
          <w:sz w:val="24"/>
          <w:highlight w:val="none"/>
        </w:rPr>
        <w:t>七、其他补充事宜</w:t>
      </w:r>
      <w:bookmarkEnd w:id="34"/>
      <w:bookmarkEnd w:id="35"/>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4. 其他事项：</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（3）磋商文件公告期限与磋商公告的公告期限一致。</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）本《第一部分  邀请供应商》中二、申请人的资格要求：第一条中的“重大税收违法案件当事人名单”即为“重大税收违法失信主体”。</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）海曙区“政采贷”助力中小企业金融服务，有需要的中标（成交）供应商请于网站http://haishu.nbggzy.cn/tzgg/360383.jhtml办理具体业务。</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本公告发布媒体：浙江政府采购网（www.zjzfcg.gov.cn）、浙江省公共资源交易服务平台（zjpubservice.zjzwfw.gov.cn/index.html?citycode=3300）、宁波政府采购(www.nbzfcg.cn)、宁波公共资源交易网海曙区分网（http://haishu.nbggzy.cn/）、宁波中基国际招标有限公司网（www.cbbidding.com）。</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b/>
          <w:bCs/>
          <w:color w:val="auto"/>
          <w:sz w:val="24"/>
          <w:highlight w:val="none"/>
        </w:rPr>
      </w:pPr>
      <w:bookmarkStart w:id="36" w:name="_Toc35393636"/>
      <w:bookmarkStart w:id="37" w:name="_Toc28359018"/>
      <w:bookmarkStart w:id="38" w:name="_Toc28359095"/>
      <w:bookmarkStart w:id="39" w:name="_Toc35393805"/>
      <w:r>
        <w:rPr>
          <w:rFonts w:hint="eastAsia" w:cs="宋体" w:asciiTheme="minorEastAsia" w:hAnsiTheme="minorEastAsia" w:eastAsiaTheme="minorEastAsia"/>
          <w:b/>
          <w:bCs/>
          <w:color w:val="auto"/>
          <w:sz w:val="24"/>
          <w:highlight w:val="none"/>
        </w:rPr>
        <w:t>八、凡对本次采购提出询问、质疑、投诉，请按以下方式联系</w:t>
      </w:r>
      <w:bookmarkEnd w:id="36"/>
      <w:bookmarkEnd w:id="37"/>
      <w:bookmarkEnd w:id="38"/>
      <w:bookmarkEnd w:id="39"/>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0" w:name="_Toc28359019"/>
      <w:bookmarkStart w:id="41" w:name="_Toc28359096"/>
      <w:bookmarkStart w:id="42" w:name="_Toc35393637"/>
      <w:bookmarkStart w:id="43" w:name="_Toc35393806"/>
      <w:r>
        <w:rPr>
          <w:rFonts w:hint="eastAsia" w:cs="宋体" w:asciiTheme="minorEastAsia" w:hAnsiTheme="minorEastAsia" w:eastAsiaTheme="minorEastAsia"/>
          <w:color w:val="auto"/>
          <w:sz w:val="24"/>
          <w:highlight w:val="none"/>
        </w:rPr>
        <w:t>1.采购人信息</w:t>
      </w:r>
      <w:bookmarkEnd w:id="40"/>
      <w:bookmarkEnd w:id="41"/>
      <w:bookmarkEnd w:id="42"/>
      <w:bookmarkEnd w:id="43"/>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名    称：宁波市海曙区鄞江中心卫生院</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地    址：宁波市海曙区鄞江镇鄞江路268号</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传    真：/</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项目联系人（询问）：童老师</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项目联系方式（询问）：0574-55716414</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质疑联系人：邵老师</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质疑联系方式：0574-55716413</w:t>
      </w:r>
      <w:r>
        <w:rPr>
          <w:rFonts w:hint="eastAsia" w:asciiTheme="minorEastAsia" w:hAnsiTheme="minorEastAsia" w:eastAsiaTheme="minorEastAsia"/>
          <w:color w:val="auto"/>
          <w:sz w:val="24"/>
          <w:highlight w:val="none"/>
          <w:lang w:eastAsia="zh-CN"/>
        </w:rPr>
        <w:t xml:space="preserve"> </w:t>
      </w:r>
      <w:r>
        <w:rPr>
          <w:rFonts w:hint="eastAsia" w:asciiTheme="minorEastAsia" w:hAnsiTheme="minorEastAsia" w:eastAsiaTheme="minorEastAsia"/>
          <w:color w:val="auto"/>
          <w:sz w:val="24"/>
          <w:highlight w:val="none"/>
          <w:lang w:val="en-US" w:eastAsia="zh-CN"/>
        </w:rPr>
        <w:t xml:space="preserve"> </w:t>
      </w:r>
    </w:p>
    <w:p>
      <w:pPr>
        <w:keepNext w:val="0"/>
        <w:keepLines w:val="0"/>
        <w:pageBreakBefore w:val="0"/>
        <w:widowControl w:val="0"/>
        <w:tabs>
          <w:tab w:val="left" w:pos="432"/>
        </w:tabs>
        <w:kinsoku/>
        <w:wordWrap/>
        <w:overflowPunct/>
        <w:topLinePunct w:val="0"/>
        <w:autoSpaceDE/>
        <w:autoSpaceDN/>
        <w:bidi w:val="0"/>
        <w:adjustRightInd w:val="0"/>
        <w:spacing w:line="360" w:lineRule="auto"/>
        <w:ind w:left="432" w:hanging="432"/>
        <w:textAlignment w:val="auto"/>
        <w:rPr>
          <w:rFonts w:cs="宋体" w:asciiTheme="minorEastAsia" w:hAnsiTheme="minorEastAsia" w:eastAsiaTheme="minorEastAsia"/>
          <w:color w:val="auto"/>
          <w:sz w:val="24"/>
          <w:highlight w:val="none"/>
        </w:rPr>
      </w:pPr>
      <w:bookmarkStart w:id="44" w:name="_Toc28359097"/>
      <w:bookmarkStart w:id="45" w:name="_Toc28359020"/>
      <w:bookmarkStart w:id="46" w:name="_Toc35393807"/>
      <w:bookmarkStart w:id="47" w:name="_Toc35393638"/>
      <w:r>
        <w:rPr>
          <w:rFonts w:hint="eastAsia" w:cs="宋体" w:asciiTheme="minorEastAsia" w:hAnsiTheme="minorEastAsia" w:eastAsiaTheme="minorEastAsia"/>
          <w:color w:val="auto"/>
          <w:sz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称：宁波中基国际招标有限公司</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址：宁波市鄞州区天童南路666号中基大厦19楼</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真：0574-87425373</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项目联系人（询问）：周旭坤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蒋双乐</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项目联系方式（询问）：0574-8742</w:t>
      </w:r>
      <w:r>
        <w:rPr>
          <w:rFonts w:hint="eastAsia" w:asciiTheme="minorEastAsia" w:hAnsiTheme="minorEastAsia" w:eastAsiaTheme="minorEastAsia"/>
          <w:color w:val="auto"/>
          <w:sz w:val="24"/>
          <w:highlight w:val="none"/>
          <w:lang w:val="en-US" w:eastAsia="zh-CN"/>
        </w:rPr>
        <w:t>5380</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质疑联系人：王莹巧</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质疑联系方式：0574-87425583</w:t>
      </w:r>
    </w:p>
    <w:p>
      <w:pPr>
        <w:keepNext w:val="0"/>
        <w:keepLines w:val="0"/>
        <w:pageBreakBefore w:val="0"/>
        <w:widowControl w:val="0"/>
        <w:kinsoku/>
        <w:wordWrap/>
        <w:overflowPunct/>
        <w:topLinePunct w:val="0"/>
        <w:autoSpaceDE/>
        <w:autoSpaceDN/>
        <w:bidi w:val="0"/>
        <w:adjustRightInd w:val="0"/>
        <w:spacing w:line="360" w:lineRule="auto"/>
        <w:textAlignment w:val="auto"/>
        <w:rPr>
          <w:rFonts w:asciiTheme="minorEastAsia" w:hAnsiTheme="minorEastAsia" w:eastAsiaTheme="minorEastAsia"/>
          <w:b w:val="0"/>
          <w:bCs w:val="0"/>
          <w:color w:val="auto"/>
          <w:sz w:val="24"/>
          <w:highlight w:val="none"/>
        </w:rPr>
      </w:pPr>
      <w:bookmarkStart w:id="48" w:name="_Toc28359021"/>
      <w:bookmarkStart w:id="49" w:name="_Toc28359098"/>
      <w:bookmarkStart w:id="50" w:name="_Toc35393639"/>
      <w:bookmarkStart w:id="51" w:name="_Toc35393808"/>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 xml:space="preserve"> 同级政府采购监督管理部门：</w:t>
      </w:r>
    </w:p>
    <w:bookmarkEnd w:id="48"/>
    <w:bookmarkEnd w:id="49"/>
    <w:bookmarkEnd w:id="50"/>
    <w:bookmarkEnd w:id="51"/>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称：宁波市海曙区采购管理办公室</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址：宁波市海曙区大梁街48号天之海大厦2楼</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人：</w:t>
      </w:r>
      <w:r>
        <w:rPr>
          <w:rFonts w:hint="eastAsia" w:asciiTheme="minorEastAsia" w:hAnsiTheme="minorEastAsia" w:eastAsiaTheme="minorEastAsia"/>
          <w:color w:val="auto"/>
          <w:sz w:val="24"/>
          <w:highlight w:val="none"/>
          <w:lang w:val="en-US" w:eastAsia="zh-CN"/>
        </w:rPr>
        <w:t>王老师</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bookmarkStart w:id="52" w:name="_Toc13810"/>
      <w:r>
        <w:rPr>
          <w:rFonts w:hint="eastAsia" w:asciiTheme="minorEastAsia" w:hAnsiTheme="minorEastAsia" w:eastAsiaTheme="minorEastAsia"/>
          <w:color w:val="auto"/>
          <w:sz w:val="24"/>
          <w:highlight w:val="none"/>
        </w:rPr>
        <w:t>监督投诉电话：0574-</w:t>
      </w:r>
      <w:bookmarkEnd w:id="52"/>
      <w:r>
        <w:rPr>
          <w:rFonts w:hint="eastAsia" w:asciiTheme="minorEastAsia" w:hAnsiTheme="minorEastAsia" w:eastAsiaTheme="minorEastAsia"/>
          <w:color w:val="auto"/>
          <w:sz w:val="24"/>
          <w:highlight w:val="none"/>
          <w:lang w:val="en-US" w:eastAsia="zh-CN"/>
        </w:rPr>
        <w:t>87297540</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3"/>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bookmarkStart w:id="53" w:name="_Toc2540"/>
      <w:r>
        <w:rPr>
          <w:rFonts w:hint="eastAsia" w:cs="仿宋_GB2312" w:asciiTheme="minorEastAsia" w:hAnsiTheme="minorEastAsia" w:eastAsiaTheme="minorEastAsia"/>
          <w:b/>
          <w:color w:val="auto"/>
          <w:sz w:val="36"/>
          <w:szCs w:val="20"/>
          <w:highlight w:val="none"/>
        </w:rPr>
        <w:t>第二部分 竞争性磋商流程</w:t>
      </w:r>
      <w:bookmarkEnd w:id="53"/>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w:t>
      </w:r>
      <w:r>
        <w:rPr>
          <w:rFonts w:hint="eastAsia" w:asciiTheme="minorEastAsia" w:hAnsiTheme="minorEastAsia" w:eastAsiaTheme="minorEastAsia"/>
          <w:color w:val="auto"/>
          <w:szCs w:val="24"/>
          <w:highlight w:val="none"/>
        </w:rPr>
        <w:t>以书面形式</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政采云系统发出磋商响应函或邮件形式等</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通知所有符合性审查合格的供应商</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视作与供应商进行磋商。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highlight w:val="none"/>
        </w:rPr>
        <w:t>根据磋商补充通知，政府购买服务项目（含政府和社会资本合作项目），在采购过程中符合要求的供应商（社会资本）只有2家的，竞争性磋商采购活动可以继续进行。</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3"/>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Theme="minorEastAsia" w:hAnsiTheme="minorEastAsia" w:eastAsiaTheme="minorEastAsia"/>
                              </w:rPr>
                              <w:t>签订合同</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0768;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签订合同</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3360;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Theme="minorEastAsia" w:hAnsiTheme="minorEastAsia" w:eastAsiaTheme="minorEastAsia"/>
                              </w:rPr>
                              <w:t>履约</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4384;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pPr>
                        <w:rPr>
                          <w:rFonts w:ascii="仿宋_GB2312" w:eastAsia="仿宋_GB2312"/>
                        </w:rPr>
                      </w:pPr>
                      <w:r>
                        <w:rPr>
                          <w:rFonts w:hint="eastAsia" w:asciiTheme="minorEastAsia" w:hAnsiTheme="minorEastAsia" w:eastAsiaTheme="minorEastAsia"/>
                        </w:rPr>
                        <w:t>履约</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Theme="minorEastAsia" w:hAnsiTheme="minorEastAsia" w:eastAsiaTheme="minorEastAsia"/>
                              </w:rPr>
                              <w:t>成交公告；成交通知书</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7696;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pPr>
                        <w:rPr>
                          <w:rFonts w:ascii="仿宋_GB2312" w:eastAsia="仿宋_GB2312"/>
                        </w:rPr>
                      </w:pPr>
                      <w:r>
                        <w:rPr>
                          <w:rFonts w:hint="eastAsia" w:asciiTheme="minorEastAsia" w:hAnsiTheme="minorEastAsia" w:eastAsiaTheme="minorEastAsia"/>
                        </w:rPr>
                        <w:t>成交公告；成交通知书</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仿宋_GB2312" w:eastAsia="仿宋_GB2312"/>
                              </w:rPr>
                            </w:pPr>
                            <w:r>
                              <w:rPr>
                                <w:rFonts w:hint="eastAsia" w:asciiTheme="minorEastAsia" w:hAnsiTheme="minorEastAsia" w:eastAsiaTheme="minorEastAsia"/>
                              </w:rPr>
                              <w:t>编写评审报告</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仿宋_GB2312" w:eastAsia="仿宋_GB2312"/>
                        </w:rPr>
                      </w:pPr>
                      <w:r>
                        <w:rPr>
                          <w:rFonts w:hint="eastAsia" w:asciiTheme="minorEastAsia" w:hAnsiTheme="minorEastAsia" w:eastAsiaTheme="minorEastAsia"/>
                        </w:rPr>
                        <w:t>编写评审报告</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Theme="minorEastAsia" w:hAnsiTheme="minorEastAsia" w:eastAsiaTheme="minorEastAsia"/>
                              </w:rPr>
                              <w:t>评审打分</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评审打分</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Theme="minorEastAsia" w:hAnsiTheme="minorEastAsia" w:eastAsiaTheme="minorEastAsia"/>
                              </w:rPr>
                              <w:t>供应商提交最后报价</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供应商提交最后报价</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Theme="minorEastAsia" w:hAnsiTheme="minorEastAsia" w:eastAsiaTheme="minorEastAsia"/>
                              </w:rPr>
                              <w:t>开启响应文件</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开启响应文件</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Theme="minorEastAsia" w:hAnsiTheme="minorEastAsia" w:eastAsiaTheme="minorEastAsia"/>
                              </w:rPr>
                              <w:t>邀请供应商</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7456;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Theme="minorEastAsia" w:hAnsiTheme="minorEastAsia" w:eastAsiaTheme="minorEastAsia"/>
                        </w:rPr>
                        <w:t>邀请供应商</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54" w:name="_Toc14128"/>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54"/>
    </w:p>
    <w:p>
      <w:pPr>
        <w:adjustRightInd/>
        <w:spacing w:line="360" w:lineRule="auto"/>
        <w:jc w:val="center"/>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vAlign w:val="center"/>
          </w:tcPr>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pPr>
              <w:snapToGrid w:val="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vAlign w:val="center"/>
          </w:tcPr>
          <w:p>
            <w:pPr>
              <w:snapToGrid w:val="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设备整体维保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工业</w:t>
            </w:r>
            <w:r>
              <w:rPr>
                <w:rFonts w:hint="eastAsia" w:cs="宋体" w:asciiTheme="minorEastAsia" w:hAnsiTheme="minorEastAsia" w:eastAsiaTheme="minorEastAsia"/>
                <w:color w:val="auto"/>
                <w:kern w:val="0"/>
                <w:sz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vAlign w:val="center"/>
          </w:tcPr>
          <w:p>
            <w:pPr>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pPr>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pPr>
              <w:snapToGrid w:val="0"/>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vAlign w:val="center"/>
          </w:tcPr>
          <w:p>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配套服务 </w:t>
            </w:r>
            <w:r>
              <w:rPr>
                <w:rFonts w:hint="eastAsia" w:cs="宋体" w:asciiTheme="minorEastAsia" w:hAnsiTheme="minorEastAsia" w:eastAsiaTheme="minorEastAsia"/>
                <w:color w:val="auto"/>
                <w:sz w:val="24"/>
                <w:highlight w:val="none"/>
              </w:rPr>
              <w:t>工作分包。</w:t>
            </w:r>
          </w:p>
          <w:p>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vAlign w:val="center"/>
          </w:tcPr>
          <w:p>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vAlign w:val="center"/>
          </w:tcPr>
          <w:p>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pPr>
              <w:snapToGrid w:val="0"/>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vAlign w:val="center"/>
          </w:tcPr>
          <w:p>
            <w:pPr>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vAlign w:val="center"/>
          </w:tcPr>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本</w:t>
            </w:r>
            <w:r>
              <w:rPr>
                <w:rFonts w:hint="eastAsia" w:cs="宋体" w:asciiTheme="minorEastAsia" w:hAnsiTheme="minorEastAsia" w:eastAsiaTheme="minorEastAsia"/>
                <w:color w:val="auto"/>
                <w:sz w:val="24"/>
                <w:highlight w:val="none"/>
              </w:rPr>
              <w:t>部分“六、响应文件的编制”。</w:t>
            </w:r>
          </w:p>
          <w:p>
            <w:pPr>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pPr>
              <w:snapToGrid w:val="0"/>
              <w:jc w:val="center"/>
              <w:rPr>
                <w:rFonts w:cs="宋体" w:asciiTheme="minorEastAsia" w:hAnsiTheme="minorEastAsia" w:eastAsiaTheme="minorEastAsia"/>
                <w:color w:val="auto"/>
                <w:sz w:val="24"/>
                <w:highlight w:val="none"/>
              </w:rPr>
            </w:pPr>
          </w:p>
        </w:tc>
        <w:tc>
          <w:tcPr>
            <w:tcW w:w="1843" w:type="dxa"/>
            <w:vMerge w:val="continue"/>
            <w:vAlign w:val="center"/>
          </w:tcPr>
          <w:p>
            <w:pPr>
              <w:snapToGrid w:val="0"/>
              <w:jc w:val="center"/>
              <w:rPr>
                <w:rFonts w:cs="宋体" w:asciiTheme="minorEastAsia" w:hAnsiTheme="minorEastAsia" w:eastAsiaTheme="minorEastAsia"/>
                <w:b/>
                <w:color w:val="auto"/>
                <w:sz w:val="24"/>
                <w:highlight w:val="none"/>
              </w:rPr>
            </w:pPr>
          </w:p>
        </w:tc>
        <w:tc>
          <w:tcPr>
            <w:tcW w:w="6095" w:type="dxa"/>
            <w:vAlign w:val="center"/>
          </w:tcPr>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vAlign w:val="center"/>
          </w:tcPr>
          <w:p>
            <w:pPr>
              <w:snapToGrid w:val="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vAlign w:val="center"/>
          </w:tcPr>
          <w:p>
            <w:pPr>
              <w:snapToGrid w:val="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color w:val="auto"/>
                <w:kern w:val="0"/>
                <w:sz w:val="24"/>
                <w:highlight w:val="none"/>
                <w:lang w:val="zh-CN"/>
              </w:rPr>
              <w:br w:type="textWrapping"/>
            </w:r>
            <w:r>
              <w:rPr>
                <w:rFonts w:hint="eastAsia" w:cs="宋体" w:asciiTheme="minorEastAsia" w:hAnsiTheme="minorEastAsia" w:eastAsiaTheme="minorEastAsia"/>
                <w:color w:val="auto"/>
                <w:kern w:val="0"/>
                <w:sz w:val="24"/>
                <w:highlight w:val="none"/>
                <w:lang w:val="en-US" w:eastAsia="zh-CN"/>
              </w:rPr>
              <w:t xml:space="preserve">  </w:t>
            </w:r>
            <w:r>
              <w:rPr>
                <w:rFonts w:hint="eastAsia" w:cs="宋体" w:asciiTheme="minorEastAsia" w:hAnsiTheme="minorEastAsia" w:eastAsiaTheme="minorEastAsia"/>
                <w:color w:val="auto"/>
                <w:kern w:val="0"/>
                <w:sz w:val="24"/>
                <w:highlight w:val="none"/>
                <w:lang w:val="zh-CN" w:eastAsia="zh-CN"/>
              </w:rPr>
              <w:t>本项目</w:t>
            </w:r>
            <w:r>
              <w:rPr>
                <w:rFonts w:hint="eastAsia" w:cs="宋体" w:asciiTheme="minorEastAsia" w:hAnsiTheme="minorEastAsia" w:eastAsiaTheme="minorEastAsia"/>
                <w:color w:val="auto"/>
                <w:kern w:val="0"/>
                <w:sz w:val="24"/>
                <w:highlight w:val="none"/>
                <w:lang w:val="zh-CN"/>
              </w:rPr>
              <w:t>采用</w:t>
            </w:r>
            <w:r>
              <w:rPr>
                <w:rFonts w:hint="eastAsia" w:cs="宋体" w:asciiTheme="minorEastAsia" w:hAnsiTheme="minorEastAsia" w:eastAsiaTheme="minorEastAsia"/>
                <w:color w:val="auto"/>
                <w:kern w:val="0"/>
                <w:sz w:val="24"/>
                <w:highlight w:val="none"/>
                <w:lang w:val="zh-CN" w:eastAsia="zh-CN"/>
              </w:rPr>
              <w:t>人民币</w:t>
            </w:r>
            <w:r>
              <w:rPr>
                <w:rFonts w:hint="eastAsia" w:cs="宋体" w:asciiTheme="minorEastAsia" w:hAnsiTheme="minorEastAsia" w:eastAsiaTheme="minorEastAsia"/>
                <w:color w:val="auto"/>
                <w:kern w:val="0"/>
                <w:sz w:val="24"/>
                <w:highlight w:val="none"/>
                <w:lang w:val="zh-CN"/>
              </w:rPr>
              <w:t>报价。</w:t>
            </w:r>
          </w:p>
          <w:p>
            <w:pPr>
              <w:snapToGrid w:val="0"/>
              <w:ind w:firstLine="240"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本项目投标报价须是完成本项目的所有费用，应包括设备保修、设备保养服务及所有配件费、维修人工费及差旅费等费用、利润、税金等一切与本次采购相关的费用。</w:t>
            </w:r>
          </w:p>
          <w:p>
            <w:pPr>
              <w:snapToGrid w:val="0"/>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ind w:firstLine="241" w:firstLineChars="100"/>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pPr>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vAlign w:val="center"/>
          </w:tcPr>
          <w:p>
            <w:pPr>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vAlign w:val="center"/>
          </w:tcPr>
          <w:p>
            <w:pPr>
              <w:pStyle w:val="33"/>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供应商可以准备U盘存储的电子备份响应文件1份，按政府采购云平台要求制作的电子备份响应文件，以用于异常情况处理。</w:t>
            </w:r>
          </w:p>
          <w:p>
            <w:pPr>
              <w:pStyle w:val="33"/>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如提供备份响应文件的，应于响应文件提交（上传）截止时间前，将以U盘存储的电子备份响应文件密封，递交至</w:t>
            </w:r>
            <w:r>
              <w:rPr>
                <w:rFonts w:hint="eastAsia" w:hAnsi="宋体" w:cs="宋体"/>
                <w:color w:val="auto"/>
                <w:sz w:val="24"/>
                <w:szCs w:val="24"/>
                <w:highlight w:val="none"/>
                <w:u w:val="single"/>
                <w:lang w:val="en-US" w:eastAsia="zh-CN"/>
              </w:rPr>
              <w:t>宁波市海曙区公共资源交易中心二楼开标室（南门上，宁波市海曙区气象路58号）</w:t>
            </w:r>
            <w:r>
              <w:rPr>
                <w:rFonts w:hint="eastAsia" w:cs="宋体" w:asciiTheme="minorEastAsia" w:hAnsiTheme="minorEastAsia" w:eastAsiaTheme="minorEastAsia"/>
                <w:color w:val="auto"/>
                <w:kern w:val="28"/>
                <w:sz w:val="24"/>
                <w:szCs w:val="24"/>
                <w:highlight w:val="none"/>
              </w:rPr>
              <w:t>，逾期送达或未密封将予以拒收。</w:t>
            </w:r>
          </w:p>
          <w:p>
            <w:pPr>
              <w:pStyle w:val="33"/>
              <w:rPr>
                <w:rFonts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供应商可采用邮寄（含快递）方式递交备份响应文件。</w:t>
            </w:r>
          </w:p>
          <w:p>
            <w:pPr>
              <w:pStyle w:val="33"/>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pPr>
              <w:pStyle w:val="33"/>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w:t>
            </w:r>
            <w:r>
              <w:rPr>
                <w:rFonts w:hint="eastAsia" w:cs="宋体" w:asciiTheme="minorEastAsia" w:hAnsiTheme="minorEastAsia" w:eastAsiaTheme="minorEastAsia"/>
                <w:color w:val="auto"/>
                <w:kern w:val="28"/>
                <w:sz w:val="24"/>
                <w:szCs w:val="24"/>
                <w:highlight w:val="none"/>
                <w:lang w:val="en-US" w:eastAsia="zh-CN"/>
              </w:rPr>
              <w:t>开标前一工作日</w:t>
            </w:r>
            <w:r>
              <w:rPr>
                <w:rFonts w:hint="eastAsia" w:cs="宋体" w:asciiTheme="minorEastAsia" w:hAnsiTheme="minorEastAsia" w:eastAsiaTheme="minorEastAsia"/>
                <w:color w:val="auto"/>
                <w:kern w:val="28"/>
                <w:sz w:val="24"/>
                <w:szCs w:val="24"/>
                <w:highlight w:val="none"/>
              </w:rPr>
              <w:t>16:00前到件的邮寄地址为：宁波市鄞州区天童南路666号中基大厦19楼业务六部；</w:t>
            </w:r>
          </w:p>
          <w:p>
            <w:pPr>
              <w:pStyle w:val="33"/>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rPr>
              <w:t>收件人：</w:t>
            </w:r>
            <w:r>
              <w:rPr>
                <w:rFonts w:hint="eastAsia" w:cs="宋体" w:asciiTheme="minorEastAsia" w:hAnsiTheme="minorEastAsia" w:eastAsiaTheme="minorEastAsia"/>
                <w:color w:val="auto"/>
                <w:kern w:val="28"/>
                <w:sz w:val="24"/>
                <w:szCs w:val="24"/>
                <w:highlight w:val="none"/>
                <w:lang w:val="en-US" w:eastAsia="zh-CN"/>
              </w:rPr>
              <w:t>朱贤东</w:t>
            </w:r>
            <w:r>
              <w:rPr>
                <w:rFonts w:hint="eastAsia" w:cs="宋体" w:asciiTheme="minorEastAsia" w:hAnsiTheme="minorEastAsia" w:eastAsiaTheme="minorEastAsia"/>
                <w:color w:val="auto"/>
                <w:kern w:val="28"/>
                <w:sz w:val="24"/>
                <w:szCs w:val="24"/>
                <w:highlight w:val="none"/>
              </w:rPr>
              <w:t xml:space="preserve">   联系方式：</w:t>
            </w:r>
            <w:r>
              <w:rPr>
                <w:rFonts w:hint="eastAsia" w:cs="宋体" w:asciiTheme="minorEastAsia" w:hAnsiTheme="minorEastAsia" w:eastAsiaTheme="minorEastAsia"/>
                <w:color w:val="auto"/>
                <w:kern w:val="28"/>
                <w:sz w:val="24"/>
                <w:szCs w:val="24"/>
                <w:highlight w:val="none"/>
                <w:lang w:val="en-US" w:eastAsia="zh-CN"/>
              </w:rPr>
              <w:t>0574-87425380</w:t>
            </w:r>
          </w:p>
          <w:p>
            <w:pPr>
              <w:pStyle w:val="33"/>
              <w:rPr>
                <w:rFonts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pPr>
              <w:pStyle w:val="33"/>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vAlign w:val="center"/>
          </w:tcPr>
          <w:p>
            <w:pP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pPr>
              <w:snapToGrid w:val="0"/>
              <w:jc w:val="center"/>
              <w:rPr>
                <w:rFonts w:cs="宋体" w:asciiTheme="minorEastAsia" w:hAnsiTheme="minorEastAsia" w:eastAsiaTheme="minorEastAsia"/>
                <w:color w:val="auto"/>
                <w:sz w:val="24"/>
                <w:highlight w:val="none"/>
              </w:rPr>
            </w:pPr>
          </w:p>
        </w:tc>
        <w:tc>
          <w:tcPr>
            <w:tcW w:w="1843" w:type="dxa"/>
            <w:vMerge w:val="continue"/>
            <w:vAlign w:val="center"/>
          </w:tcPr>
          <w:p>
            <w:pPr>
              <w:snapToGrid w:val="0"/>
              <w:jc w:val="center"/>
              <w:rPr>
                <w:rFonts w:cs="宋体" w:asciiTheme="minorEastAsia" w:hAnsiTheme="minorEastAsia" w:eastAsiaTheme="minorEastAsia"/>
                <w:b/>
                <w:color w:val="auto"/>
                <w:sz w:val="24"/>
                <w:highlight w:val="none"/>
              </w:rPr>
            </w:pPr>
          </w:p>
        </w:tc>
        <w:tc>
          <w:tcPr>
            <w:tcW w:w="6095" w:type="dxa"/>
            <w:vAlign w:val="center"/>
          </w:tcPr>
          <w:p>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pPr>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pPr>
              <w:snapToGrid w:val="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pPr>
              <w:snapToGrid w:val="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095" w:type="dxa"/>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招标代理服务费的收取标准：参照原国家发改委发改办价格[2003]857号通知和原国家计委计价格[2002]1980号文件；采购代理机构按照成交金额，根据以下表格服务招标标准向成交人收取招标代理服务费。</w:t>
            </w:r>
          </w:p>
          <w:tbl>
            <w:tblPr>
              <w:tblStyle w:val="61"/>
              <w:tblW w:w="5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07"/>
              <w:gridCol w:w="1343"/>
              <w:gridCol w:w="121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2007" w:type="dxa"/>
                  <w:tcBorders>
                    <w:tl2br w:val="single" w:color="auto" w:sz="4" w:space="0"/>
                  </w:tcBorders>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服务类型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43"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217"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220"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2007"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43"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217"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220"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2007"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43"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217"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220"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jc w:val="center"/>
              </w:trPr>
              <w:tc>
                <w:tcPr>
                  <w:tcW w:w="2007"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43"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217"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220" w:type="dxa"/>
                  <w:noWrap w:val="0"/>
                  <w:tcMar>
                    <w:top w:w="30" w:type="dxa"/>
                    <w:left w:w="150" w:type="dxa"/>
                    <w:bottom w:w="30" w:type="dxa"/>
                    <w:right w:w="15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备注：（1）招标代理服务费按差额定率累进法计算；（2）招标代理服务费只收现金、银行票汇款、电汇款。汇入以下账户：</w:t>
            </w:r>
          </w:p>
          <w:p>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pPr>
              <w:keepNext w:val="0"/>
              <w:keepLines w:val="0"/>
              <w:pageBreakBefore w:val="0"/>
              <w:widowControl w:val="0"/>
              <w:kinsoku/>
              <w:wordWrap/>
              <w:overflowPunct/>
              <w:topLinePunct w:val="0"/>
              <w:autoSpaceDE/>
              <w:autoSpaceDN/>
              <w:bidi w:val="0"/>
              <w:adjustRightInd w:val="0"/>
              <w:spacing w:line="300" w:lineRule="exact"/>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pPr>
              <w:keepNext w:val="0"/>
              <w:keepLines w:val="0"/>
              <w:pageBreakBefore w:val="0"/>
              <w:widowControl w:val="0"/>
              <w:kinsoku/>
              <w:wordWrap/>
              <w:overflowPunct/>
              <w:topLinePunct w:val="0"/>
              <w:autoSpaceDE/>
              <w:autoSpaceDN/>
              <w:bidi w:val="0"/>
              <w:adjustRightInd w:val="0"/>
              <w:spacing w:line="300" w:lineRule="exact"/>
              <w:textAlignment w:val="auto"/>
              <w:outlineLvl w:val="9"/>
            </w:pPr>
            <w:r>
              <w:rPr>
                <w:rFonts w:hint="eastAsia" w:cs="Arial" w:asciiTheme="minorEastAsia" w:hAnsiTheme="minorEastAsia" w:eastAsiaTheme="minorEastAsia"/>
                <w:color w:val="auto"/>
                <w:kern w:val="0"/>
                <w:sz w:val="24"/>
                <w:highlight w:val="none"/>
                <w:lang w:val="en-US" w:eastAsia="zh-CN"/>
              </w:rPr>
              <w:t>注：成交人接到本公司通知后5个工作日内向本采购代理机构领取成交通知书（根据成交人需求可采用邮寄或到采购代理机构现场领取）。</w:t>
            </w:r>
          </w:p>
        </w:tc>
      </w:tr>
    </w:tbl>
    <w:p>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pPr>
        <w:adjustRightInd/>
        <w:spacing w:line="360" w:lineRule="auto"/>
        <w:ind w:firstLine="3845" w:firstLineChars="1197"/>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pPr>
        <w:adjustRightInd/>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3"/>
        <w:spacing w:line="360" w:lineRule="auto"/>
        <w:rPr>
          <w:rFonts w:hint="eastAsia" w:asciiTheme="minorEastAsia" w:hAnsiTheme="minorEastAsia" w:eastAsiaTheme="minorEastAsia"/>
          <w:b/>
          <w:color w:val="auto"/>
          <w:sz w:val="24"/>
          <w:szCs w:val="24"/>
          <w:highlight w:val="none"/>
        </w:rPr>
      </w:pPr>
    </w:p>
    <w:p>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pPr>
        <w:pStyle w:val="616"/>
        <w:snapToGrid w:val="0"/>
        <w:spacing w:after="240" w:afterAutospacing="0" w:line="360" w:lineRule="auto"/>
        <w:ind w:firstLine="400"/>
        <w:contextualSpacing/>
        <w:rPr>
          <w:color w:val="auto"/>
          <w:highlight w:val="none"/>
        </w:rPr>
      </w:pPr>
      <w:r>
        <w:rPr>
          <w:rFonts w:hint="eastAsia" w:asciiTheme="minorEastAsia" w:hAnsiTheme="minorEastAsia" w:eastAsiaTheme="minorEastAsia"/>
          <w:color w:val="auto"/>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en-US" w:eastAsia="zh-CN"/>
        </w:rPr>
        <w:t>2</w:t>
      </w:r>
      <w:r>
        <w:rPr>
          <w:rFonts w:asciiTheme="minorEastAsia" w:hAnsiTheme="minorEastAsia" w:eastAsiaTheme="minorEastAsia"/>
          <w:color w:val="auto"/>
          <w:highlight w:val="none"/>
        </w:rPr>
        <w:t>号）</w:t>
      </w:r>
      <w:r>
        <w:rPr>
          <w:rFonts w:hint="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3"/>
        <w:spacing w:line="360" w:lineRule="auto"/>
        <w:ind w:firstLine="480" w:firstLineChars="200"/>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lang w:val="en-US" w:eastAsia="zh-CN"/>
        </w:rPr>
        <w:t>5</w:t>
      </w:r>
      <w:r>
        <w:rPr>
          <w:rFonts w:hint="eastAsia"/>
          <w:color w:val="auto"/>
          <w:sz w:val="24"/>
          <w:szCs w:val="24"/>
          <w:highlight w:val="none"/>
        </w:rPr>
        <w:t xml:space="preserve">投诉材料寄送相关信息详见《第一部分  邀请供应商》。        </w:t>
      </w:r>
    </w:p>
    <w:p>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rPr>
          <w:rFonts w:cs="仿宋_GB2312" w:asciiTheme="minorEastAsia" w:hAnsiTheme="minorEastAsia" w:eastAsiaTheme="minorEastAsia"/>
          <w:b/>
          <w:color w:val="auto"/>
          <w:sz w:val="32"/>
          <w:szCs w:val="20"/>
          <w:highlight w:val="none"/>
        </w:rPr>
      </w:pPr>
    </w:p>
    <w:p>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3"/>
        <w:spacing w:line="360" w:lineRule="auto"/>
        <w:rPr>
          <w:rFonts w:hint="eastAsia" w:asciiTheme="minorEastAsia" w:hAnsiTheme="minorEastAsia" w:eastAsiaTheme="minorEastAsia"/>
          <w:b/>
          <w:color w:val="auto"/>
          <w:sz w:val="24"/>
          <w:szCs w:val="24"/>
          <w:highlight w:val="none"/>
        </w:rPr>
      </w:pP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adjustRightInd/>
        <w:spacing w:line="360" w:lineRule="auto"/>
        <w:jc w:val="center"/>
        <w:rPr>
          <w:rFonts w:hint="eastAsia" w:cs="仿宋_GB2312" w:asciiTheme="minorEastAsia" w:hAnsiTheme="minorEastAsia" w:eastAsiaTheme="minorEastAsia"/>
          <w:b/>
          <w:color w:val="auto"/>
          <w:sz w:val="32"/>
          <w:szCs w:val="20"/>
          <w:highlight w:val="none"/>
        </w:rPr>
      </w:pPr>
    </w:p>
    <w:p>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3"/>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（11）报价文件</w:t>
      </w:r>
    </w:p>
    <w:p>
      <w:pPr>
        <w:pStyle w:val="33"/>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A、报价一览表（初次报价）；</w:t>
      </w:r>
    </w:p>
    <w:p>
      <w:pPr>
        <w:pStyle w:val="33"/>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B、报价明细表；</w:t>
      </w:r>
    </w:p>
    <w:p>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adjustRightInd/>
        <w:spacing w:line="360" w:lineRule="auto"/>
        <w:jc w:val="center"/>
        <w:rPr>
          <w:rFonts w:cs="仿宋_GB2312" w:asciiTheme="minorEastAsia" w:hAnsiTheme="minorEastAsia" w:eastAsiaTheme="minorEastAsia"/>
          <w:b/>
          <w:color w:val="auto"/>
          <w:sz w:val="32"/>
          <w:szCs w:val="20"/>
          <w:highlight w:val="none"/>
        </w:rPr>
      </w:pPr>
    </w:p>
    <w:p>
      <w:pPr>
        <w:adjustRightInd/>
        <w:spacing w:line="360" w:lineRule="auto"/>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备份响应文件须在“政采云投标客户端”制作生成（文件后缀为：jmbs），并储存</w:t>
      </w:r>
      <w:r>
        <w:rPr>
          <w:rFonts w:hint="eastAsia" w:cs="仿宋_GB2312" w:asciiTheme="minorEastAsia" w:hAnsiTheme="minorEastAsia" w:eastAsiaTheme="minorEastAsia"/>
          <w:b/>
          <w:bCs/>
          <w:color w:val="auto"/>
          <w:sz w:val="24"/>
          <w:szCs w:val="24"/>
          <w:highlight w:val="none"/>
          <w:u w:val="single"/>
        </w:rPr>
        <w:t>U盘</w:t>
      </w:r>
      <w:r>
        <w:rPr>
          <w:rFonts w:hint="eastAsia" w:asciiTheme="minorEastAsia" w:hAnsiTheme="minorEastAsia" w:eastAsiaTheme="minorEastAsia"/>
          <w:b/>
          <w:color w:val="auto"/>
          <w:sz w:val="24"/>
          <w:highlight w:val="none"/>
          <w:u w:val="single"/>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rPr>
          <w:rFonts w:cs="仿宋_GB2312" w:asciiTheme="minorEastAsia" w:hAnsiTheme="minorEastAsia" w:eastAsiaTheme="minorEastAsia"/>
          <w:b/>
          <w:color w:val="auto"/>
          <w:sz w:val="32"/>
          <w:szCs w:val="20"/>
          <w:highlight w:val="none"/>
        </w:rPr>
      </w:pPr>
    </w:p>
    <w:p>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九、提交最后报价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pPr>
        <w:adjustRightInd/>
        <w:spacing w:line="360" w:lineRule="auto"/>
        <w:jc w:val="center"/>
        <w:rPr>
          <w:rFonts w:cs="仿宋_GB2312" w:asciiTheme="minorEastAsia" w:hAnsiTheme="minorEastAsia" w:eastAsiaTheme="minorEastAsia"/>
          <w:b/>
          <w:color w:val="auto"/>
          <w:sz w:val="32"/>
          <w:szCs w:val="20"/>
          <w:highlight w:val="none"/>
        </w:rPr>
      </w:pPr>
    </w:p>
    <w:p>
      <w:pPr>
        <w:adjustRightInd/>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rPr>
          <w:rFonts w:hint="eastAsia" w:cs="仿宋_GB2312" w:asciiTheme="minorEastAsia" w:hAnsiTheme="minorEastAsia" w:eastAsiaTheme="minorEastAsia"/>
          <w:b/>
          <w:color w:val="auto"/>
          <w:sz w:val="32"/>
          <w:szCs w:val="20"/>
          <w:highlight w:val="none"/>
        </w:rPr>
      </w:pPr>
    </w:p>
    <w:p>
      <w:pPr>
        <w:adjustRightInd/>
        <w:spacing w:line="360" w:lineRule="auto"/>
        <w:jc w:val="cente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color w:val="auto"/>
          <w:sz w:val="24"/>
          <w:highlight w:val="none"/>
        </w:rPr>
        <w:t>资格审查情况、评审专家抽取规则、符合性审查情况、</w:t>
      </w:r>
      <w:bookmarkEnd w:id="55"/>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rPr>
          <w:rFonts w:cs="仿宋_GB2312" w:asciiTheme="minorEastAsia" w:hAnsiTheme="minorEastAsia" w:eastAsiaTheme="minorEastAsia"/>
          <w:b/>
          <w:color w:val="auto"/>
          <w:sz w:val="36"/>
          <w:szCs w:val="36"/>
          <w:highlight w:val="none"/>
        </w:rPr>
      </w:pPr>
    </w:p>
    <w:p>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255"/>
          <w:numId w:val="0"/>
        </w:numPr>
        <w:tabs>
          <w:tab w:val="left" w:pos="432"/>
        </w:tabs>
        <w:rPr>
          <w:color w:val="auto"/>
          <w:highlight w:val="none"/>
        </w:rPr>
      </w:pPr>
      <w:r>
        <w:rPr>
          <w:rFonts w:ascii="宋体" w:hAnsi="宋体"/>
          <w:color w:val="auto"/>
          <w:sz w:val="24"/>
          <w:highlight w:val="none"/>
        </w:rPr>
        <w:t>4.</w:t>
      </w:r>
      <w:r>
        <w:rPr>
          <w:rFonts w:hint="eastAsia" w:ascii="宋体" w:hAnsi="宋体"/>
          <w:color w:val="auto"/>
          <w:sz w:val="24"/>
          <w:highlight w:val="none"/>
        </w:rPr>
        <w:t>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tabs>
          <w:tab w:val="left" w:pos="0"/>
        </w:tabs>
        <w:spacing w:line="360" w:lineRule="auto"/>
        <w:rPr>
          <w:rFonts w:cs="宋体" w:asciiTheme="minorEastAsia" w:hAnsiTheme="minorEastAsia" w:eastAsiaTheme="minorEastAsia"/>
          <w:snapToGrid w:val="0"/>
          <w:color w:val="auto"/>
          <w:kern w:val="28"/>
          <w:sz w:val="24"/>
          <w:highlight w:val="none"/>
        </w:rPr>
      </w:pPr>
    </w:p>
    <w:p>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十三、验收</w:t>
      </w:r>
    </w:p>
    <w:p>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spacing w:line="360" w:lineRule="auto"/>
        <w:jc w:val="center"/>
        <w:rPr>
          <w:rFonts w:hint="eastAsia" w:cs="仿宋_GB2312" w:asciiTheme="minorEastAsia" w:hAnsiTheme="minorEastAsia" w:eastAsiaTheme="minorEastAsia"/>
          <w:b/>
          <w:color w:val="auto"/>
          <w:sz w:val="32"/>
          <w:highlight w:val="none"/>
        </w:rPr>
      </w:pPr>
    </w:p>
    <w:p>
      <w:pPr>
        <w:adjustRightInd/>
        <w:spacing w:line="360" w:lineRule="auto"/>
        <w:jc w:val="center"/>
        <w:rPr>
          <w:rFonts w:hint="eastAsia" w:cs="仿宋_GB2312" w:asciiTheme="minorEastAsia" w:hAnsiTheme="minorEastAsia" w:eastAsiaTheme="minorEastAsia"/>
          <w:b/>
          <w:color w:val="auto"/>
          <w:sz w:val="32"/>
          <w:highlight w:val="none"/>
        </w:rPr>
      </w:pPr>
    </w:p>
    <w:p>
      <w:pPr>
        <w:adjustRightInd/>
        <w:spacing w:line="360" w:lineRule="auto"/>
        <w:jc w:val="center"/>
        <w:rPr>
          <w:rFonts w:hint="eastAsia" w:cs="仿宋_GB2312" w:asciiTheme="minorEastAsia" w:hAnsiTheme="minorEastAsia" w:eastAsiaTheme="minorEastAsia"/>
          <w:b/>
          <w:color w:val="auto"/>
          <w:sz w:val="32"/>
          <w:highlight w:val="none"/>
        </w:rPr>
      </w:pPr>
    </w:p>
    <w:p>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9"/>
      <w:bookmarkStart w:id="56" w:name="_Hlt75236101"/>
      <w:bookmarkEnd w:id="56"/>
      <w:bookmarkStart w:id="57" w:name="_Hlt74707468"/>
      <w:bookmarkEnd w:id="57"/>
      <w:bookmarkStart w:id="58" w:name="_Hlt68057669"/>
      <w:bookmarkEnd w:id="58"/>
      <w:bookmarkStart w:id="59" w:name="_Hlt75236290"/>
      <w:bookmarkEnd w:id="59"/>
      <w:bookmarkStart w:id="60" w:name="_Hlt74729768"/>
      <w:bookmarkEnd w:id="60"/>
      <w:bookmarkStart w:id="61" w:name="_Hlt74714665"/>
      <w:bookmarkEnd w:id="61"/>
      <w:bookmarkStart w:id="62" w:name="_Hlt74730295"/>
      <w:bookmarkEnd w:id="62"/>
      <w:bookmarkStart w:id="63" w:name="_Hlt75236011"/>
      <w:bookmarkEnd w:id="63"/>
      <w:bookmarkStart w:id="64" w:name="_Hlt68072990"/>
      <w:bookmarkEnd w:id="64"/>
      <w:bookmarkStart w:id="65" w:name="_Toc164416483"/>
      <w:bookmarkStart w:id="66" w:name="第三部分"/>
    </w:p>
    <w:p>
      <w:pPr>
        <w:tabs>
          <w:tab w:val="left" w:pos="0"/>
        </w:tabs>
        <w:spacing w:line="360" w:lineRule="auto"/>
        <w:rPr>
          <w:rFonts w:cs="仿宋_GB2312" w:asciiTheme="minorEastAsia" w:hAnsiTheme="minorEastAsia" w:eastAsiaTheme="minorEastAsia"/>
          <w:b/>
          <w:color w:val="auto"/>
          <w:sz w:val="36"/>
          <w:szCs w:val="36"/>
          <w:highlight w:val="none"/>
        </w:rPr>
      </w:pPr>
    </w:p>
    <w:p>
      <w:pPr>
        <w:tabs>
          <w:tab w:val="left" w:pos="0"/>
        </w:tabs>
        <w:spacing w:line="360" w:lineRule="auto"/>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67" w:name="_Toc31035"/>
      <w:r>
        <w:rPr>
          <w:rFonts w:hint="eastAsia" w:cs="仿宋_GB2312" w:asciiTheme="minorEastAsia" w:hAnsiTheme="minorEastAsia" w:eastAsiaTheme="minorEastAsia"/>
          <w:b/>
          <w:color w:val="auto"/>
          <w:sz w:val="36"/>
          <w:szCs w:val="36"/>
          <w:highlight w:val="none"/>
        </w:rPr>
        <w:t>第四部分  采购需求</w:t>
      </w:r>
      <w:bookmarkEnd w:id="67"/>
    </w:p>
    <w:p>
      <w:pPr>
        <w:adjustRightInd/>
        <w:spacing w:line="360" w:lineRule="auto"/>
        <w:jc w:val="left"/>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w:t>
      </w:r>
      <w:r>
        <w:rPr>
          <w:rFonts w:hint="eastAsia" w:asciiTheme="minorEastAsia" w:hAnsiTheme="minorEastAsia" w:eastAsiaTheme="minorEastAsia"/>
          <w:color w:val="auto"/>
          <w:sz w:val="24"/>
          <w:highlight w:val="none"/>
          <w:u w:val="single"/>
          <w:lang w:eastAsia="zh-CN"/>
        </w:rPr>
        <w:t>★</w:t>
      </w:r>
      <w:r>
        <w:rPr>
          <w:rFonts w:hint="eastAsia" w:asciiTheme="minorEastAsia" w:hAnsiTheme="minorEastAsia" w:eastAsiaTheme="minorEastAsia"/>
          <w:color w:val="auto"/>
          <w:sz w:val="24"/>
          <w:highlight w:val="none"/>
          <w:u w:val="single"/>
        </w:rPr>
        <w:t>”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pPr>
        <w:adjustRightInd/>
        <w:spacing w:line="360" w:lineRule="auto"/>
        <w:rPr>
          <w:rFonts w:ascii="宋体" w:hAnsi="宋体" w:cs="宋体"/>
          <w:b/>
          <w:color w:val="auto"/>
          <w:sz w:val="24"/>
          <w:highlight w:val="none"/>
        </w:rPr>
      </w:pPr>
      <w:r>
        <w:rPr>
          <w:rFonts w:hint="eastAsia" w:ascii="宋体" w:hAnsi="宋体" w:cs="宋体"/>
          <w:color w:val="auto"/>
          <w:sz w:val="24"/>
          <w:highlight w:val="none"/>
          <w:lang w:eastAsia="zh-CN"/>
        </w:rPr>
        <w:t>★</w:t>
      </w:r>
      <w:r>
        <w:rPr>
          <w:rFonts w:hint="eastAsia" w:ascii="宋体" w:hAnsi="宋体" w:cs="宋体"/>
          <w:b/>
          <w:color w:val="auto"/>
          <w:sz w:val="24"/>
          <w:highlight w:val="none"/>
        </w:rPr>
        <w:t>一、重要商务条款一览表</w:t>
      </w:r>
    </w:p>
    <w:tbl>
      <w:tblPr>
        <w:tblStyle w:val="61"/>
        <w:tblW w:w="9045" w:type="dxa"/>
        <w:tblInd w:w="-2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合同履约期限及地点</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）合同履约期限：详见第一部分 《邀请供应商》。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）实施地点：采购人指定地点。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（1）在合同生效以及具备实施条件后7个工作日内支付合同金额50%的预付款；（若在签订合同时，中标人明确表示无需预付款的，采购人可不予支付预付款。预付款支付约定以合同中约定为准。）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kern w:val="0"/>
                <w:sz w:val="24"/>
                <w:szCs w:val="24"/>
                <w:highlight w:val="none"/>
                <w:lang w:val="en-US" w:eastAsia="zh-CN"/>
              </w:rPr>
            </w:pPr>
            <w:r>
              <w:rPr>
                <w:rFonts w:hint="eastAsia" w:ascii="宋体" w:hAnsi="宋体" w:cs="宋体"/>
                <w:b w:val="0"/>
                <w:bCs w:val="0"/>
                <w:kern w:val="0"/>
                <w:sz w:val="24"/>
                <w:szCs w:val="24"/>
                <w:highlight w:val="none"/>
                <w:lang w:val="en-US" w:eastAsia="zh-CN"/>
              </w:rPr>
              <w:t>（2）余款在合同生效后的第六个月内支付。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履约保证金</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本项目不适用。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合同终止</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成交人</w:t>
            </w:r>
            <w:r>
              <w:rPr>
                <w:rFonts w:hint="eastAsia" w:ascii="宋体" w:hAnsi="宋体" w:eastAsia="宋体" w:cs="宋体"/>
                <w:kern w:val="0"/>
                <w:sz w:val="24"/>
                <w:szCs w:val="24"/>
                <w:highlight w:val="none"/>
                <w:lang w:val="en-US" w:eastAsia="zh-CN"/>
              </w:rPr>
              <w:t>在合同有效期内，不得无理由终止合同，确有特殊情况的，须提前两个月向采购人提出书面申请，经采购人同意后，方可终止合同。因</w:t>
            </w:r>
            <w:r>
              <w:rPr>
                <w:rFonts w:hint="eastAsia" w:ascii="宋体" w:hAnsi="宋体" w:cs="宋体"/>
                <w:kern w:val="0"/>
                <w:sz w:val="24"/>
                <w:szCs w:val="24"/>
                <w:highlight w:val="none"/>
                <w:lang w:val="en-US" w:eastAsia="zh-CN"/>
              </w:rPr>
              <w:t>成交人</w:t>
            </w:r>
            <w:r>
              <w:rPr>
                <w:rFonts w:hint="eastAsia" w:ascii="宋体" w:hAnsi="宋体" w:eastAsia="宋体" w:cs="宋体"/>
                <w:kern w:val="0"/>
                <w:sz w:val="24"/>
                <w:szCs w:val="24"/>
                <w:highlight w:val="none"/>
                <w:lang w:val="en-US" w:eastAsia="zh-CN"/>
              </w:rPr>
              <w:t>不能保证工作质量，采购人可有权终止合同，</w:t>
            </w:r>
            <w:r>
              <w:rPr>
                <w:rFonts w:hint="eastAsia" w:ascii="宋体" w:hAnsi="宋体" w:cs="宋体"/>
                <w:kern w:val="0"/>
                <w:sz w:val="24"/>
                <w:szCs w:val="24"/>
                <w:highlight w:val="none"/>
                <w:lang w:val="en-US" w:eastAsia="zh-CN"/>
              </w:rPr>
              <w:t>成交人</w:t>
            </w:r>
            <w:r>
              <w:rPr>
                <w:rFonts w:hint="eastAsia" w:ascii="宋体" w:hAnsi="宋体" w:eastAsia="宋体" w:cs="宋体"/>
                <w:kern w:val="0"/>
                <w:sz w:val="24"/>
                <w:szCs w:val="24"/>
                <w:highlight w:val="none"/>
                <w:lang w:val="en-US" w:eastAsia="zh-CN"/>
              </w:rPr>
              <w:t>承担全部责任。</w:t>
            </w:r>
          </w:p>
        </w:tc>
      </w:tr>
    </w:tbl>
    <w:p>
      <w:pPr>
        <w:adjustRightInd/>
        <w:spacing w:line="360" w:lineRule="auto"/>
        <w:textAlignment w:val="baseline"/>
        <w:rPr>
          <w:rFonts w:hint="eastAsia" w:asciiTheme="minorEastAsia" w:hAnsiTheme="minorEastAsia" w:eastAsiaTheme="minorEastAsia" w:cstheme="minorEastAsia"/>
          <w:b/>
          <w:bCs/>
          <w:color w:val="auto"/>
          <w:kern w:val="0"/>
          <w:sz w:val="24"/>
          <w:szCs w:val="24"/>
          <w:highlight w:val="none"/>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lang w:val="en-US" w:eastAsia="zh-CN"/>
        </w:rPr>
      </w:pPr>
    </w:p>
    <w:p>
      <w:pPr>
        <w:adjustRightInd/>
        <w:spacing w:line="360" w:lineRule="auto"/>
        <w:jc w:val="left"/>
        <w:textAlignment w:val="auto"/>
        <w:rPr>
          <w:rFonts w:hint="default"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二、项目要求</w:t>
      </w:r>
    </w:p>
    <w:tbl>
      <w:tblPr>
        <w:tblStyle w:val="61"/>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662"/>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666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技术需求</w:t>
            </w:r>
          </w:p>
        </w:tc>
        <w:tc>
          <w:tcPr>
            <w:tcW w:w="1369"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662" w:type="dxa"/>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基本</w:t>
            </w:r>
            <w:r>
              <w:rPr>
                <w:rFonts w:hint="eastAsia" w:ascii="宋体" w:hAnsi="宋体" w:eastAsia="宋体" w:cs="宋体"/>
                <w:b/>
                <w:bCs/>
                <w:color w:val="auto"/>
                <w:kern w:val="0"/>
                <w:sz w:val="24"/>
                <w:szCs w:val="24"/>
                <w:highlight w:val="none"/>
              </w:rPr>
              <w:t>要求</w:t>
            </w:r>
            <w:r>
              <w:rPr>
                <w:rFonts w:hint="eastAsia" w:ascii="宋体" w:hAnsi="宋体" w:eastAsia="宋体" w:cs="宋体"/>
                <w:b/>
                <w:bCs/>
                <w:color w:val="auto"/>
                <w:kern w:val="0"/>
                <w:sz w:val="24"/>
                <w:szCs w:val="24"/>
                <w:highlight w:val="none"/>
                <w:lang w:eastAsia="zh-CN"/>
              </w:rPr>
              <w:t>：</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内容包括：院内医疗设备维修保养外包服务；</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▲1.2</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供应商应具有三类医疗器械经营许可证；</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▲1.3</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供应商应具有辐射安全证；</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4</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保修期内更换的配件及提供的易耗部件均需为全新配件；</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5</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在国内有至少2处配件备件库以确保能提供充足备件；</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6</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设备维保服务必须派出有资质的工程师；</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7</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为保证维保服务质量，供应商应在项目所在区域内有3名工程师，提供驻点地址；</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8</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为保证维保服务质量，供应商应在项目所在区域内有400或800服务热线，并提供号码；</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9</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保修期内故障报修响应时间≤2小时，工程师到场维修时限≤4小时</w:t>
            </w:r>
            <w:r>
              <w:rPr>
                <w:rFonts w:hint="eastAsia" w:ascii="宋体" w:hAnsi="宋体" w:eastAsia="宋体" w:cs="宋体"/>
                <w:color w:val="auto"/>
                <w:kern w:val="0"/>
                <w:sz w:val="24"/>
                <w:szCs w:val="24"/>
                <w:highlight w:val="none"/>
                <w:lang w:eastAsia="zh-CN"/>
              </w:rPr>
              <w:t>；</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r>
              <w:rPr>
                <w:rFonts w:hint="eastAsia" w:ascii="宋体" w:hAnsi="宋体" w:cs="宋体"/>
                <w:b/>
                <w:bCs/>
                <w:color w:val="auto"/>
                <w:kern w:val="0"/>
                <w:sz w:val="24"/>
                <w:szCs w:val="24"/>
                <w:highlight w:val="none"/>
                <w:lang w:val="en-US" w:eastAsia="zh-CN"/>
              </w:rPr>
              <w:t>0</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提供保修服务期内24小时技术电话支持（24×365天）</w:t>
            </w:r>
            <w:r>
              <w:rPr>
                <w:rFonts w:hint="eastAsia" w:ascii="宋体" w:hAnsi="宋体" w:eastAsia="宋体" w:cs="宋体"/>
                <w:color w:val="auto"/>
                <w:kern w:val="0"/>
                <w:sz w:val="24"/>
                <w:szCs w:val="24"/>
                <w:highlight w:val="none"/>
                <w:lang w:eastAsia="zh-CN"/>
              </w:rPr>
              <w:t>；</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r>
              <w:rPr>
                <w:rFonts w:hint="eastAsia" w:ascii="宋体" w:hAnsi="宋体" w:cs="宋体"/>
                <w:b/>
                <w:bCs/>
                <w:color w:val="auto"/>
                <w:kern w:val="0"/>
                <w:sz w:val="24"/>
                <w:szCs w:val="24"/>
                <w:highlight w:val="none"/>
                <w:lang w:val="en-US" w:eastAsia="zh-CN"/>
              </w:rPr>
              <w:t>1</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确保保修服务期内设备正常开机率≥95%（按365天/年计算）。如开机率达不到要求，每超过一天保修期相应延长2天</w:t>
            </w:r>
            <w:r>
              <w:rPr>
                <w:rFonts w:hint="eastAsia" w:ascii="宋体" w:hAnsi="宋体" w:eastAsia="宋体" w:cs="宋体"/>
                <w:color w:val="auto"/>
                <w:kern w:val="0"/>
                <w:sz w:val="24"/>
                <w:szCs w:val="24"/>
                <w:highlight w:val="none"/>
                <w:lang w:eastAsia="zh-CN"/>
              </w:rPr>
              <w:t>；</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r>
              <w:rPr>
                <w:rFonts w:hint="eastAsia" w:ascii="宋体" w:hAnsi="宋体" w:cs="宋体"/>
                <w:b/>
                <w:bCs/>
                <w:color w:val="auto"/>
                <w:kern w:val="0"/>
                <w:sz w:val="24"/>
                <w:szCs w:val="24"/>
                <w:highlight w:val="none"/>
                <w:lang w:val="en-US" w:eastAsia="zh-CN"/>
              </w:rPr>
              <w:t>2</w:t>
            </w:r>
          </w:p>
        </w:tc>
        <w:tc>
          <w:tcPr>
            <w:tcW w:w="6662" w:type="dxa"/>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提供每年两次的详细设备预防性维护保养计划，根据计划在保修服务期内定期做预防性维护保养，并提供详细记录报告</w:t>
            </w:r>
            <w:r>
              <w:rPr>
                <w:rFonts w:hint="eastAsia" w:ascii="宋体" w:hAnsi="宋体" w:eastAsia="宋体" w:cs="宋体"/>
                <w:color w:val="auto"/>
                <w:kern w:val="0"/>
                <w:sz w:val="24"/>
                <w:szCs w:val="24"/>
                <w:highlight w:val="none"/>
                <w:lang w:eastAsia="zh-CN"/>
              </w:rPr>
              <w:t>；</w:t>
            </w:r>
          </w:p>
        </w:tc>
        <w:tc>
          <w:tcPr>
            <w:tcW w:w="136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13</w:t>
            </w:r>
          </w:p>
        </w:tc>
        <w:tc>
          <w:tcPr>
            <w:tcW w:w="0" w:type="auto"/>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提供医院压力阀与压力表送检服务，并根据医院要求承担相应计量费用</w:t>
            </w:r>
            <w:r>
              <w:rPr>
                <w:rFonts w:hint="eastAsia" w:ascii="宋体" w:hAnsi="宋体" w:eastAsia="宋体" w:cs="宋体"/>
                <w:color w:val="auto"/>
                <w:kern w:val="0"/>
                <w:sz w:val="24"/>
                <w:szCs w:val="24"/>
                <w:highlight w:val="none"/>
                <w:lang w:eastAsia="zh-CN"/>
              </w:rPr>
              <w:t>；</w:t>
            </w:r>
          </w:p>
        </w:tc>
        <w:tc>
          <w:tcPr>
            <w:tcW w:w="0" w:type="auto"/>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14</w:t>
            </w:r>
          </w:p>
        </w:tc>
        <w:tc>
          <w:tcPr>
            <w:tcW w:w="0" w:type="auto"/>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配合设备科对全院医疗设备进行每季度巡检</w:t>
            </w:r>
            <w:r>
              <w:rPr>
                <w:rFonts w:hint="eastAsia" w:ascii="宋体" w:hAnsi="宋体" w:eastAsia="宋体" w:cs="宋体"/>
                <w:color w:val="auto"/>
                <w:kern w:val="0"/>
                <w:sz w:val="24"/>
                <w:szCs w:val="24"/>
                <w:highlight w:val="none"/>
                <w:lang w:eastAsia="zh-CN"/>
              </w:rPr>
              <w:t>；</w:t>
            </w:r>
          </w:p>
        </w:tc>
        <w:tc>
          <w:tcPr>
            <w:tcW w:w="0" w:type="auto"/>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15</w:t>
            </w:r>
          </w:p>
        </w:tc>
        <w:tc>
          <w:tcPr>
            <w:tcW w:w="0" w:type="auto"/>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根据医院要求定期对相应的医疗设备做好预防性维护</w:t>
            </w:r>
            <w:r>
              <w:rPr>
                <w:rFonts w:hint="eastAsia" w:ascii="宋体" w:hAnsi="宋体" w:eastAsia="宋体" w:cs="宋体"/>
                <w:color w:val="auto"/>
                <w:kern w:val="0"/>
                <w:sz w:val="24"/>
                <w:szCs w:val="24"/>
                <w:highlight w:val="none"/>
                <w:lang w:eastAsia="zh-CN"/>
              </w:rPr>
              <w:t>；</w:t>
            </w:r>
          </w:p>
        </w:tc>
        <w:tc>
          <w:tcPr>
            <w:tcW w:w="0" w:type="auto"/>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16</w:t>
            </w:r>
          </w:p>
        </w:tc>
        <w:tc>
          <w:tcPr>
            <w:tcW w:w="0" w:type="auto"/>
            <w:vAlign w:val="center"/>
          </w:tcPr>
          <w:p>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对全院空气消毒器进行每半年一次的维护保养</w:t>
            </w:r>
            <w:r>
              <w:rPr>
                <w:rFonts w:hint="eastAsia" w:ascii="宋体" w:hAnsi="宋体" w:eastAsia="宋体" w:cs="宋体"/>
                <w:color w:val="auto"/>
                <w:kern w:val="0"/>
                <w:sz w:val="24"/>
                <w:szCs w:val="24"/>
                <w:highlight w:val="none"/>
                <w:lang w:val="en-US" w:eastAsia="zh-CN"/>
              </w:rPr>
              <w:t>并承担滤网费用</w:t>
            </w:r>
            <w:r>
              <w:rPr>
                <w:rFonts w:hint="eastAsia" w:ascii="宋体" w:hAnsi="宋体" w:eastAsia="宋体" w:cs="宋体"/>
                <w:color w:val="auto"/>
                <w:kern w:val="0"/>
                <w:sz w:val="24"/>
                <w:szCs w:val="24"/>
                <w:highlight w:val="none"/>
              </w:rPr>
              <w:t>。</w:t>
            </w:r>
          </w:p>
        </w:tc>
        <w:tc>
          <w:tcPr>
            <w:tcW w:w="0" w:type="auto"/>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adjustRightInd/>
        <w:spacing w:line="360" w:lineRule="auto"/>
        <w:jc w:val="left"/>
        <w:textAlignment w:val="auto"/>
        <w:rPr>
          <w:rFonts w:hint="eastAsia" w:asciiTheme="minorEastAsia" w:hAnsiTheme="minorEastAsia" w:eastAsiaTheme="minorEastAsia" w:cstheme="minorEastAsia"/>
          <w:b/>
          <w:bCs w:val="0"/>
          <w:kern w:val="2"/>
          <w:sz w:val="24"/>
          <w:szCs w:val="24"/>
          <w:highlight w:val="none"/>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highlight w:val="none"/>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highlight w:val="none"/>
          <w:lang w:val="en-US" w:eastAsia="zh-CN"/>
        </w:rPr>
      </w:pPr>
    </w:p>
    <w:p>
      <w:pPr>
        <w:adjustRightInd/>
        <w:rPr>
          <w:rFonts w:hint="eastAsia" w:ascii="Times New Roman" w:hAnsi="Times New Roman" w:eastAsia="宋体" w:cs="Times New Roman"/>
          <w:b/>
          <w:bCs/>
          <w:sz w:val="24"/>
          <w:szCs w:val="28"/>
          <w:lang w:val="en-US" w:eastAsia="zh-CN"/>
        </w:rPr>
      </w:pPr>
    </w:p>
    <w:p>
      <w:pPr>
        <w:adjustRightInd/>
        <w:rPr>
          <w:rFonts w:hint="eastAsia" w:ascii="Times New Roman" w:hAnsi="Times New Roman" w:eastAsia="宋体" w:cs="Times New Roman"/>
          <w:b/>
          <w:bCs/>
          <w:sz w:val="24"/>
          <w:szCs w:val="28"/>
          <w:lang w:val="en-US" w:eastAsia="zh-CN"/>
        </w:rPr>
      </w:pPr>
    </w:p>
    <w:p>
      <w:pPr>
        <w:adjustRightInd/>
        <w:rPr>
          <w:rFonts w:hint="eastAsia" w:ascii="Times New Roman" w:hAnsi="Times New Roman" w:eastAsia="宋体" w:cs="Times New Roman"/>
          <w:b/>
          <w:bCs/>
          <w:sz w:val="24"/>
          <w:szCs w:val="28"/>
          <w:lang w:val="en-US" w:eastAsia="zh-CN"/>
        </w:rPr>
      </w:pPr>
    </w:p>
    <w:p>
      <w:pPr>
        <w:adjustRightInd/>
        <w:rPr>
          <w:rFonts w:hint="eastAsia" w:ascii="Times New Roman" w:hAnsi="Times New Roman" w:eastAsia="宋体" w:cs="Times New Roman"/>
          <w:b/>
          <w:bCs/>
          <w:sz w:val="24"/>
          <w:szCs w:val="28"/>
          <w:lang w:val="en-US" w:eastAsia="zh-CN"/>
        </w:rPr>
      </w:pPr>
    </w:p>
    <w:p>
      <w:pPr>
        <w:adjustRightInd/>
        <w:rPr>
          <w:rFonts w:hint="eastAsia" w:ascii="Times New Roman" w:hAnsi="Times New Roman" w:eastAsia="宋体" w:cs="Times New Roman"/>
          <w:b/>
          <w:bCs/>
          <w:sz w:val="24"/>
          <w:szCs w:val="28"/>
          <w:lang w:val="en-US" w:eastAsia="zh-CN"/>
        </w:rPr>
      </w:pPr>
    </w:p>
    <w:p>
      <w:pPr>
        <w:adjustRightInd/>
        <w:rPr>
          <w:rFonts w:hint="eastAsia" w:ascii="Times New Roman" w:hAnsi="Times New Roman" w:eastAsia="宋体" w:cs="Times New Roman"/>
          <w:b/>
          <w:bCs/>
          <w:sz w:val="24"/>
          <w:szCs w:val="28"/>
          <w:lang w:val="en-US" w:eastAsia="zh-CN"/>
        </w:rPr>
      </w:pPr>
    </w:p>
    <w:p>
      <w:pPr>
        <w:adjustRightInd/>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lang w:val="en-US" w:eastAsia="zh-CN"/>
        </w:rPr>
        <w:t>附件：</w:t>
      </w:r>
      <w:r>
        <w:rPr>
          <w:rFonts w:hint="eastAsia" w:ascii="Times New Roman" w:hAnsi="Times New Roman" w:eastAsia="宋体" w:cs="Times New Roman"/>
          <w:b/>
          <w:bCs/>
          <w:sz w:val="24"/>
          <w:szCs w:val="28"/>
        </w:rPr>
        <w:t>设备清单</w:t>
      </w:r>
    </w:p>
    <w:tbl>
      <w:tblPr>
        <w:tblStyle w:val="61"/>
        <w:tblW w:w="9213" w:type="dxa"/>
        <w:tblInd w:w="0" w:type="dxa"/>
        <w:tblLayout w:type="fixed"/>
        <w:tblCellMar>
          <w:top w:w="0" w:type="dxa"/>
          <w:left w:w="108" w:type="dxa"/>
          <w:bottom w:w="0" w:type="dxa"/>
          <w:right w:w="108" w:type="dxa"/>
        </w:tblCellMar>
      </w:tblPr>
      <w:tblGrid>
        <w:gridCol w:w="3712"/>
        <w:gridCol w:w="2913"/>
        <w:gridCol w:w="2588"/>
      </w:tblGrid>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资产名称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飞利浦彩色超声诊断系统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EPIQ7</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医用电子内窥镜系统（含采集卡）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CV-290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彩色超声诊断仪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百胜 60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X射线骨密度检测仪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Prodigy Primo</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不含球管</w:t>
            </w:r>
            <w:r>
              <w:rPr>
                <w:rFonts w:hint="eastAsia" w:ascii="宋体" w:hAnsi="宋体" w:eastAsia="宋体" w:cs="宋体"/>
                <w:color w:val="auto"/>
                <w:kern w:val="0"/>
                <w:sz w:val="24"/>
                <w:szCs w:val="24"/>
                <w:highlight w:val="none"/>
                <w:lang w:val="en-US" w:eastAsia="zh-CN"/>
              </w:rPr>
              <w:t>和探测器</w:t>
            </w: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口腔颌面曲面体层X射线机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XG5 Ceph</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不含球管</w:t>
            </w:r>
            <w:r>
              <w:rPr>
                <w:rFonts w:hint="eastAsia" w:ascii="宋体" w:hAnsi="宋体" w:eastAsia="宋体" w:cs="宋体"/>
                <w:color w:val="auto"/>
                <w:kern w:val="0"/>
                <w:sz w:val="24"/>
                <w:szCs w:val="24"/>
                <w:highlight w:val="none"/>
                <w:lang w:val="en-US" w:eastAsia="zh-CN"/>
              </w:rPr>
              <w:t>和探测器</w:t>
            </w: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多項目自動血球分析装</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XT-18001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全自动血液细胞分析仪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BC-7500[N]CS</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口腔印模消毒清洗机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JG-33318-YM</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牙椅管路清洗机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BR-03</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SK-L06B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C臂X机专用隔室遥控透视装置</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数字化医用X射线摄影系统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588</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不含球管平板</w:t>
            </w: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麻醉机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Fabius/Drager</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喉内窥镜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HJ-5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糖化血红蛋白分析仪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 01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耳镜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2111-203</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急救车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750蓝</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急救车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750蓝</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全自动尿液分析仪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Mejer-1700+Mejer-700i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中低频治疗仪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TENS80C</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医用低温保存箱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MDF-25V528</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全自动量子点荧光免疫分析仪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QD-S1200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医用制氧机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GE1-5L-W</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数字式十二道心电图机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SE-1200 Express</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便携式肺功能检测仪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医用离心机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BY-400C</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喉内窥镜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HJ011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喉内窥镜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HJ011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麦科田注射泵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SYS-3010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麦科田注射泵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SYS-3010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口腔综合治疗设备</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V1000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全自动内窥镜清洗消毒机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G-16-A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除颤监护仪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BeneHeartD2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超短波治疗仪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ZM-CDB-V</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自动气压止血带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AST-III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数字眼底照相机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CR-2 Plus AF</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YC-1006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YC-1006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抢救车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均相化学发光免疫分析仪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QD-S2000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高频肛肠治疗仪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ZZ-II500B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生物刺激反馈仪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生物刺激反馈仪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便携式X光机（牙科X射线机）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数字口内影像板扫描处理系统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尿液化学分析仪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冲击波治疗仪及控制软件</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HB101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全自动内镜清洗消毒机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G-16-A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中频干扰电疗仪及控制软件</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AC220V</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深层肌肉刺激仪及控制软件</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HB-DMS200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内窥镜用送水装置</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中药熏蒸机及控制软件</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HB4000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医用LED灯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牙科综合治疗仪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GRACE-D</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软镜单门柜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MLDC-6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超声电导定向透药治疗仪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根管预备机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Endo Radar</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无油空气压缩机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YH-800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无油空气压缩机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YH-800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全自动化学发光免疫分析仪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CL-2000i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多功能臭氧物化妇科治疗仪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KY-138A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高级心肺复苏训练模拟人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耳鼻咽喉科诊疗台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FK-ENT1800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立式压力蒸汽灭菌器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GR60DP</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生物显微镜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CX43</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YC-725L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医用低温箱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DW-YL270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医用低温箱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DW-YL270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数显梅毒混匀器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ZH400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中低頻治疗仪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TENS80C</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ePM 10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鼻内窥镜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J0200E</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鼻内窥镜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J0200E</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耳内窥镜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喉内窥镜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J2670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喉内窥镜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J2670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等离子体空气消毒器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JD-DB100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红外耳温计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红外耳温计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YC-968L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血沉仪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opon-200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层流净化台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SW-CJ-VS1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红外接种灭菌器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HM3000A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门诊简易麻醉机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S6100A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LED手术无影灯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HyLED600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YC-105L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单臂骨科牵引床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SEA-YF-3B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干式快速酶标孵育器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电动手术床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OP830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医用内窥镜摄像系统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SY-SHREK-S705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高级成人护理及CRP模型</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射频控温热凝器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R-2000B M1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十二导自动分析心电图机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FX-7500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十二导自动分析心电图机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FX-7500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自动脱盖离心机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CTK80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综合物理治疗仪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BTL-5000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吞咽言语诊疗仪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vocaSTIM-Trainer</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电动直立床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电动直立床/电动起立床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KLW-SQCL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康复设备附件</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股四头肌训练椅</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KLW-KF030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二人站立架</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KLW-KF043A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肩关节旋转训练器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KLW-KF012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PT治疗床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KLW-SPTZ</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PT治疗床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KLW-SPTZ</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姿势矫正镜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KLW-KF049</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PT凳</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KLW-KF09</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PT凳</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KLW-KF09</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婴幼儿智能体检仪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WS-RT-XS3</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台式鼓风干燥箱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DHG-9023A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医用吊塔</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医用吊塔</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口腔注油封干设备</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iPM6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半自动体外除颤仪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FREDeasy</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人体成份分析仪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InBody160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全自动洗板机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HydroFlex</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内镜转运车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3兆医用专业显示屏</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JUSHA-M33B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3兆医用专业显示屏</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JUSHA-M33B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SK-CK/TCS-160D-w/h</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医用冰箱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医用冰箱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全自动内镜洗消机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DE-660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内镜净水系统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G-CS500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洗胃机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DXW-2A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GG-7B001912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PT-120Y</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PT-120Y</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急救床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SJ-B20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LED手术无影灯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HyLED 760/730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全科桌式诊断系统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77535-C5E</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全科桌式诊断系统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77535-C6E</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医用超低温冰箱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DW-86L388J</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医用冷藏冰箱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HYC-940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医用冷藏冰箱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HYC-940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隔物灸仪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YKY-1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隔物灸仪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YKY-1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CQ-222A+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CQ-222A+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TDP12-DL</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口腔综合治疗设备</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C8+</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听力计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幽门螺杆菌测试仪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HUBT-01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无创胆红素定量仪/经皮黄疸仪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四门银都全钢全铜冰箱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可视喉镜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可视喉镜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电动骨钻</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便携式冷藏箱（温度记录）/生物安全转运箱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AKM-GB-65L/R-HD</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微量注射泵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KL-6011N</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微量注射泵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KL-6011N</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电动骨钻</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免疫微柱孵育器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动态心电图分析系统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CT-082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动态心电图分析系统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CT-082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动态心电图分析系统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CT-082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图文工作站</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自动气压止血仪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KR-100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全自动血液分析仪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BeneView T5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全自动凝血分析仪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SF-8100C</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心电监护仪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LK/KJF-Y100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药品冷藏柜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高频电刀</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60-8005-002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电解质分析仪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心肺复苏模型</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医用全自动电子血压计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医用耳式电子体温计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有创呼吸机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Savina300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单门软镜储存柜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MMCCG-6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多功能止痛及肌肉刺激仪中低頻治疗仪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TENS80C</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登士柏根管测量仪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PROPEX PIXI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iMEC10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便携式心脏除颤器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TEC-5521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便携式心脏除颤器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电脑中频治疗仪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BA2008-II型</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XYD-II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XYD-II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XYD-II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电磁波治疗仪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电磁波治疗仪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电磁波治疗仪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电磁波治疗仪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电磁波治疗仪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电磁波治疗仪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电磁波治疗仪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手术灯/LED手术 无影灯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LED200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数码显微镜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血小板震荡器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血液混匀仪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豪华液压升降平车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KL-301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豪华液压升降平车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KL-301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豪华升降平车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医用冷藏箱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床单位消毒机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LK/CXD</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床单位消毒机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LK/CXD</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床单位消毒机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LK/CXD</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手术灯/LED手术 无影灯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LED200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LK/KJF-B100型</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LK/KJF-B100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等离子空气消毒机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传递窗</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传递窗</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儿童称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儿童称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血气分析仪/手持式血液分析</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300-G</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超声骨密度仪器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0steoPro Smart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便携式医用电子血压计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便携式医用电子血压计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电动吸引器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7A-23D</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指夹式脉搏血氧仪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裂隙灯显微镜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SL-2G</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心电图仪器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心电图仪器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手术无影灯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HyLED 760/730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高频电刀</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60-2450-220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妇科诊疗台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SZ-ⅡI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妇科诊疗台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SZ-ⅡI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电动吸引器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M35B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电热恒温水温箱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HH·W21.600S</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电热恒温水温箱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HH·W21.600S</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电热恒温水温箱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HH·W21.600S</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电脑胎儿监护仪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SRF618A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自动气压止血带</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ATS-2000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红外耳温计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麻醉机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WATO EX-35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血液冷藏柜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低温冷柜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DW-40W102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手术台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NOT-5600SF</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HBP-1300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桌式诊断系统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77535-c5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桌式诊断系统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77535-c5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桌式诊断系统</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77535-c5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光固化机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SLC-VIIIB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光固化机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SLC-VIIIB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电脑验光仪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KR-8900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单道微量注射泵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SK-500I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单道微量注射泵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WZ-50C6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PM-8000 Express</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PM-8000 Express</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iPM6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婴幼儿智能体检仪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WS-RT-IB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生化培养箱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SPX-150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特定电磁波治疗器(TDP)</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XYD-II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电针治疗仪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特定电子波治疗仪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特定电子波治疗仪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肺功能测试仪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泰美科普通光纤喉镜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免疫层析检测仪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呼气末二氧化碳检测仪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多参数监护仪(含内置打印机)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iM8</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多参数监护仪(含内置打印机)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iM8</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听力计和声阻抗仪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AA222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药品保存箱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HYC-940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输液泵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电子胃镜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G30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电脑非接触眼压机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CT-80A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YDX-100型电动吸引器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M35B</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电动流产吸引器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LX-3</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药品保存箱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HYC-940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全自动血沉分析仪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MICROSED</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妇科诊疗台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胎儿监护仪器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MT-516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日本TOITU胎儿监护仪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多普勒胎心听诊器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FD-390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万级高效过滤器   层流</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十万级高效过滤器  层流</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臭氧灭菌器  层流</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袋式过滤器  层流</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1板式过滤器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无纺过滤布</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HBP-9021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SK-CK/TCS-160D-w/h</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压缩雾化吸入机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生物显微镜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CX-21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微波治疗机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难度插管喉镜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颈腰椎电动牵引床电动间歇牵引装置</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TM-400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经皮黄疸仪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看不清</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初中效过滤器2套*1460</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多普勒胎心听诊器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FD-390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电动石膏锯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欧姆龙电子血压机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心电图机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ECG-1350P</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贝高多功能母婴秤（配母婴访视包）</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中频治疗仪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BA2008-II型</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针灸治疗仪器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针灸治疗仪器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针灸治疗仪器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电动流产吸引器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LX-3</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药品保存箱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HYC-940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多功能产床（配灯）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SC-1I</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多功能产床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医用专业显示器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E-2620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超声波体检机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SK-CK/TCS-160D-w/h</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病人监护仪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BeneView T8</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无油空气压缩机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BF-U3702</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全功能护理人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骨科牵引架</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1005</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手机快速灭菌器卡式灭菌器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时代-5000/赛康</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低温箱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医用高频观片灯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医用高频观片灯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GDD-1000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医用高频观片灯</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冷藏柜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电子血压计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BP-203RVIIIC</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冷柜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SC-230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电动吸引器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DXT-1</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冷藏柜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胎儿监护仪器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MT-516</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妇产科综合床</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2004</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十二导联心电图机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电热干燥箱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心电图监护仪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智能输液泵</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电动手术台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ET700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头部操纵式综合手术台</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3008A</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手机清洗养护机</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裂隙灯显微镜</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监护仪器</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PM-7000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多功能微波手术治疗仪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ECO-100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冰箱</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监护仪</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PM-9000</w:t>
            </w: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78" w:hRule="atLeast"/>
        </w:trPr>
        <w:tc>
          <w:tcPr>
            <w:tcW w:w="37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床推车输液椅等</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c>
          <w:tcPr>
            <w:tcW w:w="2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4"/>
                <w:szCs w:val="24"/>
                <w:highlight w:val="none"/>
              </w:rPr>
            </w:pPr>
          </w:p>
        </w:tc>
      </w:tr>
    </w:tbl>
    <w:p>
      <w:pPr>
        <w:adjustRightInd/>
        <w:spacing w:line="360" w:lineRule="auto"/>
        <w:jc w:val="left"/>
        <w:textAlignment w:val="auto"/>
        <w:rPr>
          <w:rFonts w:hint="eastAsia" w:asciiTheme="minorEastAsia" w:hAnsiTheme="minorEastAsia" w:eastAsiaTheme="minorEastAsia" w:cstheme="minorEastAsia"/>
          <w:b/>
          <w:bCs w:val="0"/>
          <w:kern w:val="2"/>
          <w:sz w:val="24"/>
          <w:szCs w:val="24"/>
          <w:highlight w:val="none"/>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highlight w:val="none"/>
          <w:lang w:val="en-US" w:eastAsia="zh-CN"/>
        </w:rPr>
      </w:pPr>
    </w:p>
    <w:p>
      <w:pPr>
        <w:adjustRightInd/>
        <w:spacing w:line="360" w:lineRule="auto"/>
        <w:jc w:val="left"/>
        <w:textAlignment w:val="auto"/>
        <w:rPr>
          <w:rFonts w:hint="eastAsia" w:asciiTheme="minorEastAsia" w:hAnsiTheme="minorEastAsia" w:eastAsiaTheme="minorEastAsia" w:cstheme="minorEastAsia"/>
          <w:b/>
          <w:bCs w:val="0"/>
          <w:kern w:val="2"/>
          <w:sz w:val="24"/>
          <w:szCs w:val="24"/>
          <w:highlight w:val="none"/>
          <w:lang w:val="en-US" w:eastAsia="zh-CN"/>
        </w:rPr>
      </w:pPr>
      <w:r>
        <w:rPr>
          <w:rFonts w:hint="eastAsia" w:asciiTheme="minorEastAsia" w:hAnsiTheme="minorEastAsia" w:eastAsiaTheme="minorEastAsia" w:cstheme="minorEastAsia"/>
          <w:b/>
          <w:bCs w:val="0"/>
          <w:kern w:val="2"/>
          <w:sz w:val="24"/>
          <w:szCs w:val="24"/>
          <w:highlight w:val="none"/>
          <w:lang w:val="en-US" w:eastAsia="zh-CN"/>
        </w:rPr>
        <w:t>三、其他要求：</w:t>
      </w:r>
    </w:p>
    <w:p>
      <w:pPr>
        <w:adjustRightInd/>
        <w:spacing w:line="360" w:lineRule="auto"/>
        <w:ind w:firstLine="420" w:firstLineChars="0"/>
        <w:jc w:val="left"/>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bCs/>
          <w:kern w:val="2"/>
          <w:sz w:val="24"/>
          <w:szCs w:val="24"/>
          <w:lang w:val="en-US" w:eastAsia="zh-CN"/>
        </w:rPr>
        <w:t>供应商需在响应文件中提供项目保修、维修方法或方案、组织和实施计划维修人员配置方案、质量保证措施、设备预防性维护保养计划、培训方案、服务承诺、项目业绩和政策加分等相关证明材料。</w:t>
      </w:r>
      <w:r>
        <w:rPr>
          <w:rFonts w:hint="eastAsia" w:asciiTheme="minorEastAsia" w:hAnsiTheme="minorEastAsia" w:eastAsiaTheme="minorEastAsia" w:cstheme="minorEastAsia"/>
          <w:kern w:val="2"/>
          <w:sz w:val="24"/>
          <w:szCs w:val="24"/>
          <w:lang w:val="en-US" w:eastAsia="zh-CN"/>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bookmarkStart w:id="68" w:name="_Toc17730"/>
      <w:r>
        <w:rPr>
          <w:rFonts w:hint="eastAsia" w:cs="仿宋_GB2312" w:asciiTheme="minorEastAsia" w:hAnsiTheme="minorEastAsia" w:eastAsiaTheme="minorEastAsia"/>
          <w:b/>
          <w:color w:val="auto"/>
          <w:sz w:val="36"/>
          <w:szCs w:val="36"/>
          <w:highlight w:val="none"/>
        </w:rPr>
        <w:t xml:space="preserve">第五部分  </w:t>
      </w:r>
      <w:bookmarkEnd w:id="65"/>
      <w:bookmarkEnd w:id="66"/>
      <w:bookmarkStart w:id="69" w:name="第四部分"/>
      <w:r>
        <w:rPr>
          <w:rFonts w:hint="eastAsia" w:cs="仿宋_GB2312" w:asciiTheme="minorEastAsia" w:hAnsiTheme="minorEastAsia" w:eastAsiaTheme="minorEastAsia"/>
          <w:b/>
          <w:color w:val="auto"/>
          <w:sz w:val="36"/>
          <w:szCs w:val="36"/>
          <w:highlight w:val="none"/>
        </w:rPr>
        <w:t>评审方法及评审标准</w:t>
      </w:r>
      <w:bookmarkEnd w:id="68"/>
    </w:p>
    <w:p>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6863" w:type="dxa"/>
            <w:gridSpan w:val="2"/>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rPr>
              <w:t>分值</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863" w:type="dxa"/>
            <w:gridSpan w:val="2"/>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cs="宋体"/>
                <w:bCs/>
                <w:color w:val="auto"/>
                <w:kern w:val="0"/>
                <w:sz w:val="24"/>
                <w:szCs w:val="24"/>
                <w:highlight w:val="none"/>
                <w:lang w:eastAsia="zh-CN"/>
              </w:rPr>
              <w:t>磋商文件</w:t>
            </w:r>
            <w:r>
              <w:rPr>
                <w:rFonts w:hint="eastAsia" w:ascii="宋体" w:hAnsi="宋体" w:eastAsia="宋体" w:cs="宋体"/>
                <w:bCs/>
                <w:color w:val="auto"/>
                <w:kern w:val="0"/>
                <w:sz w:val="24"/>
                <w:szCs w:val="24"/>
                <w:highlight w:val="none"/>
              </w:rPr>
              <w:t>要求且最低的参与评审的价格。</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w:t>
            </w:r>
            <w:r>
              <w:rPr>
                <w:rFonts w:hint="eastAsia" w:ascii="宋体" w:hAnsi="宋体" w:cs="宋体"/>
                <w:bCs/>
                <w:color w:val="auto"/>
                <w:kern w:val="0"/>
                <w:sz w:val="24"/>
                <w:szCs w:val="24"/>
                <w:highlight w:val="none"/>
                <w:lang w:val="en-US" w:eastAsia="zh-CN"/>
              </w:rPr>
              <w:t>最后</w:t>
            </w:r>
            <w:r>
              <w:rPr>
                <w:rFonts w:hint="eastAsia" w:ascii="宋体" w:hAnsi="宋体" w:eastAsia="宋体" w:cs="宋体"/>
                <w:bCs/>
                <w:color w:val="auto"/>
                <w:kern w:val="0"/>
                <w:sz w:val="24"/>
                <w:szCs w:val="24"/>
                <w:highlight w:val="none"/>
              </w:rPr>
              <w:t>报价。</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%×100。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Calibri" w:hAnsi="Calibri"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10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restart"/>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90</w:t>
            </w:r>
            <w:r>
              <w:rPr>
                <w:rFonts w:hint="eastAsia" w:ascii="宋体" w:hAnsi="宋体" w:eastAsia="宋体" w:cs="宋体"/>
                <w:color w:val="auto"/>
                <w:kern w:val="2"/>
                <w:sz w:val="24"/>
                <w:szCs w:val="24"/>
                <w:highlight w:val="none"/>
                <w:lang w:val="en-US" w:eastAsia="zh-CN" w:bidi="ar"/>
              </w:rPr>
              <w:t>分）</w:t>
            </w:r>
          </w:p>
        </w:tc>
        <w:tc>
          <w:tcPr>
            <w:tcW w:w="1288"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响应（</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（1）完全响应</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 xml:space="preserve"> “第三部分   采购需求</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二、项目要求”中所有服务要求的得</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（2）“第三部分   采购需求 二、项目要求”中标“▲”的要求，每负偏离一条扣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（3）“第三部分   采购需求  二、项目要求”中未标“▲”的指标，每负偏离一条扣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注：当有供应商此项分值扣减至0分时，该供应商投标将被拒绝，其投标文件作无效标处理，不再进行评审。</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restart"/>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2、保修方案（25分）</w:t>
            </w: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2.1根据供应商提供的设备详细维护保修方案、技术支持，考虑技术支持与维保服务内容是否完整、事件响应处理流程规范进行评议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right="0"/>
              <w:jc w:val="center"/>
              <w:textAlignment w:val="auto"/>
              <w:rPr>
                <w:rFonts w:hint="default" w:ascii="Calibri" w:hAnsi="Calibri" w:eastAsia="宋体" w:cs="Times New Roman"/>
                <w:color w:val="auto"/>
                <w:sz w:val="24"/>
                <w:szCs w:val="24"/>
                <w:highlight w:val="none"/>
                <w:lang w:val="en-US" w:eastAsia="zh-CN"/>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2.2根据供应商提供的故障处理方案、预防方案、应急措施进行评议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2.3根据供应商提供的现场服务、技术故障响应时间、设备故障解决时间的承诺进行评议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2.4根据供应商提供的日常巡检报告单、详细设备档案登记表、现场服务报告单、维保操作流程进行评议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2.5根据供应商提供的维修质量保证措施是否全面、是否合理可行进行评议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restart"/>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拟派本项目的技术人员情况（15分）</w:t>
            </w: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3.1对本项目负责人技术水平和经验进行评议，</w:t>
            </w:r>
            <w:r>
              <w:rPr>
                <w:rFonts w:hint="eastAsia" w:ascii="宋体" w:hAnsi="宋体" w:eastAsia="宋体" w:cs="宋体"/>
                <w:b/>
                <w:bCs/>
                <w:color w:val="auto"/>
                <w:sz w:val="24"/>
                <w:szCs w:val="24"/>
                <w:highlight w:val="none"/>
                <w:lang w:val="en-US" w:eastAsia="zh-CN"/>
              </w:rPr>
              <w:t>提供姓名、履历、相关证书复印件</w:t>
            </w:r>
            <w:r>
              <w:rPr>
                <w:rFonts w:hint="eastAsia" w:ascii="宋体" w:hAnsi="宋体" w:eastAsia="宋体" w:cs="宋体"/>
                <w:color w:val="auto"/>
                <w:sz w:val="24"/>
                <w:szCs w:val="24"/>
                <w:highlight w:val="none"/>
                <w:lang w:val="en-US" w:eastAsia="zh-CN"/>
              </w:rPr>
              <w:t>（5分）：负责人技术水平高、具有丰富的同类项目经验的得5分；负责人有一定的技术水平和</w:t>
            </w:r>
            <w:r>
              <w:rPr>
                <w:rFonts w:hint="eastAsia" w:ascii="宋体" w:hAnsi="宋体" w:cs="宋体"/>
                <w:color w:val="auto"/>
                <w:sz w:val="24"/>
                <w:szCs w:val="24"/>
                <w:highlight w:val="none"/>
                <w:lang w:val="en-US" w:eastAsia="zh-CN"/>
              </w:rPr>
              <w:t>较多的</w:t>
            </w:r>
            <w:r>
              <w:rPr>
                <w:rFonts w:hint="eastAsia" w:ascii="宋体" w:hAnsi="宋体" w:eastAsia="宋体" w:cs="宋体"/>
                <w:color w:val="auto"/>
                <w:sz w:val="24"/>
                <w:szCs w:val="24"/>
                <w:highlight w:val="none"/>
                <w:lang w:val="en-US" w:eastAsia="zh-CN"/>
              </w:rPr>
              <w:t>同类项目经验的得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分；负责人</w:t>
            </w:r>
            <w:r>
              <w:rPr>
                <w:rFonts w:hint="eastAsia" w:ascii="宋体" w:hAnsi="宋体" w:cs="宋体"/>
                <w:color w:val="auto"/>
                <w:sz w:val="24"/>
                <w:szCs w:val="24"/>
                <w:highlight w:val="none"/>
                <w:lang w:val="en-US" w:eastAsia="zh-CN"/>
              </w:rPr>
              <w:t>综合素质基本符合项目实际需求，但</w:t>
            </w:r>
            <w:r>
              <w:rPr>
                <w:rFonts w:hint="eastAsia" w:ascii="宋体" w:hAnsi="宋体" w:eastAsia="宋体" w:cs="宋体"/>
                <w:color w:val="auto"/>
                <w:sz w:val="24"/>
                <w:szCs w:val="24"/>
                <w:highlight w:val="none"/>
                <w:lang w:val="en-US" w:eastAsia="zh-CN"/>
              </w:rPr>
              <w:t>技术水平</w:t>
            </w:r>
            <w:r>
              <w:rPr>
                <w:rFonts w:hint="eastAsia" w:ascii="宋体" w:hAnsi="宋体" w:cs="宋体"/>
                <w:color w:val="auto"/>
                <w:sz w:val="24"/>
                <w:szCs w:val="24"/>
                <w:highlight w:val="none"/>
                <w:lang w:val="en-US" w:eastAsia="zh-CN"/>
              </w:rPr>
              <w:t>较低或</w:t>
            </w:r>
            <w:r>
              <w:rPr>
                <w:rFonts w:hint="eastAsia" w:ascii="宋体" w:hAnsi="宋体" w:eastAsia="宋体" w:cs="宋体"/>
                <w:color w:val="auto"/>
                <w:sz w:val="24"/>
                <w:szCs w:val="24"/>
                <w:highlight w:val="none"/>
                <w:lang w:val="en-US" w:eastAsia="zh-CN"/>
              </w:rPr>
              <w:t>同类项目经验</w:t>
            </w:r>
            <w:r>
              <w:rPr>
                <w:rFonts w:hint="eastAsia" w:ascii="宋体" w:hAnsi="宋体" w:cs="宋体"/>
                <w:color w:val="auto"/>
                <w:sz w:val="24"/>
                <w:szCs w:val="24"/>
                <w:highlight w:val="none"/>
                <w:lang w:val="en-US" w:eastAsia="zh-CN"/>
              </w:rPr>
              <w:t>较少</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分；负责人技术水平较低和有较少的同类项目经验的得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分；负责人不具备专业技术水平、或没有同类项目经验的得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3.2对投入本项目的维修人员人数、技术水平和经验进行评议，</w:t>
            </w:r>
            <w:r>
              <w:rPr>
                <w:rFonts w:hint="eastAsia" w:ascii="宋体" w:hAnsi="宋体" w:eastAsia="宋体" w:cs="宋体"/>
                <w:b/>
                <w:bCs/>
                <w:color w:val="auto"/>
                <w:sz w:val="24"/>
                <w:szCs w:val="24"/>
                <w:highlight w:val="none"/>
                <w:lang w:val="en-US" w:eastAsia="zh-CN"/>
              </w:rPr>
              <w:t>提供人员清单、履历介绍</w:t>
            </w:r>
            <w:r>
              <w:rPr>
                <w:rFonts w:hint="eastAsia" w:ascii="宋体" w:hAnsi="宋体" w:eastAsia="宋体" w:cs="宋体"/>
                <w:color w:val="auto"/>
                <w:sz w:val="24"/>
                <w:szCs w:val="24"/>
                <w:highlight w:val="none"/>
                <w:lang w:val="en-US" w:eastAsia="zh-CN"/>
              </w:rPr>
              <w:t>（5分）：人数充足、技术水平高、具备相关工作经验的得5分；人数充足、技术水平高、但相关工作经验略有欠缺的得4分；人数基本满足项目务求、有一定的技术水平、同类经验略缺的得3分；人数充足、但技术水平较低、同类经验略缺的得2分；人数不足、或不具备专业技术水平、或没有同类设备维修经验但提供了相关内容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28" w:lineRule="auto"/>
              <w:ind w:left="0" w:right="0"/>
              <w:jc w:val="center"/>
              <w:textAlignment w:val="auto"/>
              <w:rPr>
                <w:rFonts w:hint="eastAsia" w:ascii="宋体" w:hAnsi="宋体" w:eastAsia="宋体" w:cs="宋体"/>
                <w:bCs/>
                <w:color w:val="auto"/>
                <w:kern w:val="0"/>
                <w:sz w:val="24"/>
                <w:szCs w:val="24"/>
                <w:highlight w:val="none"/>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val="en-US" w:eastAsia="zh-CN"/>
              </w:rPr>
              <w:t>对维保技术人员的岗前培训及继续教育进行评议（5分）：技术人员经过全面、规范的岗前培训、并有详细的继续教育计划的得5分；技术人员经过比较规范的岗前培训</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继续教育的得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技术人员经过比较规范的岗前培训、继续教育计划略有不足的得3分；技术人员经过</w:t>
            </w:r>
            <w:r>
              <w:rPr>
                <w:rFonts w:hint="eastAsia" w:ascii="宋体" w:hAnsi="宋体" w:cs="宋体"/>
                <w:color w:val="auto"/>
                <w:sz w:val="24"/>
                <w:szCs w:val="24"/>
                <w:highlight w:val="none"/>
                <w:lang w:val="en-US" w:eastAsia="zh-CN"/>
              </w:rPr>
              <w:t>简单的</w:t>
            </w:r>
            <w:r>
              <w:rPr>
                <w:rFonts w:hint="eastAsia" w:ascii="宋体" w:hAnsi="宋体" w:eastAsia="宋体" w:cs="宋体"/>
                <w:color w:val="auto"/>
                <w:sz w:val="24"/>
                <w:szCs w:val="24"/>
                <w:highlight w:val="none"/>
                <w:lang w:val="en-US" w:eastAsia="zh-CN"/>
              </w:rPr>
              <w:t>岗前培训、继续教育计划不足的得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分；技术人员没有经过规范的岗前培训、或没有提供继续教育计划的得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维修备品备件方案（5分）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的维修备品备件方案（包括备品备件库数量、仓储设备设施、仓储安全质量措施、重要备品备件的来源）进行评议</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4"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5、专业维修工具配备方案（5分）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的专业维修工具配备方案（包括专业维修工具的种类、专业维修工具的数量、专业维修工具的状况）进行评议</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6、维保质量保证措施（</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6.1对维保服务质量有具体、合理的分项指标得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分；有分项指标、但不够具体或合理性略有欠缺的得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分；方案不够完整，存在部分缺陷的得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分；没有提供分项指标、或指标明显不合理的得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分；存在明显缺陷，无法满足招标需求的得1分</w:t>
            </w:r>
            <w:r>
              <w:rPr>
                <w:rFonts w:hint="eastAsia" w:ascii="宋体" w:hAnsi="宋体" w:cs="宋体"/>
                <w:color w:val="auto"/>
                <w:kern w:val="2"/>
                <w:sz w:val="24"/>
                <w:szCs w:val="24"/>
                <w:highlight w:val="none"/>
                <w:lang w:val="en-US" w:eastAsia="zh-CN" w:bidi="ar-SA"/>
              </w:rPr>
              <w:t>，</w:t>
            </w:r>
            <w:bookmarkStart w:id="185" w:name="_GoBack"/>
            <w:bookmarkEnd w:id="185"/>
            <w:r>
              <w:rPr>
                <w:rFonts w:hint="eastAsia" w:ascii="宋体" w:hAnsi="宋体" w:eastAsia="宋体" w:cs="宋体"/>
                <w:color w:val="auto"/>
                <w:kern w:val="2"/>
                <w:sz w:val="24"/>
                <w:szCs w:val="24"/>
                <w:highlight w:val="none"/>
                <w:lang w:val="en-US" w:eastAsia="zh-CN" w:bidi="ar-SA"/>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cs="宋体"/>
                <w:color w:val="auto"/>
                <w:kern w:val="2"/>
                <w:sz w:val="24"/>
                <w:szCs w:val="24"/>
                <w:highlight w:val="none"/>
                <w:lang w:val="en-US" w:eastAsia="zh-CN" w:bidi="ar-SA"/>
              </w:rPr>
            </w:pP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w:t>
            </w:r>
            <w:r>
              <w:rPr>
                <w:rFonts w:hint="default" w:ascii="宋体" w:hAnsi="宋体" w:eastAsia="宋体" w:cs="宋体"/>
                <w:color w:val="auto"/>
                <w:kern w:val="2"/>
                <w:sz w:val="24"/>
                <w:szCs w:val="24"/>
                <w:highlight w:val="none"/>
                <w:lang w:val="en-US" w:eastAsia="zh-CN" w:bidi="ar-SA"/>
              </w:rPr>
              <w:t>对服务质量达不到要求时有详细、具体、合理的惩罚措施的得</w:t>
            </w:r>
            <w:r>
              <w:rPr>
                <w:rFonts w:hint="eastAsia" w:ascii="宋体" w:hAnsi="宋体" w:eastAsia="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分；有惩罚措施、但不够具体或不够合理的得</w:t>
            </w: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分；方案不够完整，存在部分缺陷的得2分；没有提供惩罚措施、或明显不合理的得</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业绩（</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根据供应商自202</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年1月1日（以合同签订日期为准）至今的类似全院医疗设备整体服务业绩（部分设备维保或科室整包不算）进行评定，每提供1个业绩得0.5分，满分1分。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注：投标文件中提供合同复印件并加盖公章，未提供的或未按要求盖章的视为无效业绩。</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备注：1、供应商编制响应文件时，建议按此目录（序号和内容）提供评审标准相应的商务技术资料。2、小数点后保留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位数。3、各磋商小组成员自行按以上参考分值评分。4、重大事件由磋商小组集体讨论，应当按照少数服从多数的原则作出结论。</w:t>
      </w:r>
    </w:p>
    <w:p>
      <w:pPr>
        <w:pStyle w:val="393"/>
        <w:spacing w:before="0" w:line="348" w:lineRule="auto"/>
        <w:ind w:firstLine="643"/>
        <w:jc w:val="center"/>
        <w:rPr>
          <w:rFonts w:hint="eastAsia" w:cs="仿宋_GB2312" w:asciiTheme="minorEastAsia" w:hAnsiTheme="minorEastAsia" w:eastAsiaTheme="minorEastAsia"/>
          <w:b/>
          <w:color w:val="auto"/>
          <w:sz w:val="32"/>
          <w:highlight w:val="none"/>
        </w:rPr>
      </w:pPr>
    </w:p>
    <w:p>
      <w:pPr>
        <w:pStyle w:val="393"/>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一、评审方法</w:t>
      </w:r>
    </w:p>
    <w:p>
      <w:pPr>
        <w:adjustRightInd/>
        <w:spacing w:line="348"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48" w:lineRule="auto"/>
        <w:rPr>
          <w:rFonts w:cs="Arial" w:asciiTheme="minorEastAsia" w:hAnsiTheme="minorEastAsia" w:eastAsiaTheme="minorEastAsia"/>
          <w:color w:val="auto"/>
          <w:kern w:val="0"/>
          <w:sz w:val="24"/>
          <w:highlight w:val="none"/>
        </w:rPr>
      </w:pPr>
    </w:p>
    <w:p>
      <w:pPr>
        <w:pStyle w:val="393"/>
        <w:spacing w:before="0" w:line="348" w:lineRule="auto"/>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3"/>
        <w:spacing w:before="0" w:line="348" w:lineRule="auto"/>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48"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2.1参加采购活动前三年内，与供应商存在劳动关系，或者担任过供应商的董事、监事，或者是供应商的控股股东或实际控制人；</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2.2与供应商的法定代表人或者负责人有夫妻、直系血亲、三代以内旁系血亲或者近姻亲关系；</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2.3与供应商有其他可能影响政府采购活动公平、公正进行的关系。</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2.4参与过采购项目进口产品论证。</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2.5通过随机抽到本单位的评审专家，采购人已经指定了采购人代表，该评审专家应当回避，采购人自行选定相应专业领域评审专家情形除外。</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2.6法律、法规、规章规定应当回避以及其他可能影响公正评审的.</w:t>
      </w:r>
    </w:p>
    <w:p>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48"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3"/>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3"/>
        <w:spacing w:before="0" w:line="348" w:lineRule="auto"/>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3"/>
        <w:spacing w:before="0" w:line="348" w:lineRule="auto"/>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3"/>
        <w:spacing w:before="0" w:line="348" w:lineRule="auto"/>
        <w:ind w:firstLine="0" w:firstLineChars="0"/>
        <w:jc w:val="center"/>
        <w:rPr>
          <w:rFonts w:hint="eastAsia" w:cs="仿宋_GB2312" w:asciiTheme="minorEastAsia" w:hAnsiTheme="minorEastAsia" w:eastAsiaTheme="minorEastAsia"/>
          <w:b/>
          <w:color w:val="auto"/>
          <w:sz w:val="32"/>
          <w:highlight w:val="none"/>
        </w:rPr>
      </w:pPr>
    </w:p>
    <w:p>
      <w:pPr>
        <w:pStyle w:val="393"/>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3"/>
        <w:spacing w:before="0" w:line="348" w:lineRule="auto"/>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3"/>
        <w:spacing w:before="0" w:line="348" w:lineRule="auto"/>
        <w:ind w:firstLine="0" w:firstLineChars="0"/>
        <w:rPr>
          <w:rFonts w:asciiTheme="minorEastAsia" w:hAnsiTheme="minorEastAsia" w:eastAsiaTheme="minorEastAsia"/>
          <w:b/>
          <w:color w:val="auto"/>
          <w:highlight w:val="none"/>
        </w:rPr>
      </w:pPr>
    </w:p>
    <w:p>
      <w:pPr>
        <w:pStyle w:val="393"/>
        <w:spacing w:before="0" w:line="348" w:lineRule="auto"/>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3"/>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2.1磋商文件中报价一览表（初次报价）内容与磋商文件中相应内容不一致的，以报价一览表（初次报价）为准；</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2.3单价金额小数点或者百分比有明显错位的，以《报价一览表（初次报价）》的总价为准，并修改单价；</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2.7政采云平台填报的报价一览表中的价格与上传的报价文件中报价一览表（初次报价）的报价不一致的，以上传的报价文件为准。</w:t>
      </w:r>
    </w:p>
    <w:p>
      <w:pPr>
        <w:spacing w:line="348"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3"/>
        <w:spacing w:before="0" w:line="348" w:lineRule="auto"/>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25"/>
        <w:spacing w:line="348"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48"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pPr>
        <w:spacing w:line="348"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5"/>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5"/>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5"/>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5"/>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5"/>
        <w:numPr>
          <w:ilvl w:val="0"/>
          <w:numId w:val="8"/>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48"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5"/>
        <w:numPr>
          <w:ilvl w:val="0"/>
          <w:numId w:val="9"/>
        </w:numPr>
        <w:spacing w:line="348"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48"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3.21法律、法规、规章（适用本级的）及省级以上规范性文件（适用本级的）规定的其他无效情形。</w:t>
      </w:r>
    </w:p>
    <w:p>
      <w:pPr>
        <w:pStyle w:val="393"/>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48"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3"/>
        <w:spacing w:before="0" w:line="348" w:lineRule="auto"/>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48"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pPr>
        <w:spacing w:line="348"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3"/>
        <w:spacing w:before="0" w:line="348" w:lineRule="auto"/>
        <w:ind w:firstLine="0" w:firstLineChars="0"/>
        <w:rPr>
          <w:rFonts w:cs="仿宋_GB2312" w:asciiTheme="minorEastAsia" w:hAnsiTheme="minorEastAsia" w:eastAsiaTheme="minorEastAsia"/>
          <w:b/>
          <w:color w:val="auto"/>
          <w:highlight w:val="none"/>
        </w:rPr>
      </w:pPr>
    </w:p>
    <w:p>
      <w:pPr>
        <w:snapToGrid w:val="0"/>
        <w:spacing w:line="348"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48"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69"/>
    <w:p>
      <w:pPr>
        <w:spacing w:line="360" w:lineRule="auto"/>
        <w:jc w:val="center"/>
        <w:outlineLvl w:val="0"/>
        <w:rPr>
          <w:rFonts w:ascii="宋体" w:hAnsi="宋体" w:cs="仿宋_GB2312"/>
          <w:b/>
          <w:color w:val="auto"/>
          <w:sz w:val="36"/>
          <w:szCs w:val="36"/>
          <w:highlight w:val="none"/>
        </w:rPr>
      </w:pPr>
      <w:bookmarkStart w:id="70" w:name="_Toc7080"/>
      <w:bookmarkStart w:id="71" w:name="第五部分"/>
      <w:bookmarkStart w:id="72" w:name="_Toc86217003"/>
      <w:r>
        <w:rPr>
          <w:rFonts w:hint="eastAsia" w:ascii="宋体" w:hAnsi="宋体" w:cs="仿宋_GB2312"/>
          <w:b/>
          <w:color w:val="auto"/>
          <w:sz w:val="36"/>
          <w:szCs w:val="36"/>
          <w:highlight w:val="none"/>
        </w:rPr>
        <w:t>第六部分  拟签订的合同文本</w:t>
      </w:r>
      <w:bookmarkEnd w:id="70"/>
    </w:p>
    <w:p>
      <w:pPr>
        <w:spacing w:line="360" w:lineRule="auto"/>
        <w:rPr>
          <w:rFonts w:ascii="宋体" w:hAnsi="宋体"/>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合同编号：</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p>
    <w:p>
      <w:pPr>
        <w:autoSpaceDE w:val="0"/>
        <w:autoSpaceDN w:val="0"/>
        <w:snapToGrid w:val="0"/>
        <w:spacing w:after="120" w:line="360" w:lineRule="auto"/>
        <w:ind w:left="420" w:firstLine="2465" w:firstLineChars="682"/>
        <w:jc w:val="left"/>
        <w:rPr>
          <w:rFonts w:ascii="宋体" w:hAnsi="宋体" w:cs="仿宋_GB2312"/>
          <w:b/>
          <w:color w:val="auto"/>
          <w:sz w:val="36"/>
          <w:szCs w:val="36"/>
          <w:highlight w:val="none"/>
        </w:rPr>
      </w:pPr>
      <w:r>
        <w:rPr>
          <w:rFonts w:hint="eastAsia" w:ascii="宋体" w:hAnsi="宋体" w:cs="仿宋_GB2312"/>
          <w:b/>
          <w:color w:val="auto"/>
          <w:sz w:val="36"/>
          <w:szCs w:val="36"/>
          <w:highlight w:val="none"/>
        </w:rPr>
        <w:t>政府采购合同书</w:t>
      </w:r>
    </w:p>
    <w:p>
      <w:pPr>
        <w:autoSpaceDE w:val="0"/>
        <w:autoSpaceDN w:val="0"/>
        <w:snapToGrid w:val="0"/>
        <w:spacing w:after="120" w:line="360" w:lineRule="auto"/>
        <w:ind w:left="420" w:leftChars="200" w:firstLine="480" w:firstLineChars="200"/>
        <w:rPr>
          <w:rFonts w:ascii="宋体" w:hAnsi="宋体"/>
          <w:color w:val="auto"/>
          <w:sz w:val="24"/>
          <w:highlight w:val="none"/>
        </w:rPr>
      </w:pPr>
    </w:p>
    <w:p>
      <w:pPr>
        <w:autoSpaceDE w:val="0"/>
        <w:autoSpaceDN w:val="0"/>
        <w:snapToGrid w:val="0"/>
        <w:spacing w:after="120" w:line="360" w:lineRule="auto"/>
        <w:ind w:left="420" w:leftChars="200" w:firstLine="480" w:firstLineChars="200"/>
        <w:rPr>
          <w:rFonts w:ascii="宋体" w:hAnsi="宋体"/>
          <w:color w:val="auto"/>
          <w:sz w:val="24"/>
          <w:highlight w:val="none"/>
        </w:rPr>
      </w:pPr>
    </w:p>
    <w:p>
      <w:pPr>
        <w:spacing w:before="120" w:line="360" w:lineRule="auto"/>
        <w:rPr>
          <w:rFonts w:ascii="宋体" w:hAnsi="宋体"/>
          <w:color w:val="auto"/>
          <w:sz w:val="24"/>
          <w:highlight w:val="none"/>
        </w:rPr>
      </w:pPr>
    </w:p>
    <w:p>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宁波市海曙区鄞江中心卫生院设备整体维保项目</w:t>
      </w:r>
      <w:r>
        <w:rPr>
          <w:rFonts w:hint="eastAsia" w:ascii="宋体" w:hAnsi="宋体"/>
          <w:color w:val="auto"/>
          <w:sz w:val="24"/>
          <w:highlight w:val="none"/>
          <w:u w:val="single"/>
        </w:rPr>
        <w:t xml:space="preserve">  </w:t>
      </w:r>
    </w:p>
    <w:p>
      <w:pPr>
        <w:adjustRightInd/>
        <w:spacing w:before="120"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宁波市海曙区鄞江中心卫生院</w:t>
      </w:r>
      <w:r>
        <w:rPr>
          <w:rFonts w:hint="eastAsia" w:ascii="宋体" w:hAnsi="宋体"/>
          <w:color w:val="auto"/>
          <w:sz w:val="24"/>
          <w:highlight w:val="none"/>
          <w:u w:val="single"/>
        </w:rPr>
        <w:t xml:space="preserve">  </w:t>
      </w:r>
    </w:p>
    <w:p>
      <w:pPr>
        <w:spacing w:before="120" w:line="360" w:lineRule="auto"/>
        <w:rPr>
          <w:rFonts w:ascii="宋体" w:hAnsi="宋体"/>
          <w:color w:val="auto"/>
          <w:sz w:val="24"/>
          <w:highlight w:val="none"/>
        </w:rPr>
      </w:pPr>
    </w:p>
    <w:p>
      <w:pPr>
        <w:spacing w:before="120" w:line="360" w:lineRule="auto"/>
        <w:ind w:left="960"/>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pPr>
        <w:spacing w:before="120" w:line="360" w:lineRule="auto"/>
        <w:rPr>
          <w:rFonts w:ascii="宋体" w:hAnsi="宋体"/>
          <w:color w:val="auto"/>
          <w:sz w:val="24"/>
          <w:highlight w:val="none"/>
        </w:rPr>
      </w:pPr>
    </w:p>
    <w:p>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pPr>
        <w:spacing w:before="120" w:line="360" w:lineRule="auto"/>
        <w:rPr>
          <w:rFonts w:ascii="宋体" w:hAnsi="宋体"/>
          <w:color w:val="auto"/>
          <w:sz w:val="24"/>
          <w:highlight w:val="none"/>
        </w:rPr>
      </w:pPr>
    </w:p>
    <w:p>
      <w:pPr>
        <w:spacing w:before="120" w:line="360" w:lineRule="auto"/>
        <w:ind w:firstLine="960" w:firstLineChars="40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adjustRightInd/>
        <w:jc w:val="left"/>
        <w:rPr>
          <w:rFonts w:ascii="宋体" w:hAnsi="宋体" w:cs="仿宋_GB2312"/>
          <w:b/>
          <w:color w:val="auto"/>
          <w:sz w:val="24"/>
          <w:highlight w:val="none"/>
        </w:rPr>
      </w:pPr>
      <w:r>
        <w:rPr>
          <w:rFonts w:hint="eastAsia" w:ascii="宋体" w:hAnsi="宋体" w:cs="仿宋_GB2312"/>
          <w:b/>
          <w:color w:val="auto"/>
          <w:sz w:val="24"/>
          <w:highlight w:val="none"/>
        </w:rPr>
        <w:br w:type="page"/>
      </w: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宁波市海曙区鄞江中心卫生院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竞争性磋商</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宁波市海曙区鄞江中心卫生院设备整体维保项目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磋商小组</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发出之日起30日内，按照采购文件确定的事项签订本合同。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宁波市海曙区鄞江中心卫生院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rPr>
          <w:rFonts w:ascii="宋体" w:hAnsi="宋体"/>
          <w:color w:val="auto"/>
          <w:sz w:val="24"/>
          <w:highlight w:val="none"/>
        </w:rPr>
      </w:pPr>
      <w:bookmarkStart w:id="73" w:name="_Toc20421"/>
      <w:bookmarkStart w:id="74" w:name="_Toc19273"/>
      <w:bookmarkStart w:id="75" w:name="_Toc15367"/>
      <w:bookmarkStart w:id="76" w:name="_Toc28855"/>
      <w:bookmarkStart w:id="77"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73"/>
      <w:bookmarkEnd w:id="74"/>
      <w:bookmarkEnd w:id="75"/>
      <w:bookmarkEnd w:id="76"/>
      <w:bookmarkEnd w:id="77"/>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rPr>
          <w:rFonts w:ascii="宋体" w:hAnsi="宋体"/>
          <w:b/>
          <w:color w:val="auto"/>
          <w:sz w:val="24"/>
          <w:highlight w:val="none"/>
        </w:rPr>
      </w:pPr>
      <w:bookmarkStart w:id="78" w:name="_Toc18585"/>
      <w:bookmarkStart w:id="79" w:name="_Toc2918"/>
      <w:bookmarkStart w:id="80" w:name="_Toc22185"/>
      <w:bookmarkStart w:id="81" w:name="_Toc6773"/>
      <w:bookmarkStart w:id="82"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78"/>
      <w:bookmarkEnd w:id="79"/>
      <w:bookmarkEnd w:id="80"/>
      <w:bookmarkEnd w:id="81"/>
      <w:bookmarkEnd w:id="8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1.2.5合同</w:t>
      </w:r>
      <w:r>
        <w:rPr>
          <w:rFonts w:hint="eastAsia" w:ascii="宋体" w:hAnsi="宋体" w:cs="宋体"/>
          <w:color w:val="auto"/>
          <w:kern w:val="0"/>
          <w:sz w:val="24"/>
          <w:highlight w:val="none"/>
          <w:u w:val="single"/>
        </w:rPr>
        <w:t xml:space="preserve"> 否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83" w:name="_Toc4929"/>
      <w:bookmarkStart w:id="84" w:name="_Toc5635"/>
      <w:bookmarkStart w:id="85" w:name="_Toc13918"/>
      <w:bookmarkStart w:id="86" w:name="_Toc21124"/>
      <w:bookmarkStart w:id="87"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1.3 价款</w:t>
      </w:r>
      <w:bookmarkEnd w:id="83"/>
      <w:bookmarkEnd w:id="84"/>
      <w:bookmarkEnd w:id="85"/>
      <w:bookmarkEnd w:id="86"/>
      <w:bookmarkEnd w:id="87"/>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jc w:val="center"/>
              <w:rPr>
                <w:rFonts w:ascii="宋体" w:hAnsi="宋体"/>
                <w:color w:val="auto"/>
                <w:kern w:val="0"/>
                <w:sz w:val="24"/>
                <w:highlight w:val="none"/>
              </w:rPr>
            </w:pPr>
            <w:r>
              <w:rPr>
                <w:rFonts w:ascii="宋体" w:hAnsi="宋体"/>
                <w:color w:val="auto"/>
                <w:kern w:val="0"/>
                <w:sz w:val="24"/>
                <w:highlight w:val="none"/>
              </w:rPr>
              <w:t>序号</w:t>
            </w:r>
          </w:p>
        </w:tc>
        <w:tc>
          <w:tcPr>
            <w:tcW w:w="3402" w:type="dxa"/>
            <w:vAlign w:val="center"/>
          </w:tcPr>
          <w:p>
            <w:pPr>
              <w:adjustRightInd/>
              <w:spacing w:line="560" w:lineRule="exact"/>
              <w:ind w:firstLine="200"/>
              <w:jc w:val="center"/>
              <w:rPr>
                <w:rFonts w:ascii="宋体" w:hAnsi="宋体"/>
                <w:color w:val="auto"/>
                <w:kern w:val="0"/>
                <w:sz w:val="24"/>
                <w:highlight w:val="none"/>
              </w:rPr>
            </w:pPr>
            <w:r>
              <w:rPr>
                <w:rFonts w:hint="eastAsia" w:ascii="宋体" w:hAnsi="宋体"/>
                <w:color w:val="auto"/>
                <w:kern w:val="0"/>
                <w:sz w:val="24"/>
                <w:highlight w:val="none"/>
              </w:rPr>
              <w:t>分项名称</w:t>
            </w:r>
          </w:p>
        </w:tc>
        <w:tc>
          <w:tcPr>
            <w:tcW w:w="2552" w:type="dxa"/>
            <w:vAlign w:val="center"/>
          </w:tcPr>
          <w:p>
            <w:pPr>
              <w:adjustRightInd/>
              <w:spacing w:line="560" w:lineRule="exact"/>
              <w:jc w:val="center"/>
              <w:rPr>
                <w:rFonts w:ascii="宋体" w:hAnsi="宋体"/>
                <w:color w:val="auto"/>
                <w:kern w:val="0"/>
                <w:sz w:val="24"/>
                <w:highlight w:val="none"/>
              </w:rPr>
            </w:pPr>
            <w:r>
              <w:rPr>
                <w:rFonts w:ascii="宋体" w:hAnsi="宋体"/>
                <w:color w:val="auto"/>
                <w:kern w:val="0"/>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ascii="宋体" w:hAnsi="宋体"/>
                <w:color w:val="auto"/>
                <w:kern w:val="0"/>
                <w:sz w:val="24"/>
                <w:highlight w:val="none"/>
              </w:rPr>
            </w:pPr>
          </w:p>
        </w:tc>
        <w:tc>
          <w:tcPr>
            <w:tcW w:w="3402" w:type="dxa"/>
            <w:vAlign w:val="center"/>
          </w:tcPr>
          <w:p>
            <w:pPr>
              <w:adjustRightInd/>
              <w:spacing w:line="560" w:lineRule="exact"/>
              <w:ind w:firstLine="200"/>
              <w:jc w:val="center"/>
              <w:rPr>
                <w:rFonts w:ascii="宋体" w:hAnsi="宋体"/>
                <w:color w:val="auto"/>
                <w:kern w:val="0"/>
                <w:sz w:val="24"/>
                <w:highlight w:val="none"/>
              </w:rPr>
            </w:pPr>
          </w:p>
        </w:tc>
        <w:tc>
          <w:tcPr>
            <w:tcW w:w="2552" w:type="dxa"/>
            <w:vAlign w:val="center"/>
          </w:tcPr>
          <w:p>
            <w:pPr>
              <w:adjustRightInd/>
              <w:spacing w:line="560" w:lineRule="exact"/>
              <w:ind w:firstLine="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ascii="宋体" w:hAnsi="宋体"/>
                <w:color w:val="auto"/>
                <w:kern w:val="0"/>
                <w:sz w:val="24"/>
                <w:highlight w:val="none"/>
              </w:rPr>
            </w:pPr>
          </w:p>
        </w:tc>
        <w:tc>
          <w:tcPr>
            <w:tcW w:w="3402" w:type="dxa"/>
            <w:vAlign w:val="center"/>
          </w:tcPr>
          <w:p>
            <w:pPr>
              <w:adjustRightInd/>
              <w:spacing w:line="560" w:lineRule="exact"/>
              <w:ind w:firstLine="200"/>
              <w:jc w:val="center"/>
              <w:rPr>
                <w:rFonts w:ascii="宋体" w:hAnsi="宋体"/>
                <w:color w:val="auto"/>
                <w:kern w:val="0"/>
                <w:sz w:val="24"/>
                <w:highlight w:val="none"/>
              </w:rPr>
            </w:pPr>
          </w:p>
        </w:tc>
        <w:tc>
          <w:tcPr>
            <w:tcW w:w="2552" w:type="dxa"/>
            <w:vAlign w:val="center"/>
          </w:tcPr>
          <w:p>
            <w:pPr>
              <w:adjustRightInd/>
              <w:spacing w:line="560" w:lineRule="exact"/>
              <w:ind w:firstLine="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ascii="宋体" w:hAnsi="宋体"/>
                <w:color w:val="auto"/>
                <w:kern w:val="0"/>
                <w:sz w:val="24"/>
                <w:highlight w:val="none"/>
              </w:rPr>
            </w:pPr>
          </w:p>
        </w:tc>
        <w:tc>
          <w:tcPr>
            <w:tcW w:w="3402" w:type="dxa"/>
            <w:vAlign w:val="center"/>
          </w:tcPr>
          <w:p>
            <w:pPr>
              <w:adjustRightInd/>
              <w:spacing w:line="560" w:lineRule="exact"/>
              <w:ind w:firstLine="200"/>
              <w:jc w:val="center"/>
              <w:rPr>
                <w:rFonts w:ascii="宋体" w:hAnsi="宋体"/>
                <w:color w:val="auto"/>
                <w:kern w:val="0"/>
                <w:sz w:val="24"/>
                <w:highlight w:val="none"/>
              </w:rPr>
            </w:pPr>
          </w:p>
        </w:tc>
        <w:tc>
          <w:tcPr>
            <w:tcW w:w="2552" w:type="dxa"/>
            <w:vAlign w:val="center"/>
          </w:tcPr>
          <w:p>
            <w:pPr>
              <w:adjustRightInd/>
              <w:spacing w:line="560" w:lineRule="exact"/>
              <w:ind w:firstLine="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adjustRightInd/>
              <w:spacing w:line="560" w:lineRule="exact"/>
              <w:ind w:firstLine="200"/>
              <w:jc w:val="center"/>
              <w:rPr>
                <w:rFonts w:ascii="宋体" w:hAnsi="宋体"/>
                <w:color w:val="auto"/>
                <w:kern w:val="0"/>
                <w:sz w:val="24"/>
                <w:highlight w:val="none"/>
              </w:rPr>
            </w:pPr>
          </w:p>
        </w:tc>
        <w:tc>
          <w:tcPr>
            <w:tcW w:w="3402" w:type="dxa"/>
            <w:vAlign w:val="center"/>
          </w:tcPr>
          <w:p>
            <w:pPr>
              <w:adjustRightInd/>
              <w:spacing w:line="560" w:lineRule="exact"/>
              <w:ind w:firstLine="200"/>
              <w:jc w:val="center"/>
              <w:rPr>
                <w:rFonts w:ascii="宋体" w:hAnsi="宋体"/>
                <w:color w:val="auto"/>
                <w:kern w:val="0"/>
                <w:sz w:val="24"/>
                <w:highlight w:val="none"/>
              </w:rPr>
            </w:pPr>
          </w:p>
        </w:tc>
        <w:tc>
          <w:tcPr>
            <w:tcW w:w="2552" w:type="dxa"/>
            <w:vAlign w:val="center"/>
          </w:tcPr>
          <w:p>
            <w:pPr>
              <w:adjustRightInd/>
              <w:spacing w:line="560" w:lineRule="exact"/>
              <w:ind w:firstLine="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adjustRightInd/>
              <w:spacing w:line="560" w:lineRule="exact"/>
              <w:ind w:firstLine="200"/>
              <w:jc w:val="center"/>
              <w:rPr>
                <w:rFonts w:ascii="宋体" w:hAnsi="宋体"/>
                <w:color w:val="auto"/>
                <w:kern w:val="0"/>
                <w:sz w:val="24"/>
                <w:highlight w:val="none"/>
              </w:rPr>
            </w:pPr>
            <w:r>
              <w:rPr>
                <w:rFonts w:hint="eastAsia" w:ascii="宋体" w:hAnsi="宋体"/>
                <w:color w:val="auto"/>
                <w:kern w:val="0"/>
                <w:sz w:val="24"/>
                <w:highlight w:val="none"/>
              </w:rPr>
              <w:t>总价</w:t>
            </w:r>
          </w:p>
        </w:tc>
        <w:tc>
          <w:tcPr>
            <w:tcW w:w="2552" w:type="dxa"/>
            <w:vAlign w:val="center"/>
          </w:tcPr>
          <w:p>
            <w:pPr>
              <w:adjustRightInd/>
              <w:spacing w:line="560" w:lineRule="exact"/>
              <w:ind w:firstLine="200"/>
              <w:jc w:val="center"/>
              <w:rPr>
                <w:rFonts w:ascii="宋体" w:hAnsi="宋体"/>
                <w:color w:val="auto"/>
                <w:kern w:val="0"/>
                <w:sz w:val="24"/>
                <w:highlight w:val="none"/>
              </w:rPr>
            </w:pPr>
          </w:p>
        </w:tc>
      </w:tr>
    </w:tbl>
    <w:p>
      <w:pPr>
        <w:spacing w:line="560" w:lineRule="exact"/>
        <w:ind w:firstLine="480" w:firstLineChars="200"/>
        <w:rPr>
          <w:rFonts w:ascii="宋体" w:hAnsi="宋体"/>
          <w:bCs/>
          <w:color w:val="auto"/>
          <w:sz w:val="24"/>
          <w:highlight w:val="none"/>
        </w:rPr>
      </w:pPr>
      <w:bookmarkStart w:id="88" w:name="_Toc14993"/>
      <w:bookmarkStart w:id="89" w:name="_Toc30506"/>
      <w:bookmarkStart w:id="90" w:name="_Toc26916"/>
      <w:bookmarkStart w:id="91" w:name="_Toc3654"/>
      <w:bookmarkStart w:id="92"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spacing w:line="560" w:lineRule="exact"/>
        <w:ind w:firstLine="480" w:firstLineChars="200"/>
        <w:rPr>
          <w:rFonts w:ascii="仿宋_GB2312" w:hAnsi="仿宋" w:eastAsia="仿宋_GB2312"/>
          <w:b/>
          <w:bCs/>
          <w:color w:val="auto"/>
          <w:sz w:val="32"/>
          <w:szCs w:val="32"/>
          <w:highlight w:val="none"/>
        </w:rPr>
      </w:pPr>
      <w:r>
        <w:rPr>
          <w:rFonts w:hint="eastAsia" w:ascii="宋体" w:hAnsi="宋体" w:cs="宋体"/>
          <w:color w:val="auto"/>
          <w:sz w:val="24"/>
          <w:szCs w:val="32"/>
          <w:highlight w:val="none"/>
        </w:rPr>
        <w:t>1.3.3其他计价方式：</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w:t>
      </w:r>
    </w:p>
    <w:bookmarkEnd w:id="88"/>
    <w:bookmarkEnd w:id="89"/>
    <w:bookmarkEnd w:id="90"/>
    <w:bookmarkEnd w:id="91"/>
    <w:bookmarkEnd w:id="92"/>
    <w:p>
      <w:pPr>
        <w:spacing w:line="560" w:lineRule="exact"/>
        <w:ind w:firstLine="482" w:firstLineChars="200"/>
        <w:rPr>
          <w:rFonts w:ascii="宋体" w:hAnsi="宋体" w:cs="宋体"/>
          <w:b/>
          <w:color w:val="auto"/>
          <w:kern w:val="0"/>
          <w:sz w:val="24"/>
          <w:highlight w:val="none"/>
        </w:rPr>
      </w:pPr>
      <w:bookmarkStart w:id="93" w:name="_Toc22618"/>
      <w:bookmarkStart w:id="94" w:name="_Toc1814"/>
      <w:bookmarkStart w:id="95" w:name="_Toc10340"/>
      <w:bookmarkStart w:id="96" w:name="_Toc4760"/>
      <w:bookmarkStart w:id="97" w:name="_Toc3625"/>
      <w:bookmarkStart w:id="98" w:name="_Toc8772"/>
      <w:bookmarkStart w:id="99" w:name="_Toc31421"/>
      <w:bookmarkStart w:id="100" w:name="_Toc11108"/>
      <w:r>
        <w:rPr>
          <w:rFonts w:hint="eastAsia" w:ascii="宋体" w:hAnsi="宋体" w:cs="宋体"/>
          <w:b/>
          <w:color w:val="auto"/>
          <w:kern w:val="0"/>
          <w:sz w:val="24"/>
          <w:highlight w:val="none"/>
        </w:rPr>
        <w:t>1.4履约保证金</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w:t>
      </w:r>
      <w:r>
        <w:rPr>
          <w:rFonts w:hint="eastAsia" w:ascii="宋体" w:hAnsi="宋体" w:cs="宋体"/>
          <w:color w:val="auto"/>
          <w:kern w:val="0"/>
          <w:sz w:val="24"/>
          <w:highlight w:val="none"/>
          <w:u w:val="single"/>
        </w:rPr>
        <w:t xml:space="preserve"> 否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否）需要支付履约保证金。若需要支付履约保证金的，则：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keepNext/>
        <w:keepLines/>
        <w:numPr>
          <w:ilvl w:val="255"/>
          <w:numId w:val="0"/>
        </w:numPr>
        <w:tabs>
          <w:tab w:val="left" w:pos="0"/>
        </w:tabs>
        <w:adjustRightInd/>
        <w:spacing w:line="560" w:lineRule="exact"/>
        <w:ind w:left="420" w:leftChars="200"/>
        <w:jc w:val="left"/>
        <w:rPr>
          <w:rFonts w:ascii="仿宋_GB2312" w:hAnsi="仿宋" w:eastAsia="仿宋_GB2312"/>
          <w:b/>
          <w:bCs/>
          <w:color w:val="auto"/>
          <w:sz w:val="32"/>
          <w:szCs w:val="32"/>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1.5</w:t>
      </w:r>
      <w:bookmarkEnd w:id="93"/>
      <w:bookmarkEnd w:id="94"/>
      <w:bookmarkEnd w:id="95"/>
      <w:r>
        <w:rPr>
          <w:rFonts w:hint="eastAsia" w:ascii="宋体" w:hAnsi="宋体" w:cs="宋体"/>
          <w:b/>
          <w:color w:val="auto"/>
          <w:sz w:val="24"/>
          <w:highlight w:val="none"/>
        </w:rPr>
        <w:t>预付款</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甲方</w:t>
      </w:r>
      <w:r>
        <w:rPr>
          <w:rFonts w:hint="eastAsia" w:ascii="宋体" w:hAnsi="宋体" w:cs="宋体"/>
          <w:color w:val="auto"/>
          <w:kern w:val="0"/>
          <w:sz w:val="24"/>
          <w:highlight w:val="none"/>
          <w:u w:val="single"/>
        </w:rPr>
        <w:t xml:space="preserve"> 是 </w:t>
      </w:r>
      <w:r>
        <w:rPr>
          <w:rFonts w:hint="eastAsia" w:ascii="宋体" w:hAnsi="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cs="宋体"/>
          <w:color w:val="auto"/>
          <w:kern w:val="0"/>
          <w:sz w:val="24"/>
          <w:highlight w:val="none"/>
        </w:rPr>
        <w:t>否）需要支付预付款。若需要支付预付款的，则：</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1.5.2预付款的扣回方式详见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adjustRightInd/>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1.5.3预付款的担保措施详见</w:t>
      </w:r>
      <w:r>
        <w:rPr>
          <w:rFonts w:hint="eastAsia" w:ascii="宋体" w:hAnsi="宋体" w:cs="宋体"/>
          <w:color w:val="auto"/>
          <w:kern w:val="0"/>
          <w:sz w:val="24"/>
          <w:highlight w:val="none"/>
          <w:u w:val="single"/>
        </w:rPr>
        <w:t xml:space="preserve">    </w:t>
      </w:r>
      <w:r>
        <w:rPr>
          <w:rFonts w:hint="eastAsia" w:ascii="宋体" w:hAnsi="宋体" w:cs="宋体"/>
          <w:b/>
          <w:i/>
          <w:color w:val="auto"/>
          <w:kern w:val="0"/>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adjustRightInd/>
        <w:spacing w:line="360" w:lineRule="auto"/>
        <w:ind w:firstLine="48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1.6资金支付</w:t>
      </w:r>
    </w:p>
    <w:p>
      <w:pPr>
        <w:widowControl/>
        <w:adjustRightInd/>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widowControl/>
        <w:adjustRightInd/>
        <w:spacing w:line="360" w:lineRule="auto"/>
        <w:ind w:firstLine="480"/>
        <w:jc w:val="lef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6"/>
      <w:bookmarkEnd w:id="97"/>
      <w:bookmarkEnd w:id="98"/>
      <w:bookmarkEnd w:id="99"/>
      <w:bookmarkEnd w:id="100"/>
    </w:p>
    <w:p>
      <w:pPr>
        <w:widowControl/>
        <w:adjustRightInd/>
        <w:spacing w:line="360" w:lineRule="auto"/>
        <w:ind w:firstLine="480"/>
        <w:jc w:val="left"/>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widowControl/>
        <w:adjustRightInd/>
        <w:spacing w:line="360" w:lineRule="auto"/>
        <w:ind w:firstLine="480"/>
        <w:jc w:val="left"/>
        <w:rPr>
          <w:rFonts w:ascii="宋体" w:hAnsi="宋体"/>
          <w:bCs/>
          <w:color w:val="auto"/>
          <w:sz w:val="24"/>
          <w:highlight w:val="none"/>
        </w:rPr>
      </w:pPr>
      <w:bookmarkStart w:id="101" w:name="_Toc2375"/>
      <w:bookmarkStart w:id="102" w:name="_Toc3079"/>
      <w:bookmarkStart w:id="103" w:name="_Toc24662"/>
      <w:bookmarkStart w:id="104" w:name="_Toc5698"/>
      <w:bookmarkStart w:id="105"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widowControl/>
        <w:adjustRightInd/>
        <w:spacing w:line="360" w:lineRule="auto"/>
        <w:ind w:firstLine="480"/>
        <w:jc w:val="left"/>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widowControl/>
        <w:adjustRightInd/>
        <w:spacing w:line="360" w:lineRule="auto"/>
        <w:ind w:firstLine="480"/>
        <w:jc w:val="left"/>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101"/>
      <w:bookmarkEnd w:id="102"/>
      <w:bookmarkEnd w:id="103"/>
      <w:bookmarkEnd w:id="104"/>
      <w:bookmarkEnd w:id="105"/>
    </w:p>
    <w:p>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（可根据情况修改）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widowControl/>
        <w:adjustRightInd/>
        <w:spacing w:line="360" w:lineRule="auto"/>
        <w:ind w:firstLine="48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widowControl/>
        <w:adjustRightInd/>
        <w:spacing w:line="360" w:lineRule="auto"/>
        <w:ind w:firstLine="480"/>
        <w:jc w:val="left"/>
        <w:rPr>
          <w:rFonts w:ascii="宋体" w:hAnsi="宋体" w:cs="宋体"/>
          <w:color w:val="auto"/>
          <w:sz w:val="24"/>
          <w:highlight w:val="none"/>
        </w:rPr>
      </w:pPr>
      <w:bookmarkStart w:id="106" w:name="_Toc18683"/>
      <w:bookmarkStart w:id="107" w:name="_Toc32454"/>
      <w:bookmarkStart w:id="108" w:name="_Toc9497"/>
      <w:bookmarkStart w:id="109" w:name="_Toc26807"/>
      <w:bookmarkStart w:id="110"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widowControl/>
        <w:adjustRightInd/>
        <w:spacing w:line="360" w:lineRule="auto"/>
        <w:ind w:firstLine="480"/>
        <w:jc w:val="left"/>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6"/>
    <w:bookmarkEnd w:id="107"/>
    <w:bookmarkEnd w:id="108"/>
    <w:bookmarkEnd w:id="109"/>
    <w:bookmarkEnd w:id="110"/>
    <w:p>
      <w:pPr>
        <w:widowControl/>
        <w:adjustRightInd/>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1.9合同争议的解决</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widowControl/>
        <w:adjustRightInd/>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widowControl/>
        <w:adjustRightInd/>
        <w:spacing w:line="360" w:lineRule="auto"/>
        <w:ind w:firstLine="480"/>
        <w:jc w:val="left"/>
        <w:rPr>
          <w:rFonts w:ascii="宋体" w:hAnsi="宋体" w:cs="宋体"/>
          <w:b/>
          <w:color w:val="auto"/>
          <w:sz w:val="24"/>
          <w:highlight w:val="none"/>
        </w:rPr>
      </w:pPr>
      <w:r>
        <w:rPr>
          <w:rFonts w:hint="eastAsia" w:ascii="宋体" w:hAnsi="宋体" w:cs="宋体"/>
          <w:b/>
          <w:color w:val="auto"/>
          <w:sz w:val="24"/>
          <w:highlight w:val="none"/>
        </w:rPr>
        <w:t>2.0 合同生效</w:t>
      </w:r>
    </w:p>
    <w:p>
      <w:pPr>
        <w:widowControl/>
        <w:adjustRightInd/>
        <w:spacing w:line="360" w:lineRule="auto"/>
        <w:ind w:firstLine="480"/>
        <w:jc w:val="left"/>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b/>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autoSpaceDE w:val="0"/>
        <w:autoSpaceDN w:val="0"/>
        <w:snapToGrid w:val="0"/>
        <w:spacing w:after="120" w:line="560" w:lineRule="exact"/>
        <w:ind w:left="420" w:leftChars="200" w:firstLine="482" w:firstLineChars="200"/>
        <w:jc w:val="center"/>
        <w:rPr>
          <w:rFonts w:ascii="宋体" w:hAnsi="宋体"/>
          <w:b/>
          <w:color w:val="auto"/>
          <w:sz w:val="24"/>
          <w:highlight w:val="none"/>
        </w:rPr>
      </w:pPr>
      <w:bookmarkStart w:id="111" w:name="_Toc22072"/>
      <w:r>
        <w:rPr>
          <w:rFonts w:hint="eastAsia" w:ascii="宋体" w:hAnsi="宋体"/>
          <w:b/>
          <w:color w:val="auto"/>
          <w:sz w:val="24"/>
          <w:highlight w:val="none"/>
        </w:rPr>
        <w:t>第二部分</w:t>
      </w:r>
      <w:r>
        <w:rPr>
          <w:rFonts w:ascii="宋体" w:hAnsi="宋体"/>
          <w:b/>
          <w:color w:val="auto"/>
          <w:sz w:val="24"/>
          <w:highlight w:val="none"/>
        </w:rPr>
        <w:t xml:space="preserve"> </w:t>
      </w:r>
      <w:r>
        <w:rPr>
          <w:rFonts w:hint="eastAsia" w:ascii="宋体" w:hAnsi="宋体"/>
          <w:b/>
          <w:color w:val="auto"/>
          <w:sz w:val="24"/>
          <w:highlight w:val="none"/>
        </w:rPr>
        <w:t>合同一般条款</w:t>
      </w:r>
      <w:bookmarkEnd w:id="111"/>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12" w:name="_Toc5228"/>
      <w:bookmarkStart w:id="113" w:name="_Toc14021"/>
      <w:bookmarkStart w:id="114" w:name="_Toc31297"/>
      <w:bookmarkStart w:id="115" w:name="_Toc25079"/>
      <w:bookmarkStart w:id="116" w:name="_Toc19680"/>
      <w:r>
        <w:rPr>
          <w:rFonts w:ascii="宋体" w:hAnsi="宋体"/>
          <w:b/>
          <w:color w:val="auto"/>
          <w:sz w:val="24"/>
          <w:highlight w:val="none"/>
        </w:rPr>
        <w:t>2.1 定义</w:t>
      </w:r>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2.1.6 “现场”系指合同约定提供服务的地点。</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17" w:name="_Toc3769"/>
      <w:bookmarkStart w:id="118" w:name="_Toc19539"/>
      <w:bookmarkStart w:id="119" w:name="_Toc16752"/>
      <w:bookmarkStart w:id="120" w:name="_Toc31402"/>
      <w:bookmarkStart w:id="121" w:name="_Toc23289"/>
      <w:r>
        <w:rPr>
          <w:rFonts w:ascii="宋体" w:hAnsi="宋体"/>
          <w:b/>
          <w:color w:val="auto"/>
          <w:sz w:val="24"/>
          <w:highlight w:val="none"/>
        </w:rPr>
        <w:t>2.2 技术规范</w:t>
      </w:r>
      <w:bookmarkEnd w:id="117"/>
      <w:bookmarkEnd w:id="118"/>
      <w:bookmarkEnd w:id="119"/>
      <w:bookmarkEnd w:id="120"/>
      <w:bookmarkEnd w:id="121"/>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22" w:name="_Toc9161"/>
      <w:bookmarkStart w:id="123" w:name="_Toc13673"/>
      <w:bookmarkStart w:id="124" w:name="_Toc12412"/>
      <w:bookmarkStart w:id="125" w:name="_Toc4133"/>
      <w:bookmarkStart w:id="126" w:name="_Toc27945"/>
      <w:r>
        <w:rPr>
          <w:rFonts w:ascii="宋体" w:hAnsi="宋体"/>
          <w:b/>
          <w:color w:val="auto"/>
          <w:sz w:val="24"/>
          <w:highlight w:val="none"/>
        </w:rPr>
        <w:t>2.3 知识产权</w:t>
      </w:r>
      <w:bookmarkEnd w:id="122"/>
      <w:bookmarkEnd w:id="123"/>
      <w:bookmarkEnd w:id="124"/>
      <w:bookmarkEnd w:id="125"/>
      <w:bookmarkEnd w:id="126"/>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27" w:name="_Toc22011"/>
      <w:bookmarkStart w:id="128" w:name="_Toc32670"/>
      <w:bookmarkStart w:id="129" w:name="_Toc26555"/>
      <w:bookmarkStart w:id="130" w:name="_Toc31233"/>
      <w:bookmarkStart w:id="131" w:name="_Toc15447"/>
      <w:r>
        <w:rPr>
          <w:rFonts w:ascii="宋体" w:hAnsi="宋体"/>
          <w:b/>
          <w:color w:val="auto"/>
          <w:sz w:val="24"/>
          <w:highlight w:val="none"/>
        </w:rPr>
        <w:t>2.5 结算方式和付款条件</w:t>
      </w:r>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2" w:name="_Toc30507"/>
      <w:bookmarkStart w:id="133" w:name="_Toc13154"/>
      <w:bookmarkStart w:id="134" w:name="_Toc16163"/>
      <w:bookmarkStart w:id="135" w:name="_Toc18990"/>
      <w:bookmarkStart w:id="136" w:name="_Toc13467"/>
      <w:r>
        <w:rPr>
          <w:rFonts w:ascii="宋体" w:hAnsi="宋体"/>
          <w:b/>
          <w:color w:val="auto"/>
          <w:sz w:val="24"/>
          <w:highlight w:val="none"/>
        </w:rPr>
        <w:t>2.6 技术资料和保密义务</w:t>
      </w:r>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7"/>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8"/>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3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9"/>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0" w:name="_Toc42"/>
      <w:bookmarkStart w:id="141" w:name="_Toc10663"/>
      <w:bookmarkStart w:id="142" w:name="_Toc26689"/>
      <w:bookmarkStart w:id="143" w:name="_Toc23368"/>
      <w:bookmarkStart w:id="144" w:name="_Toc21830"/>
      <w:r>
        <w:rPr>
          <w:rFonts w:ascii="宋体" w:hAnsi="宋体"/>
          <w:b/>
          <w:color w:val="auto"/>
          <w:sz w:val="24"/>
          <w:highlight w:val="none"/>
        </w:rPr>
        <w:t>2.10 合同转让和分包</w:t>
      </w:r>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45" w:name="_Toc26633"/>
      <w:bookmarkStart w:id="146" w:name="_Toc14371"/>
      <w:bookmarkStart w:id="147" w:name="_Toc25571"/>
      <w:bookmarkStart w:id="148" w:name="_Toc4720"/>
      <w:bookmarkStart w:id="149" w:name="_Toc32494"/>
      <w:r>
        <w:rPr>
          <w:rFonts w:ascii="宋体" w:hAnsi="宋体"/>
          <w:b/>
          <w:color w:val="auto"/>
          <w:sz w:val="24"/>
          <w:highlight w:val="none"/>
        </w:rPr>
        <w:t>2.11 不可抗力</w:t>
      </w:r>
      <w:bookmarkEnd w:id="145"/>
      <w:bookmarkEnd w:id="146"/>
      <w:bookmarkEnd w:id="147"/>
      <w:bookmarkEnd w:id="148"/>
      <w:bookmarkEnd w:id="149"/>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50" w:name="_Toc3638"/>
      <w:bookmarkStart w:id="151" w:name="_Toc25783"/>
      <w:bookmarkStart w:id="152" w:name="_Toc14115"/>
      <w:bookmarkStart w:id="153" w:name="_Toc24465"/>
      <w:bookmarkStart w:id="154" w:name="_Toc23854"/>
      <w:r>
        <w:rPr>
          <w:rFonts w:ascii="宋体" w:hAnsi="宋体"/>
          <w:b/>
          <w:color w:val="auto"/>
          <w:sz w:val="24"/>
          <w:highlight w:val="none"/>
        </w:rPr>
        <w:t>2.12 税费</w:t>
      </w:r>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55" w:name="_Toc30105"/>
      <w:bookmarkStart w:id="156" w:name="_Toc14814"/>
      <w:bookmarkStart w:id="157" w:name="_Toc26883"/>
      <w:bookmarkStart w:id="158" w:name="_Toc25525"/>
      <w:bookmarkStart w:id="159" w:name="_Toc7315"/>
      <w:r>
        <w:rPr>
          <w:rFonts w:ascii="宋体" w:hAnsi="宋体"/>
          <w:b/>
          <w:color w:val="auto"/>
          <w:sz w:val="24"/>
          <w:highlight w:val="none"/>
        </w:rPr>
        <w:t>2.13 乙方破产</w:t>
      </w:r>
      <w:bookmarkEnd w:id="155"/>
      <w:bookmarkEnd w:id="156"/>
      <w:bookmarkEnd w:id="157"/>
      <w:bookmarkEnd w:id="158"/>
      <w:bookmarkEnd w:id="159"/>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60" w:name="_Toc1123"/>
      <w:bookmarkStart w:id="161" w:name="_Toc23323"/>
      <w:bookmarkStart w:id="162" w:name="_Toc2016"/>
      <w:r>
        <w:rPr>
          <w:rFonts w:ascii="宋体" w:hAnsi="宋体"/>
          <w:b/>
          <w:color w:val="auto"/>
          <w:sz w:val="24"/>
          <w:highlight w:val="none"/>
        </w:rPr>
        <w:t>2.14 合同中止、终止</w:t>
      </w:r>
      <w:bookmarkEnd w:id="160"/>
      <w:bookmarkEnd w:id="161"/>
      <w:bookmarkEnd w:id="162"/>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63" w:name="_Toc17363"/>
      <w:bookmarkStart w:id="164" w:name="_Toc14525"/>
      <w:bookmarkStart w:id="165" w:name="_Toc1969"/>
      <w:r>
        <w:rPr>
          <w:rFonts w:ascii="宋体" w:hAnsi="宋体"/>
          <w:b/>
          <w:color w:val="auto"/>
          <w:sz w:val="24"/>
          <w:highlight w:val="none"/>
        </w:rPr>
        <w:t>2.15 检验和验收</w:t>
      </w:r>
      <w:bookmarkEnd w:id="163"/>
      <w:bookmarkEnd w:id="164"/>
      <w:bookmarkEnd w:id="165"/>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66" w:name="_Toc2308"/>
      <w:bookmarkStart w:id="167" w:name="_Toc9808"/>
      <w:bookmarkStart w:id="168" w:name="_Toc31892"/>
      <w:bookmarkStart w:id="169" w:name="_Toc12666"/>
      <w:bookmarkStart w:id="170" w:name="_Toc25198"/>
      <w:r>
        <w:rPr>
          <w:rFonts w:ascii="宋体" w:hAnsi="宋体"/>
          <w:b/>
          <w:color w:val="auto"/>
          <w:sz w:val="24"/>
          <w:highlight w:val="none"/>
        </w:rPr>
        <w:t>2.16 通知和送达</w:t>
      </w:r>
      <w:bookmarkEnd w:id="166"/>
      <w:bookmarkEnd w:id="167"/>
      <w:bookmarkEnd w:id="168"/>
      <w:bookmarkEnd w:id="169"/>
      <w:bookmarkEnd w:id="170"/>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bookmarkStart w:id="171" w:name="_Toc18401"/>
      <w:bookmarkStart w:id="172"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71"/>
      <w:bookmarkEnd w:id="172"/>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bookmarkStart w:id="173" w:name="_Toc27644"/>
      <w:bookmarkStart w:id="174" w:name="_Toc12254"/>
      <w:bookmarkStart w:id="175" w:name="_Toc5063"/>
      <w:bookmarkStart w:id="176" w:name="_Toc20808"/>
      <w:bookmarkStart w:id="177"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73"/>
      <w:bookmarkEnd w:id="174"/>
      <w:bookmarkEnd w:id="175"/>
      <w:bookmarkEnd w:id="176"/>
      <w:bookmarkEnd w:id="177"/>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2.18 计量单位</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keepNext w:val="0"/>
        <w:keepLines w:val="0"/>
        <w:pageBreakBefore w:val="0"/>
        <w:widowControl w:val="0"/>
        <w:kinsoku/>
        <w:wordWrap/>
        <w:overflowPunct/>
        <w:topLinePunct w:val="0"/>
        <w:autoSpaceDE/>
        <w:autoSpaceDN/>
        <w:bidi w:val="0"/>
        <w:adjustRightInd w:val="0"/>
        <w:snapToGrid/>
        <w:spacing w:line="530" w:lineRule="exact"/>
        <w:ind w:firstLine="482" w:firstLineChars="200"/>
        <w:textAlignment w:val="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keepNext w:val="0"/>
        <w:keepLines w:val="0"/>
        <w:pageBreakBefore w:val="0"/>
        <w:widowControl w:val="0"/>
        <w:kinsoku/>
        <w:wordWrap/>
        <w:overflowPunct/>
        <w:topLinePunct w:val="0"/>
        <w:autoSpaceDE/>
        <w:autoSpaceDN/>
        <w:bidi w:val="0"/>
        <w:adjustRightInd w:val="0"/>
        <w:snapToGrid/>
        <w:spacing w:line="530" w:lineRule="exact"/>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rPr>
          <w:rFonts w:ascii="宋体" w:hAnsi="宋体" w:cs="宋体"/>
          <w:b/>
          <w:color w:val="auto"/>
          <w:sz w:val="24"/>
          <w:highlight w:val="none"/>
        </w:rPr>
      </w:pPr>
      <w:r>
        <w:rPr>
          <w:rFonts w:hint="eastAsia" w:ascii="宋体" w:hAnsi="宋体" w:cs="宋体"/>
          <w:color w:val="auto"/>
          <w:kern w:val="0"/>
          <w:highlight w:val="none"/>
        </w:rPr>
        <w:br w:type="page"/>
      </w:r>
      <w:bookmarkStart w:id="178" w:name="_Toc26030"/>
      <w:r>
        <w:rPr>
          <w:rFonts w:hint="eastAsia" w:ascii="宋体" w:hAnsi="宋体" w:cs="宋体"/>
          <w:b/>
          <w:color w:val="auto"/>
          <w:sz w:val="24"/>
          <w:highlight w:val="none"/>
        </w:rPr>
        <w:t>第三部分  合同专用条款</w:t>
      </w:r>
      <w:bookmarkEnd w:id="178"/>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在合同生效以及具备实施条件后7个工作日内支付合同金额</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%的预付款；（若在签订合同时，乙方明确表示无需预付款的，甲方可不予支付预付款。预付款支付约定以合同中约定为准。）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（1）在合同生效以及具备实施条件后7个工作日内支付合同金额</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%的预付款；（若在签订合同时，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明确表示无需预付款的，</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可不予支付预付款。预付款支付约定以合同中约定为准。）</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（2）余款在合同生效后的第六个月内支付。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自合同签订之日</w:t>
            </w:r>
            <w:r>
              <w:rPr>
                <w:rFonts w:hint="eastAsia" w:ascii="宋体" w:hAnsi="宋体" w:cs="宋体"/>
                <w:color w:val="auto"/>
                <w:sz w:val="24"/>
                <w:highlight w:val="none"/>
                <w:lang w:val="en-US" w:eastAsia="zh-CN"/>
              </w:rPr>
              <w:t>起一年</w:t>
            </w: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甲方指定地点</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宁波市</w:t>
            </w:r>
            <w:r>
              <w:rPr>
                <w:rFonts w:hint="eastAsia" w:ascii="宋体" w:hAnsi="宋体" w:cs="宋体"/>
                <w:color w:val="auto"/>
                <w:sz w:val="24"/>
                <w:highlight w:val="none"/>
                <w:lang w:val="en-US" w:eastAsia="zh-CN"/>
              </w:rPr>
              <w:t>海曙区。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r>
              <w:rPr>
                <w:rFonts w:hint="eastAsia" w:ascii="宋体" w:hAnsi="宋体" w:eastAsia="宋体" w:cs="宋体"/>
                <w:color w:val="auto"/>
                <w:sz w:val="24"/>
                <w:highlight w:val="none"/>
              </w:rPr>
              <w:t xml:space="preserve"> </w:t>
            </w:r>
          </w:p>
        </w:tc>
        <w:tc>
          <w:tcPr>
            <w:tcW w:w="8149"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按照磋商文件和乙方提供的响应文件及乙方和甲方签订的政府采购合同为标准进行验收。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采购办1份</w:t>
            </w:r>
            <w:r>
              <w:rPr>
                <w:rFonts w:hint="eastAsia" w:ascii="宋体" w:hAnsi="宋体" w:eastAsia="宋体" w:cs="宋体"/>
                <w:color w:val="auto"/>
                <w:sz w:val="24"/>
                <w:highlight w:val="none"/>
              </w:rPr>
              <w:t>。每份均具有同等法律效力。</w:t>
            </w:r>
          </w:p>
        </w:tc>
      </w:tr>
    </w:tbl>
    <w:p>
      <w:pPr>
        <w:rPr>
          <w:color w:val="auto"/>
          <w:highlight w:val="none"/>
        </w:rPr>
      </w:pP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p>
    <w:p>
      <w:pPr>
        <w:rPr>
          <w:rFonts w:cs="仿宋_GB2312" w:asciiTheme="minorEastAsia" w:hAnsiTheme="minorEastAsia" w:eastAsiaTheme="minorEastAsia"/>
          <w:b/>
          <w:color w:val="auto"/>
          <w:sz w:val="36"/>
          <w:szCs w:val="20"/>
          <w:highlight w:val="none"/>
        </w:rPr>
      </w:pPr>
      <w:bookmarkStart w:id="179" w:name="_Toc20617"/>
    </w:p>
    <w:p>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1"/>
      <w:r>
        <w:rPr>
          <w:rFonts w:hint="eastAsia" w:cs="仿宋_GB2312" w:asciiTheme="minorEastAsia" w:hAnsiTheme="minorEastAsia" w:eastAsiaTheme="minorEastAsia"/>
          <w:b/>
          <w:color w:val="auto"/>
          <w:sz w:val="36"/>
          <w:szCs w:val="20"/>
          <w:highlight w:val="none"/>
        </w:rPr>
        <w:t xml:space="preserve">  </w:t>
      </w:r>
      <w:bookmarkEnd w:id="72"/>
      <w:r>
        <w:rPr>
          <w:rFonts w:hint="eastAsia" w:cs="仿宋_GB2312" w:asciiTheme="minorEastAsia" w:hAnsiTheme="minorEastAsia" w:eastAsiaTheme="minorEastAsia"/>
          <w:b/>
          <w:color w:val="auto"/>
          <w:sz w:val="36"/>
          <w:szCs w:val="20"/>
          <w:highlight w:val="none"/>
        </w:rPr>
        <w:t>应提交的有关格式范例</w:t>
      </w:r>
      <w:bookmarkEnd w:id="179"/>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（4）分包意向协议</w:t>
      </w:r>
      <w:r>
        <w:rPr>
          <w:rFonts w:hint="eastAsia" w:cs="仿宋_GB2312" w:asciiTheme="minorEastAsia" w:hAnsiTheme="minorEastAsia" w:eastAsiaTheme="minorEastAsia"/>
          <w:color w:val="auto"/>
          <w:kern w:val="2"/>
          <w:sz w:val="24"/>
          <w:szCs w:val="24"/>
          <w:highlight w:val="none"/>
          <w:lang w:val="en-US" w:eastAsia="zh-CN" w:bidi="ar-SA"/>
        </w:rPr>
        <w:t>……………………………………………………………（页码）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（11）报价文件</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pPr>
        <w:pStyle w:val="105"/>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7.5按照磋商文件的规定，在中标后向采购代理机构一次性支付招标代理服务费。</w:t>
      </w:r>
    </w:p>
    <w:p>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8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8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8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81"/>
      <w:r>
        <w:rPr>
          <w:rFonts w:hint="eastAsia" w:cs="宋体" w:asciiTheme="minorEastAsia" w:hAnsiTheme="minorEastAsia" w:eastAsiaTheme="minorEastAsia"/>
          <w:b/>
          <w:color w:val="auto"/>
          <w:kern w:val="0"/>
          <w:sz w:val="24"/>
          <w:highlight w:val="none"/>
          <w:lang w:val="zh-CN"/>
        </w:rPr>
        <w:t>）</w:t>
      </w:r>
    </w:p>
    <w:p>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8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82"/>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keepNext w:val="0"/>
        <w:keepLines w:val="0"/>
        <w:pageBreakBefore w:val="0"/>
        <w:kinsoku/>
        <w:wordWrap/>
        <w:overflowPunct/>
        <w:topLinePunct w:val="0"/>
        <w:autoSpaceDE/>
        <w:autoSpaceDN/>
        <w:bidi w:val="0"/>
        <w:adjustRightInd w:val="0"/>
        <w:spacing w:line="288"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start="1"/>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keepNext w:val="0"/>
        <w:keepLines w:val="0"/>
        <w:pageBreakBefore w:val="0"/>
        <w:widowControl/>
        <w:kinsoku/>
        <w:wordWrap/>
        <w:overflowPunct/>
        <w:topLinePunct w:val="0"/>
        <w:autoSpaceDE/>
        <w:autoSpaceDN/>
        <w:bidi w:val="0"/>
        <w:adjustRightInd w:val="0"/>
        <w:spacing w:line="288" w:lineRule="auto"/>
        <w:ind w:firstLine="120" w:firstLineChars="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keepNext w:val="0"/>
        <w:keepLines w:val="0"/>
        <w:pageBreakBefore w:val="0"/>
        <w:tabs>
          <w:tab w:val="left" w:pos="432"/>
        </w:tabs>
        <w:kinsoku/>
        <w:wordWrap/>
        <w:overflowPunct/>
        <w:topLinePunct w:val="0"/>
        <w:autoSpaceDE/>
        <w:autoSpaceDN/>
        <w:bidi w:val="0"/>
        <w:adjustRightInd w:val="0"/>
        <w:spacing w:line="288" w:lineRule="auto"/>
        <w:ind w:left="664" w:leftChars="316" w:firstLine="228" w:firstLineChars="95"/>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pPr>
        <w:keepNext w:val="0"/>
        <w:keepLines w:val="0"/>
        <w:pageBreakBefore w:val="0"/>
        <w:kinsoku/>
        <w:wordWrap/>
        <w:overflowPunct/>
        <w:topLinePunct w:val="0"/>
        <w:autoSpaceDE/>
        <w:autoSpaceDN/>
        <w:bidi w:val="0"/>
        <w:adjustRightInd w:val="0"/>
        <w:spacing w:line="288" w:lineRule="auto"/>
        <w:ind w:firstLine="305"/>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keepNext w:val="0"/>
        <w:keepLines w:val="0"/>
        <w:pageBreakBefore w:val="0"/>
        <w:kinsoku/>
        <w:wordWrap/>
        <w:overflowPunct/>
        <w:topLinePunct w:val="0"/>
        <w:autoSpaceDE/>
        <w:autoSpaceDN/>
        <w:bidi w:val="0"/>
        <w:adjustRightInd w:val="0"/>
        <w:spacing w:line="288" w:lineRule="auto"/>
        <w:ind w:firstLine="480" w:firstLineChars="200"/>
        <w:textAlignment w:val="auto"/>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keepNext w:val="0"/>
        <w:keepLines w:val="0"/>
        <w:pageBreakBefore w:val="0"/>
        <w:kinsoku/>
        <w:wordWrap/>
        <w:overflowPunct/>
        <w:topLinePunct w:val="0"/>
        <w:autoSpaceDE/>
        <w:autoSpaceDN/>
        <w:bidi w:val="0"/>
        <w:adjustRightInd w:val="0"/>
        <w:snapToGrid w:val="0"/>
        <w:spacing w:line="288" w:lineRule="auto"/>
        <w:ind w:left="573" w:leftChars="273"/>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keepNext w:val="0"/>
        <w:keepLines w:val="0"/>
        <w:pageBreakBefore w:val="0"/>
        <w:kinsoku/>
        <w:wordWrap/>
        <w:overflowPunct/>
        <w:topLinePunct w:val="0"/>
        <w:autoSpaceDE/>
        <w:autoSpaceDN/>
        <w:bidi w:val="0"/>
        <w:adjustRightInd w:val="0"/>
        <w:snapToGrid w:val="0"/>
        <w:spacing w:line="288" w:lineRule="auto"/>
        <w:ind w:left="5758" w:leftChars="342" w:hanging="5040" w:hangingChars="2100"/>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pPr>
        <w:keepNext w:val="0"/>
        <w:keepLines w:val="0"/>
        <w:pageBreakBefore w:val="0"/>
        <w:kinsoku/>
        <w:wordWrap/>
        <w:overflowPunct/>
        <w:topLinePunct w:val="0"/>
        <w:autoSpaceDE/>
        <w:autoSpaceDN/>
        <w:bidi w:val="0"/>
        <w:adjustRightInd w:val="0"/>
        <w:snapToGrid w:val="0"/>
        <w:spacing w:line="288" w:lineRule="auto"/>
        <w:jc w:val="right"/>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keepNext w:val="0"/>
        <w:keepLines w:val="0"/>
        <w:pageBreakBefore w:val="0"/>
        <w:kinsoku/>
        <w:wordWrap/>
        <w:overflowPunct/>
        <w:topLinePunct w:val="0"/>
        <w:autoSpaceDE/>
        <w:autoSpaceDN/>
        <w:bidi w:val="0"/>
        <w:adjustRightInd w:val="0"/>
        <w:snapToGrid w:val="0"/>
        <w:spacing w:line="288" w:lineRule="auto"/>
        <w:ind w:firstLine="5760" w:firstLineChars="24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keepNext w:val="0"/>
        <w:keepLines w:val="0"/>
        <w:pageBreakBefore w:val="0"/>
        <w:kinsoku/>
        <w:wordWrap/>
        <w:overflowPunct/>
        <w:topLinePunct w:val="0"/>
        <w:autoSpaceDE/>
        <w:autoSpaceDN/>
        <w:bidi w:val="0"/>
        <w:adjustRightInd w:val="0"/>
        <w:spacing w:line="288" w:lineRule="auto"/>
        <w:jc w:val="center"/>
        <w:textAlignment w:val="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cs="宋体"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6"/>
          <w:szCs w:val="36"/>
          <w:highlight w:val="none"/>
          <w:lang w:val="zh-CN"/>
        </w:rPr>
        <w:t>五</w:t>
      </w:r>
      <w:r>
        <w:rPr>
          <w:rFonts w:hint="eastAsia" w:cs="仿宋_GB2312" w:asciiTheme="minorEastAsia" w:hAnsiTheme="minorEastAsia" w:eastAsiaTheme="minorEastAsia"/>
          <w:b/>
          <w:color w:val="auto"/>
          <w:sz w:val="36"/>
          <w:szCs w:val="36"/>
          <w:highlight w:val="none"/>
        </w:rPr>
        <w:t>、中小企业声明函</w:t>
      </w:r>
    </w:p>
    <w:p>
      <w:pPr>
        <w:keepNext w:val="0"/>
        <w:keepLines w:val="0"/>
        <w:pageBreakBefore w:val="0"/>
        <w:widowControl w:val="0"/>
        <w:kinsoku/>
        <w:wordWrap/>
        <w:overflowPunct/>
        <w:topLinePunct w:val="0"/>
        <w:autoSpaceDE/>
        <w:autoSpaceDN/>
        <w:bidi w:val="0"/>
        <w:snapToGrid/>
        <w:spacing w:line="264" w:lineRule="auto"/>
        <w:ind w:firstLine="360" w:firstLineChars="15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设备整体维保</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kern w:val="0"/>
          <w:sz w:val="24"/>
          <w:highlight w:val="none"/>
          <w:u w:val="single"/>
          <w:lang w:val="en-US" w:eastAsia="zh-CN"/>
        </w:rPr>
        <w:t>工业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设备整体维保</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kern w:val="0"/>
          <w:sz w:val="24"/>
          <w:highlight w:val="none"/>
          <w:u w:val="single"/>
          <w:lang w:val="en-US" w:eastAsia="zh-CN"/>
        </w:rPr>
        <w:t>工业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snapToGrid/>
        <w:spacing w:line="264" w:lineRule="auto"/>
        <w:ind w:firstLine="480" w:firstLineChars="200"/>
        <w:jc w:val="lef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snapToGrid/>
        <w:spacing w:line="264" w:lineRule="auto"/>
        <w:ind w:right="1760"/>
        <w:jc w:val="right"/>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keepNext w:val="0"/>
        <w:keepLines w:val="0"/>
        <w:pageBreakBefore w:val="0"/>
        <w:widowControl w:val="0"/>
        <w:kinsoku/>
        <w:wordWrap/>
        <w:overflowPunct/>
        <w:topLinePunct w:val="0"/>
        <w:autoSpaceDE/>
        <w:autoSpaceDN/>
        <w:bidi w:val="0"/>
        <w:snapToGrid/>
        <w:spacing w:line="264" w:lineRule="auto"/>
        <w:ind w:right="1120" w:firstLine="4560" w:firstLineChars="19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keepNext w:val="0"/>
        <w:keepLines w:val="0"/>
        <w:pageBreakBefore w:val="0"/>
        <w:widowControl w:val="0"/>
        <w:kinsoku/>
        <w:wordWrap/>
        <w:overflowPunct/>
        <w:topLinePunct w:val="0"/>
        <w:autoSpaceDE/>
        <w:autoSpaceDN/>
        <w:bidi w:val="0"/>
        <w:snapToGrid/>
        <w:spacing w:line="264" w:lineRule="auto"/>
        <w:ind w:firstLine="310" w:firstLineChars="147"/>
        <w:jc w:val="left"/>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p>
    <w:p>
      <w:pPr>
        <w:keepNext w:val="0"/>
        <w:keepLines w:val="0"/>
        <w:pageBreakBefore w:val="0"/>
        <w:widowControl w:val="0"/>
        <w:kinsoku/>
        <w:wordWrap/>
        <w:overflowPunct/>
        <w:topLinePunct w:val="0"/>
        <w:autoSpaceDE/>
        <w:autoSpaceDN/>
        <w:bidi w:val="0"/>
        <w:snapToGrid/>
        <w:spacing w:line="264" w:lineRule="auto"/>
        <w:ind w:right="42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keepNext w:val="0"/>
        <w:keepLines w:val="0"/>
        <w:pageBreakBefore w:val="0"/>
        <w:widowControl w:val="0"/>
        <w:kinsoku/>
        <w:wordWrap/>
        <w:overflowPunct/>
        <w:topLinePunct w:val="0"/>
        <w:autoSpaceDE/>
        <w:autoSpaceDN/>
        <w:bidi w:val="0"/>
        <w:snapToGrid/>
        <w:spacing w:line="264" w:lineRule="auto"/>
        <w:ind w:right="420"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snapToGrid/>
        <w:spacing w:line="264" w:lineRule="auto"/>
        <w:ind w:right="420" w:firstLine="720" w:firstLineChars="3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snapToGrid/>
        <w:spacing w:line="264" w:lineRule="auto"/>
        <w:ind w:right="420" w:firstLine="723" w:firstLineChars="300"/>
        <w:textAlignment w:val="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w:t>
      </w:r>
      <w:r>
        <w:rPr>
          <w:rFonts w:hint="eastAsia" w:cs="宋体" w:asciiTheme="minorEastAsia" w:hAnsiTheme="minorEastAsia" w:eastAsiaTheme="minorEastAsia"/>
          <w:b/>
          <w:bCs/>
          <w:color w:val="auto"/>
          <w:sz w:val="24"/>
          <w:highlight w:val="none"/>
          <w:lang w:val="en-US"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jc w:val="center"/>
        <w:rPr>
          <w:rFonts w:hint="eastAsia" w:cs="仿宋_GB2312" w:asciiTheme="minorEastAsia" w:hAnsiTheme="minorEastAsia" w:eastAsiaTheme="minorEastAsia"/>
          <w:b/>
          <w:color w:val="auto"/>
          <w:kern w:val="0"/>
          <w:sz w:val="32"/>
          <w:szCs w:val="32"/>
          <w:highlight w:val="none"/>
          <w:lang w:val="zh-CN"/>
        </w:rPr>
      </w:pPr>
    </w:p>
    <w:p>
      <w:pPr>
        <w:spacing w:line="360" w:lineRule="auto"/>
        <w:jc w:val="center"/>
        <w:rPr>
          <w:rFonts w:hint="eastAsia" w:cs="仿宋_GB2312" w:asciiTheme="minorEastAsia" w:hAnsiTheme="minorEastAsia" w:eastAsiaTheme="minorEastAsia"/>
          <w:b/>
          <w:color w:val="auto"/>
          <w:kern w:val="0"/>
          <w:sz w:val="32"/>
          <w:szCs w:val="32"/>
          <w:highlight w:val="none"/>
          <w:lang w:val="zh-CN"/>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六</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、针对本项目《第四部分</w:t>
      </w:r>
      <w:r>
        <w:rPr>
          <w:rFonts w:hint="eastAsia" w:cs="仿宋_GB2312" w:asciiTheme="minorEastAsia" w:hAnsiTheme="minorEastAsia" w:eastAsiaTheme="minorEastAsia"/>
          <w:b/>
          <w:bCs/>
          <w:color w:val="auto"/>
          <w:sz w:val="32"/>
          <w:szCs w:val="32"/>
          <w:highlight w:val="none"/>
          <w:lang w:val="en-US" w:eastAsia="zh-CN"/>
        </w:rPr>
        <w:t xml:space="preserve">  </w:t>
      </w:r>
      <w:r>
        <w:rPr>
          <w:rFonts w:hint="eastAsia" w:cs="仿宋_GB2312" w:asciiTheme="minorEastAsia" w:hAnsiTheme="minorEastAsia" w:eastAsiaTheme="minorEastAsia"/>
          <w:b/>
          <w:bCs/>
          <w:color w:val="auto"/>
          <w:sz w:val="32"/>
          <w:szCs w:val="32"/>
          <w:highlight w:val="none"/>
        </w:rPr>
        <w:t>采购需求》和“第五部分  评审方法及评审标准  评审方法前附表”中的条款拟定完整方案，格式自拟；</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jc w:val="left"/>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一</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449" w:type="dxa"/>
            <w:vAlign w:val="center"/>
          </w:tcPr>
          <w:p>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采购内容</w:t>
            </w:r>
          </w:p>
        </w:tc>
        <w:tc>
          <w:tcPr>
            <w:tcW w:w="1718" w:type="dxa"/>
            <w:vAlign w:val="center"/>
          </w:tcPr>
          <w:p>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3382" w:type="dxa"/>
            <w:vAlign w:val="center"/>
          </w:tcPr>
          <w:p>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449" w:type="dxa"/>
            <w:vAlign w:val="center"/>
          </w:tcPr>
          <w:p>
            <w:pPr>
              <w:snapToGrid w:val="0"/>
              <w:spacing w:before="50" w:after="50" w:line="360" w:lineRule="auto"/>
              <w:ind w:left="420"/>
              <w:jc w:val="center"/>
              <w:textAlignment w:val="baseline"/>
              <w:rPr>
                <w:rFonts w:ascii="宋体" w:hAnsi="宋体" w:cs="宋体"/>
                <w:color w:val="auto"/>
                <w:kern w:val="0"/>
                <w:sz w:val="24"/>
                <w:highlight w:val="none"/>
              </w:rPr>
            </w:pPr>
          </w:p>
        </w:tc>
        <w:tc>
          <w:tcPr>
            <w:tcW w:w="1718" w:type="dxa"/>
            <w:vAlign w:val="center"/>
          </w:tcPr>
          <w:p>
            <w:pPr>
              <w:snapToGrid w:val="0"/>
              <w:spacing w:before="50" w:after="50" w:line="360" w:lineRule="auto"/>
              <w:ind w:left="420"/>
              <w:jc w:val="center"/>
              <w:textAlignment w:val="baseline"/>
              <w:rPr>
                <w:rFonts w:ascii="宋体" w:hAnsi="宋体" w:cs="宋体"/>
                <w:color w:val="auto"/>
                <w:kern w:val="0"/>
                <w:sz w:val="24"/>
                <w:highlight w:val="none"/>
              </w:rPr>
            </w:pPr>
          </w:p>
        </w:tc>
        <w:tc>
          <w:tcPr>
            <w:tcW w:w="3382" w:type="dxa"/>
            <w:vAlign w:val="center"/>
          </w:tcPr>
          <w:p>
            <w:pPr>
              <w:snapToGrid w:val="0"/>
              <w:spacing w:before="50" w:after="50" w:line="360" w:lineRule="auto"/>
              <w:ind w:left="420"/>
              <w:jc w:val="center"/>
              <w:textAlignment w:val="baseline"/>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投标总价（元）</w:t>
            </w:r>
          </w:p>
        </w:tc>
        <w:tc>
          <w:tcPr>
            <w:tcW w:w="5100" w:type="dxa"/>
            <w:gridSpan w:val="2"/>
            <w:vAlign w:val="center"/>
          </w:tcPr>
          <w:p>
            <w:pPr>
              <w:snapToGrid w:val="0"/>
              <w:spacing w:before="50" w:after="50" w:line="360" w:lineRule="auto"/>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小写：</w:t>
            </w:r>
          </w:p>
          <w:p>
            <w:pPr>
              <w:snapToGrid w:val="0"/>
              <w:spacing w:before="50" w:after="50" w:line="360" w:lineRule="auto"/>
              <w:jc w:val="both"/>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pPr>
              <w:snapToGrid w:val="0"/>
              <w:spacing w:before="50" w:after="50"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7549" w:type="dxa"/>
            <w:gridSpan w:val="3"/>
            <w:vAlign w:val="center"/>
          </w:tcPr>
          <w:p>
            <w:pPr>
              <w:snapToGrid w:val="0"/>
              <w:spacing w:before="50" w:after="50" w:line="360" w:lineRule="auto"/>
              <w:ind w:left="420"/>
              <w:jc w:val="both"/>
              <w:textAlignment w:val="baseline"/>
              <w:rPr>
                <w:rFonts w:ascii="宋体" w:hAnsi="宋体" w:cs="宋体"/>
                <w:color w:val="auto"/>
                <w:kern w:val="0"/>
                <w:sz w:val="24"/>
                <w:highlight w:val="none"/>
              </w:rPr>
            </w:pPr>
          </w:p>
        </w:tc>
      </w:tr>
    </w:tbl>
    <w:p>
      <w:pPr>
        <w:snapToGrid w:val="0"/>
        <w:spacing w:before="50" w:after="50" w:line="360" w:lineRule="auto"/>
        <w:ind w:left="420" w:left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注:1、报价一经涂改，应在涂改处加盖单位公章或者由法定代表人或授权代表签字或盖章，否则其投标作无效标处理。</w:t>
      </w:r>
    </w:p>
    <w:p>
      <w:pPr>
        <w:snapToGrid w:val="0"/>
        <w:spacing w:before="50" w:after="50" w:line="360" w:lineRule="auto"/>
        <w:ind w:left="420"/>
        <w:jc w:val="left"/>
        <w:textAlignment w:val="baseline"/>
        <w:rPr>
          <w:rFonts w:ascii="宋体" w:hAnsi="宋体" w:cs="宋体"/>
          <w:color w:val="auto"/>
          <w:kern w:val="0"/>
          <w:sz w:val="24"/>
          <w:highlight w:val="none"/>
        </w:rPr>
      </w:pPr>
    </w:p>
    <w:p>
      <w:pPr>
        <w:snapToGrid w:val="0"/>
        <w:spacing w:before="50" w:after="50" w:line="360" w:lineRule="auto"/>
        <w:ind w:left="420" w:right="-817" w:rightChars="-389"/>
        <w:textAlignment w:val="baseline"/>
        <w:rPr>
          <w:rFonts w:ascii="宋体" w:hAnsi="宋体" w:cs="宋体"/>
          <w:color w:val="auto"/>
          <w:kern w:val="0"/>
          <w:sz w:val="24"/>
          <w:highlight w:val="none"/>
        </w:rPr>
      </w:pPr>
    </w:p>
    <w:p>
      <w:pPr>
        <w:snapToGrid w:val="0"/>
        <w:spacing w:before="50" w:after="50" w:line="360" w:lineRule="auto"/>
        <w:ind w:left="420" w:right="-817" w:rightChars="-389"/>
        <w:textAlignment w:val="baseline"/>
        <w:rPr>
          <w:rFonts w:ascii="宋体" w:hAnsi="宋体" w:cs="宋体"/>
          <w:color w:val="auto"/>
          <w:kern w:val="0"/>
          <w:sz w:val="24"/>
          <w:highlight w:val="none"/>
        </w:rPr>
      </w:pP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pPr>
        <w:widowControl/>
        <w:adjustRightInd/>
        <w:jc w:val="left"/>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p>
    <w:p>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hint="eastAsia" w:cs="仿宋_GB2312" w:asciiTheme="minorEastAsia" w:hAnsiTheme="minorEastAsia" w:eastAsiaTheme="minorEastAsia"/>
          <w:b/>
          <w:color w:val="auto"/>
          <w:sz w:val="24"/>
          <w:highlight w:val="none"/>
        </w:rPr>
      </w:pPr>
    </w:p>
    <w:p>
      <w:pPr>
        <w:spacing w:line="360" w:lineRule="auto"/>
        <w:rPr>
          <w:rFonts w:hint="eastAsia" w:cs="仿宋_GB2312" w:asciiTheme="minorEastAsia" w:hAnsiTheme="minorEastAsia" w:eastAsiaTheme="minorEastAsia"/>
          <w:b/>
          <w:color w:val="auto"/>
          <w:sz w:val="24"/>
          <w:highlight w:val="none"/>
        </w:rPr>
      </w:pPr>
    </w:p>
    <w:p>
      <w:pPr>
        <w:spacing w:line="360" w:lineRule="auto"/>
        <w:rPr>
          <w:rFonts w:hint="eastAsia"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bookmarkStart w:id="183" w:name="_Toc4005"/>
      <w:r>
        <w:rPr>
          <w:rFonts w:hint="eastAsia" w:asciiTheme="minorEastAsia" w:hAnsiTheme="minorEastAsia" w:eastAsiaTheme="minorEastAsia"/>
          <w:b/>
          <w:color w:val="auto"/>
          <w:spacing w:val="6"/>
          <w:sz w:val="32"/>
          <w:szCs w:val="32"/>
          <w:highlight w:val="none"/>
        </w:rPr>
        <w:t>残疾人福利性单位声明函</w:t>
      </w:r>
      <w:bookmarkEnd w:id="183"/>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bookmarkStart w:id="184" w:name="_Toc6811"/>
      <w:r>
        <w:rPr>
          <w:rFonts w:hint="eastAsia" w:asciiTheme="minorEastAsia" w:hAnsiTheme="minorEastAsia" w:eastAsiaTheme="minorEastAsia"/>
          <w:b/>
          <w:bCs/>
          <w:color w:val="auto"/>
          <w:sz w:val="32"/>
          <w:szCs w:val="32"/>
          <w:highlight w:val="none"/>
        </w:rPr>
        <w:t>业务专用章使用说明函</w:t>
      </w:r>
      <w:bookmarkEnd w:id="184"/>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DI0OTFhZGFlZDc0OTlhZjI2NTdiOTJhMDU4ZWI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C0B"/>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791753"/>
    <w:rsid w:val="03836A76"/>
    <w:rsid w:val="039365F4"/>
    <w:rsid w:val="03A82039"/>
    <w:rsid w:val="03DD35E4"/>
    <w:rsid w:val="03E13EF3"/>
    <w:rsid w:val="04285071"/>
    <w:rsid w:val="04536448"/>
    <w:rsid w:val="04C521D6"/>
    <w:rsid w:val="04C738AC"/>
    <w:rsid w:val="04F46392"/>
    <w:rsid w:val="05241004"/>
    <w:rsid w:val="05C77DF1"/>
    <w:rsid w:val="063F4ED6"/>
    <w:rsid w:val="065A6178"/>
    <w:rsid w:val="06823015"/>
    <w:rsid w:val="06BB160E"/>
    <w:rsid w:val="06BC2051"/>
    <w:rsid w:val="06C729BE"/>
    <w:rsid w:val="06E93094"/>
    <w:rsid w:val="075562B7"/>
    <w:rsid w:val="07D63F85"/>
    <w:rsid w:val="07F6164B"/>
    <w:rsid w:val="081B102B"/>
    <w:rsid w:val="087A1B7A"/>
    <w:rsid w:val="08FC2CBB"/>
    <w:rsid w:val="095E0350"/>
    <w:rsid w:val="096B2097"/>
    <w:rsid w:val="098D4402"/>
    <w:rsid w:val="09D53511"/>
    <w:rsid w:val="09D65B51"/>
    <w:rsid w:val="0A36214C"/>
    <w:rsid w:val="0A5B7E63"/>
    <w:rsid w:val="0A7E3AF3"/>
    <w:rsid w:val="0AA73876"/>
    <w:rsid w:val="0AF100FA"/>
    <w:rsid w:val="0B892115"/>
    <w:rsid w:val="0BCF66B4"/>
    <w:rsid w:val="0C436DA2"/>
    <w:rsid w:val="0C4F74B5"/>
    <w:rsid w:val="0C525237"/>
    <w:rsid w:val="0C6D3E1F"/>
    <w:rsid w:val="0C811298"/>
    <w:rsid w:val="0C87121B"/>
    <w:rsid w:val="0CB11F5E"/>
    <w:rsid w:val="0CD45A9E"/>
    <w:rsid w:val="0CF34325"/>
    <w:rsid w:val="0CFD4F83"/>
    <w:rsid w:val="0DE87A43"/>
    <w:rsid w:val="0DE87C01"/>
    <w:rsid w:val="0DEC35A3"/>
    <w:rsid w:val="0DF702FE"/>
    <w:rsid w:val="0E3F698B"/>
    <w:rsid w:val="0E603C3C"/>
    <w:rsid w:val="0F152C78"/>
    <w:rsid w:val="0F21508F"/>
    <w:rsid w:val="0F4A5C7C"/>
    <w:rsid w:val="0F4D75A3"/>
    <w:rsid w:val="0F596A5F"/>
    <w:rsid w:val="0F71038E"/>
    <w:rsid w:val="0F7F08BD"/>
    <w:rsid w:val="0F816ACD"/>
    <w:rsid w:val="0FB94501"/>
    <w:rsid w:val="0FC24482"/>
    <w:rsid w:val="0FC917A6"/>
    <w:rsid w:val="0FE07980"/>
    <w:rsid w:val="0FF46F63"/>
    <w:rsid w:val="10521CAA"/>
    <w:rsid w:val="108557A5"/>
    <w:rsid w:val="10B047CF"/>
    <w:rsid w:val="10B320C7"/>
    <w:rsid w:val="10FC16EA"/>
    <w:rsid w:val="112C42A9"/>
    <w:rsid w:val="11305D77"/>
    <w:rsid w:val="118963A1"/>
    <w:rsid w:val="119A7465"/>
    <w:rsid w:val="1212349F"/>
    <w:rsid w:val="127723A9"/>
    <w:rsid w:val="12EA5817"/>
    <w:rsid w:val="12EB3531"/>
    <w:rsid w:val="13072A44"/>
    <w:rsid w:val="145044FA"/>
    <w:rsid w:val="14882BFE"/>
    <w:rsid w:val="149F4D92"/>
    <w:rsid w:val="14C10AEB"/>
    <w:rsid w:val="14C5643F"/>
    <w:rsid w:val="14CC7587"/>
    <w:rsid w:val="14EA0733"/>
    <w:rsid w:val="156A6FD9"/>
    <w:rsid w:val="15C54CCC"/>
    <w:rsid w:val="15C70A44"/>
    <w:rsid w:val="16753FFC"/>
    <w:rsid w:val="16D32075"/>
    <w:rsid w:val="176875D2"/>
    <w:rsid w:val="17693981"/>
    <w:rsid w:val="176E486F"/>
    <w:rsid w:val="1787214B"/>
    <w:rsid w:val="17B508BE"/>
    <w:rsid w:val="17E76BBB"/>
    <w:rsid w:val="17E86A50"/>
    <w:rsid w:val="17FC0593"/>
    <w:rsid w:val="186742B0"/>
    <w:rsid w:val="1A1A7AA1"/>
    <w:rsid w:val="1A245885"/>
    <w:rsid w:val="1A2F6BB8"/>
    <w:rsid w:val="1A640A2C"/>
    <w:rsid w:val="1A642653"/>
    <w:rsid w:val="1A931D97"/>
    <w:rsid w:val="1AD0620E"/>
    <w:rsid w:val="1AD73295"/>
    <w:rsid w:val="1AE77ACD"/>
    <w:rsid w:val="1AF7062E"/>
    <w:rsid w:val="1B2A271F"/>
    <w:rsid w:val="1B5356BC"/>
    <w:rsid w:val="1B890139"/>
    <w:rsid w:val="1B937A8C"/>
    <w:rsid w:val="1BAC4CC0"/>
    <w:rsid w:val="1BC81072"/>
    <w:rsid w:val="1C387503"/>
    <w:rsid w:val="1C7B2EEB"/>
    <w:rsid w:val="1CF06AD2"/>
    <w:rsid w:val="1D012CF2"/>
    <w:rsid w:val="1D266CE1"/>
    <w:rsid w:val="1D3963AF"/>
    <w:rsid w:val="1D552DD9"/>
    <w:rsid w:val="1D5E3DAF"/>
    <w:rsid w:val="1D5E4BF2"/>
    <w:rsid w:val="1D631052"/>
    <w:rsid w:val="1DB340DC"/>
    <w:rsid w:val="1DD5162B"/>
    <w:rsid w:val="1E220F0E"/>
    <w:rsid w:val="1E714A66"/>
    <w:rsid w:val="1E8C282B"/>
    <w:rsid w:val="1ECE4BF1"/>
    <w:rsid w:val="1EDE0EF1"/>
    <w:rsid w:val="1F5E41C7"/>
    <w:rsid w:val="1F7D3F22"/>
    <w:rsid w:val="1FCB6252"/>
    <w:rsid w:val="1FE868A9"/>
    <w:rsid w:val="204E0106"/>
    <w:rsid w:val="208A0FEC"/>
    <w:rsid w:val="208D63E6"/>
    <w:rsid w:val="20B147CB"/>
    <w:rsid w:val="20D236AA"/>
    <w:rsid w:val="20FD2D5C"/>
    <w:rsid w:val="211E26D6"/>
    <w:rsid w:val="21283D08"/>
    <w:rsid w:val="212B00D9"/>
    <w:rsid w:val="21770172"/>
    <w:rsid w:val="21A32365"/>
    <w:rsid w:val="21AC4002"/>
    <w:rsid w:val="21D2742D"/>
    <w:rsid w:val="22496227"/>
    <w:rsid w:val="225347F9"/>
    <w:rsid w:val="228D0920"/>
    <w:rsid w:val="22AA5FD5"/>
    <w:rsid w:val="23000B70"/>
    <w:rsid w:val="23411E36"/>
    <w:rsid w:val="246B6A3F"/>
    <w:rsid w:val="248F0CA5"/>
    <w:rsid w:val="24D13930"/>
    <w:rsid w:val="25022000"/>
    <w:rsid w:val="25072171"/>
    <w:rsid w:val="25B440B3"/>
    <w:rsid w:val="25F74973"/>
    <w:rsid w:val="264C1A99"/>
    <w:rsid w:val="265C6F87"/>
    <w:rsid w:val="26660C35"/>
    <w:rsid w:val="268F4C66"/>
    <w:rsid w:val="26D72DEE"/>
    <w:rsid w:val="26FB22FC"/>
    <w:rsid w:val="27704DCC"/>
    <w:rsid w:val="277368B3"/>
    <w:rsid w:val="281A2C55"/>
    <w:rsid w:val="28531034"/>
    <w:rsid w:val="28671684"/>
    <w:rsid w:val="28AF104E"/>
    <w:rsid w:val="2917464B"/>
    <w:rsid w:val="297F69B5"/>
    <w:rsid w:val="29D963E3"/>
    <w:rsid w:val="29E8529B"/>
    <w:rsid w:val="2A0F361D"/>
    <w:rsid w:val="2A2F792E"/>
    <w:rsid w:val="2A447297"/>
    <w:rsid w:val="2A461ECF"/>
    <w:rsid w:val="2A7C3754"/>
    <w:rsid w:val="2A8E006F"/>
    <w:rsid w:val="2A922F77"/>
    <w:rsid w:val="2A97058D"/>
    <w:rsid w:val="2A973C48"/>
    <w:rsid w:val="2AA1365A"/>
    <w:rsid w:val="2AB845D9"/>
    <w:rsid w:val="2AC36924"/>
    <w:rsid w:val="2AFE4C0F"/>
    <w:rsid w:val="2B114234"/>
    <w:rsid w:val="2B230073"/>
    <w:rsid w:val="2B316FE6"/>
    <w:rsid w:val="2B4A5938"/>
    <w:rsid w:val="2B691867"/>
    <w:rsid w:val="2B726905"/>
    <w:rsid w:val="2C033818"/>
    <w:rsid w:val="2C1C252C"/>
    <w:rsid w:val="2C9355D3"/>
    <w:rsid w:val="2CE757E2"/>
    <w:rsid w:val="2D7D7BBD"/>
    <w:rsid w:val="2D964B90"/>
    <w:rsid w:val="2DD15014"/>
    <w:rsid w:val="2DDD275B"/>
    <w:rsid w:val="2E02714A"/>
    <w:rsid w:val="2E3A5DFF"/>
    <w:rsid w:val="2E8C7BEE"/>
    <w:rsid w:val="2EC1468C"/>
    <w:rsid w:val="2ECD0A22"/>
    <w:rsid w:val="2EFA0894"/>
    <w:rsid w:val="2EFE3FF7"/>
    <w:rsid w:val="2F117C09"/>
    <w:rsid w:val="2F3B5F94"/>
    <w:rsid w:val="2F4921D6"/>
    <w:rsid w:val="2FBF5CB7"/>
    <w:rsid w:val="2FD25781"/>
    <w:rsid w:val="303D43E8"/>
    <w:rsid w:val="308D42B8"/>
    <w:rsid w:val="30A56294"/>
    <w:rsid w:val="31603DCF"/>
    <w:rsid w:val="3184488C"/>
    <w:rsid w:val="319C6071"/>
    <w:rsid w:val="326928D2"/>
    <w:rsid w:val="32C062B9"/>
    <w:rsid w:val="32DB72BE"/>
    <w:rsid w:val="33270465"/>
    <w:rsid w:val="3332088C"/>
    <w:rsid w:val="33AA7583"/>
    <w:rsid w:val="33FF2461"/>
    <w:rsid w:val="342E63AB"/>
    <w:rsid w:val="34350021"/>
    <w:rsid w:val="345D260B"/>
    <w:rsid w:val="34922517"/>
    <w:rsid w:val="35015EA4"/>
    <w:rsid w:val="351F18AB"/>
    <w:rsid w:val="35C15642"/>
    <w:rsid w:val="365302AE"/>
    <w:rsid w:val="36A53C76"/>
    <w:rsid w:val="36BF0643"/>
    <w:rsid w:val="36D14E27"/>
    <w:rsid w:val="37971BCD"/>
    <w:rsid w:val="37B82092"/>
    <w:rsid w:val="37D76299"/>
    <w:rsid w:val="37DC1FF8"/>
    <w:rsid w:val="37F142D2"/>
    <w:rsid w:val="37F232A7"/>
    <w:rsid w:val="384653A1"/>
    <w:rsid w:val="38ED5EE2"/>
    <w:rsid w:val="390037A2"/>
    <w:rsid w:val="39070352"/>
    <w:rsid w:val="39411006"/>
    <w:rsid w:val="39A13F14"/>
    <w:rsid w:val="39AF752C"/>
    <w:rsid w:val="39D26A29"/>
    <w:rsid w:val="39D30EB6"/>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D672C6"/>
    <w:rsid w:val="417D253C"/>
    <w:rsid w:val="419E7917"/>
    <w:rsid w:val="422B21CE"/>
    <w:rsid w:val="4234249A"/>
    <w:rsid w:val="42950E2F"/>
    <w:rsid w:val="42E1381E"/>
    <w:rsid w:val="43FB717C"/>
    <w:rsid w:val="43FE0BB4"/>
    <w:rsid w:val="44127C9E"/>
    <w:rsid w:val="442B4BD8"/>
    <w:rsid w:val="44535094"/>
    <w:rsid w:val="44606CFA"/>
    <w:rsid w:val="44761D0D"/>
    <w:rsid w:val="447B63D2"/>
    <w:rsid w:val="44D76067"/>
    <w:rsid w:val="45050ABD"/>
    <w:rsid w:val="451E447A"/>
    <w:rsid w:val="45345B76"/>
    <w:rsid w:val="455820D7"/>
    <w:rsid w:val="465B2FA4"/>
    <w:rsid w:val="46A301FD"/>
    <w:rsid w:val="46AC79CB"/>
    <w:rsid w:val="47307808"/>
    <w:rsid w:val="47485D05"/>
    <w:rsid w:val="4821367A"/>
    <w:rsid w:val="483D6C10"/>
    <w:rsid w:val="48650803"/>
    <w:rsid w:val="486F747C"/>
    <w:rsid w:val="487136F8"/>
    <w:rsid w:val="489B410C"/>
    <w:rsid w:val="48D12A65"/>
    <w:rsid w:val="48DB0A12"/>
    <w:rsid w:val="48E938EC"/>
    <w:rsid w:val="48FE0901"/>
    <w:rsid w:val="49103224"/>
    <w:rsid w:val="491C4628"/>
    <w:rsid w:val="49AF2639"/>
    <w:rsid w:val="49E23C4F"/>
    <w:rsid w:val="4A477482"/>
    <w:rsid w:val="4A8A3813"/>
    <w:rsid w:val="4AAC44E4"/>
    <w:rsid w:val="4B4734B2"/>
    <w:rsid w:val="4B5F08CE"/>
    <w:rsid w:val="4B923002"/>
    <w:rsid w:val="4B942AC7"/>
    <w:rsid w:val="4BBB4B4D"/>
    <w:rsid w:val="4BF058F8"/>
    <w:rsid w:val="4C66735D"/>
    <w:rsid w:val="4C7042D7"/>
    <w:rsid w:val="4C986782"/>
    <w:rsid w:val="4CC73F63"/>
    <w:rsid w:val="4CD001EF"/>
    <w:rsid w:val="4CF907DC"/>
    <w:rsid w:val="4CFD094D"/>
    <w:rsid w:val="4D0E24D9"/>
    <w:rsid w:val="4D861CF6"/>
    <w:rsid w:val="4DB63BC5"/>
    <w:rsid w:val="4E0A7A66"/>
    <w:rsid w:val="4E191136"/>
    <w:rsid w:val="4E6F4101"/>
    <w:rsid w:val="4F0516BA"/>
    <w:rsid w:val="4F635510"/>
    <w:rsid w:val="4FE96E05"/>
    <w:rsid w:val="4FF20A93"/>
    <w:rsid w:val="5024286F"/>
    <w:rsid w:val="504F52E3"/>
    <w:rsid w:val="506A1275"/>
    <w:rsid w:val="50874A7C"/>
    <w:rsid w:val="50884351"/>
    <w:rsid w:val="518A3C87"/>
    <w:rsid w:val="519531C9"/>
    <w:rsid w:val="51A0432A"/>
    <w:rsid w:val="51BD04BA"/>
    <w:rsid w:val="51ED6B61"/>
    <w:rsid w:val="527140E5"/>
    <w:rsid w:val="5292508F"/>
    <w:rsid w:val="52A96B6F"/>
    <w:rsid w:val="52C12AF3"/>
    <w:rsid w:val="52EF06B7"/>
    <w:rsid w:val="53081779"/>
    <w:rsid w:val="534704F3"/>
    <w:rsid w:val="53A51893"/>
    <w:rsid w:val="54163A4F"/>
    <w:rsid w:val="541C1980"/>
    <w:rsid w:val="546E1AAF"/>
    <w:rsid w:val="550764A4"/>
    <w:rsid w:val="551926E0"/>
    <w:rsid w:val="552C5181"/>
    <w:rsid w:val="55384597"/>
    <w:rsid w:val="554C3B9F"/>
    <w:rsid w:val="554C72F3"/>
    <w:rsid w:val="55C23E61"/>
    <w:rsid w:val="55CC1183"/>
    <w:rsid w:val="55E262B1"/>
    <w:rsid w:val="56026953"/>
    <w:rsid w:val="561279B9"/>
    <w:rsid w:val="562B40FC"/>
    <w:rsid w:val="563A7E9B"/>
    <w:rsid w:val="56515F3B"/>
    <w:rsid w:val="566D4EB7"/>
    <w:rsid w:val="569478D7"/>
    <w:rsid w:val="569E2C8B"/>
    <w:rsid w:val="56AD44B8"/>
    <w:rsid w:val="56F42740"/>
    <w:rsid w:val="572B71CA"/>
    <w:rsid w:val="585A4825"/>
    <w:rsid w:val="587B0A32"/>
    <w:rsid w:val="587C0268"/>
    <w:rsid w:val="58AE4F0C"/>
    <w:rsid w:val="593E5257"/>
    <w:rsid w:val="594D25DB"/>
    <w:rsid w:val="5963595B"/>
    <w:rsid w:val="59967ADE"/>
    <w:rsid w:val="59A3044D"/>
    <w:rsid w:val="59BB3AC7"/>
    <w:rsid w:val="59C12859"/>
    <w:rsid w:val="5A2A7C7B"/>
    <w:rsid w:val="5A3612C1"/>
    <w:rsid w:val="5A7D61F6"/>
    <w:rsid w:val="5A9304C2"/>
    <w:rsid w:val="5A9801EF"/>
    <w:rsid w:val="5AA004E9"/>
    <w:rsid w:val="5AA4622B"/>
    <w:rsid w:val="5AB02B43"/>
    <w:rsid w:val="5ADA7015"/>
    <w:rsid w:val="5B1E4011"/>
    <w:rsid w:val="5B266C40"/>
    <w:rsid w:val="5B863515"/>
    <w:rsid w:val="5BCA6115"/>
    <w:rsid w:val="5C1D21CA"/>
    <w:rsid w:val="5C517BC1"/>
    <w:rsid w:val="5C80234E"/>
    <w:rsid w:val="5D1846FF"/>
    <w:rsid w:val="5D710D9B"/>
    <w:rsid w:val="5DC50E35"/>
    <w:rsid w:val="5DFB1F5F"/>
    <w:rsid w:val="5E0D40E7"/>
    <w:rsid w:val="5E261785"/>
    <w:rsid w:val="5E3D4525"/>
    <w:rsid w:val="5E856773"/>
    <w:rsid w:val="5E8E6FD6"/>
    <w:rsid w:val="5EC570ED"/>
    <w:rsid w:val="5EF47ABA"/>
    <w:rsid w:val="5FBC7B73"/>
    <w:rsid w:val="5FCC5339"/>
    <w:rsid w:val="5FE70807"/>
    <w:rsid w:val="6061058D"/>
    <w:rsid w:val="606B78FC"/>
    <w:rsid w:val="60C22441"/>
    <w:rsid w:val="60E53485"/>
    <w:rsid w:val="61054A27"/>
    <w:rsid w:val="611D2366"/>
    <w:rsid w:val="614F1DCD"/>
    <w:rsid w:val="620520F1"/>
    <w:rsid w:val="62162A90"/>
    <w:rsid w:val="6220263B"/>
    <w:rsid w:val="622F4EDB"/>
    <w:rsid w:val="624125B1"/>
    <w:rsid w:val="624C506B"/>
    <w:rsid w:val="62885958"/>
    <w:rsid w:val="628E676D"/>
    <w:rsid w:val="631B52B1"/>
    <w:rsid w:val="63534243"/>
    <w:rsid w:val="63865BE5"/>
    <w:rsid w:val="638A7AC5"/>
    <w:rsid w:val="638C30F7"/>
    <w:rsid w:val="64BE4A94"/>
    <w:rsid w:val="64CE2EAA"/>
    <w:rsid w:val="64D771FD"/>
    <w:rsid w:val="64E57C98"/>
    <w:rsid w:val="658F4703"/>
    <w:rsid w:val="662E75B1"/>
    <w:rsid w:val="66342C2E"/>
    <w:rsid w:val="663E784C"/>
    <w:rsid w:val="666D7E19"/>
    <w:rsid w:val="6679056C"/>
    <w:rsid w:val="66D22755"/>
    <w:rsid w:val="66E14363"/>
    <w:rsid w:val="66EB728A"/>
    <w:rsid w:val="67254250"/>
    <w:rsid w:val="675F549A"/>
    <w:rsid w:val="67982C74"/>
    <w:rsid w:val="67C1353F"/>
    <w:rsid w:val="68227E19"/>
    <w:rsid w:val="68294213"/>
    <w:rsid w:val="685867EC"/>
    <w:rsid w:val="68620242"/>
    <w:rsid w:val="68825012"/>
    <w:rsid w:val="689F0032"/>
    <w:rsid w:val="68C66268"/>
    <w:rsid w:val="6A16109D"/>
    <w:rsid w:val="6A184540"/>
    <w:rsid w:val="6A5F3F1C"/>
    <w:rsid w:val="6AD466B8"/>
    <w:rsid w:val="6C0B610A"/>
    <w:rsid w:val="6C2E0D38"/>
    <w:rsid w:val="6C787023"/>
    <w:rsid w:val="6DD83511"/>
    <w:rsid w:val="6DF162FB"/>
    <w:rsid w:val="6E634212"/>
    <w:rsid w:val="6E8E12EF"/>
    <w:rsid w:val="6EAD1141"/>
    <w:rsid w:val="6ECC1F9C"/>
    <w:rsid w:val="6EF05DE0"/>
    <w:rsid w:val="6F187B60"/>
    <w:rsid w:val="6F3230FE"/>
    <w:rsid w:val="6F976270"/>
    <w:rsid w:val="70106F0E"/>
    <w:rsid w:val="702426D0"/>
    <w:rsid w:val="70411BBE"/>
    <w:rsid w:val="709D4A21"/>
    <w:rsid w:val="71C0472B"/>
    <w:rsid w:val="71D43752"/>
    <w:rsid w:val="71FB09CF"/>
    <w:rsid w:val="726E4000"/>
    <w:rsid w:val="729C55B9"/>
    <w:rsid w:val="731E2BC7"/>
    <w:rsid w:val="737E5413"/>
    <w:rsid w:val="73A02DCB"/>
    <w:rsid w:val="73DD6243"/>
    <w:rsid w:val="73DF01DD"/>
    <w:rsid w:val="746C1002"/>
    <w:rsid w:val="749C4185"/>
    <w:rsid w:val="74B35591"/>
    <w:rsid w:val="75461F61"/>
    <w:rsid w:val="75757FCD"/>
    <w:rsid w:val="75B72E5F"/>
    <w:rsid w:val="75DA2C18"/>
    <w:rsid w:val="764D37C3"/>
    <w:rsid w:val="769B7323"/>
    <w:rsid w:val="76FF6024"/>
    <w:rsid w:val="771C566F"/>
    <w:rsid w:val="77287309"/>
    <w:rsid w:val="775319EF"/>
    <w:rsid w:val="7799102B"/>
    <w:rsid w:val="780A0295"/>
    <w:rsid w:val="78187F09"/>
    <w:rsid w:val="78663703"/>
    <w:rsid w:val="788C2381"/>
    <w:rsid w:val="78A60130"/>
    <w:rsid w:val="78B33DB1"/>
    <w:rsid w:val="78C66191"/>
    <w:rsid w:val="78E0091E"/>
    <w:rsid w:val="790F1C77"/>
    <w:rsid w:val="79464C25"/>
    <w:rsid w:val="795A42C6"/>
    <w:rsid w:val="79693A17"/>
    <w:rsid w:val="79953E26"/>
    <w:rsid w:val="79CF78A7"/>
    <w:rsid w:val="79DF6DA1"/>
    <w:rsid w:val="7A036672"/>
    <w:rsid w:val="7A67303B"/>
    <w:rsid w:val="7A9478C2"/>
    <w:rsid w:val="7A9E78D8"/>
    <w:rsid w:val="7AA847FA"/>
    <w:rsid w:val="7AAB1D04"/>
    <w:rsid w:val="7AB94F83"/>
    <w:rsid w:val="7ABA4368"/>
    <w:rsid w:val="7B257FFD"/>
    <w:rsid w:val="7B63305F"/>
    <w:rsid w:val="7B6C1D9F"/>
    <w:rsid w:val="7C2B1DA5"/>
    <w:rsid w:val="7C2C4A62"/>
    <w:rsid w:val="7C662EE9"/>
    <w:rsid w:val="7C75431B"/>
    <w:rsid w:val="7C855696"/>
    <w:rsid w:val="7CD01C43"/>
    <w:rsid w:val="7CDD764F"/>
    <w:rsid w:val="7D4C304B"/>
    <w:rsid w:val="7DAD3FC0"/>
    <w:rsid w:val="7DF4317E"/>
    <w:rsid w:val="7E0906DA"/>
    <w:rsid w:val="7E64308B"/>
    <w:rsid w:val="7EB62437"/>
    <w:rsid w:val="7EF04CF2"/>
    <w:rsid w:val="7F1A58FA"/>
    <w:rsid w:val="7F222CF7"/>
    <w:rsid w:val="7FAB505E"/>
    <w:rsid w:val="7FB76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3"/>
    <w:autoRedefine/>
    <w:qFormat/>
    <w:uiPriority w:val="99"/>
    <w:pPr>
      <w:jc w:val="left"/>
    </w:pPr>
  </w:style>
  <w:style w:type="paragraph" w:styleId="21">
    <w:name w:val="Salutation"/>
    <w:basedOn w:val="1"/>
    <w:next w:val="1"/>
    <w:link w:val="481"/>
    <w:autoRedefine/>
    <w:qFormat/>
    <w:uiPriority w:val="0"/>
    <w:rPr>
      <w:rFonts w:ascii="仿宋_GB2312" w:eastAsia="仿宋_GB2312"/>
      <w:sz w:val="28"/>
      <w:szCs w:val="20"/>
    </w:rPr>
  </w:style>
  <w:style w:type="paragraph" w:styleId="22">
    <w:name w:val="Body Text 3"/>
    <w:basedOn w:val="1"/>
    <w:link w:val="580"/>
    <w:autoRedefine/>
    <w:qFormat/>
    <w:uiPriority w:val="0"/>
    <w:pPr>
      <w:jc w:val="center"/>
    </w:pPr>
    <w:rPr>
      <w:szCs w:val="20"/>
    </w:rPr>
  </w:style>
  <w:style w:type="paragraph" w:styleId="23">
    <w:name w:val="Body Text"/>
    <w:basedOn w:val="1"/>
    <w:next w:val="24"/>
    <w:link w:val="511"/>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4"/>
    <w:autoRedefine/>
    <w:qFormat/>
    <w:uiPriority w:val="0"/>
    <w:pPr>
      <w:ind w:firstLine="420"/>
    </w:pPr>
    <w:rPr>
      <w:szCs w:val="20"/>
    </w:rPr>
  </w:style>
  <w:style w:type="paragraph" w:styleId="25">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7"/>
    <w:autoRedefine/>
    <w:qFormat/>
    <w:uiPriority w:val="0"/>
    <w:pPr>
      <w:ind w:left="100" w:leftChars="2500"/>
    </w:pPr>
    <w:rPr>
      <w:rFonts w:ascii="宋体"/>
      <w:sz w:val="24"/>
      <w:szCs w:val="21"/>
      <w:lang w:val="zh-CN"/>
    </w:rPr>
  </w:style>
  <w:style w:type="paragraph" w:styleId="37">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4"/>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2"/>
    <w:basedOn w:val="25"/>
    <w:next w:val="1"/>
    <w:link w:val="501"/>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样式3"/>
    <w:basedOn w:val="73"/>
    <w:next w:val="1"/>
    <w:autoRedefine/>
    <w:qFormat/>
    <w:uiPriority w:val="0"/>
    <w:pPr>
      <w:tabs>
        <w:tab w:val="left" w:pos="2790"/>
        <w:tab w:val="left" w:pos="4230"/>
      </w:tabs>
      <w:spacing w:before="312" w:beforeLines="100"/>
      <w:jc w:val="left"/>
    </w:pPr>
  </w:style>
  <w:style w:type="paragraph" w:customStyle="1" w:styleId="7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4">
    <w:name w:val="Default"/>
    <w:next w:val="39"/>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4"/>
    <w:next w:val="74"/>
    <w:autoRedefine/>
    <w:qFormat/>
    <w:uiPriority w:val="0"/>
    <w:pPr>
      <w:spacing w:after="68"/>
    </w:pPr>
    <w:rPr>
      <w:rFonts w:ascii="FHLHE E+ Futura Bk" w:eastAsia="FHLHE E+ Futura Bk" w:cs="Times New Roman"/>
      <w:color w:val="auto"/>
    </w:rPr>
  </w:style>
  <w:style w:type="paragraph" w:customStyle="1" w:styleId="10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6"/>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74"/>
    <w:next w:val="74"/>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5"/>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0"/>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字符"/>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5"/>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9"/>
    <w:autoRedefine/>
    <w:qFormat/>
    <w:uiPriority w:val="0"/>
    <w:rPr>
      <w:b/>
      <w:bCs/>
      <w:kern w:val="2"/>
      <w:sz w:val="24"/>
      <w:szCs w:val="24"/>
    </w:rPr>
  </w:style>
  <w:style w:type="character" w:customStyle="1" w:styleId="481">
    <w:name w:val="称呼 字符"/>
    <w:link w:val="21"/>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6"/>
    <w:autoRedefine/>
    <w:qFormat/>
    <w:uiPriority w:val="0"/>
    <w:rPr>
      <w:rFonts w:ascii="Arial" w:hAnsi="Arial" w:eastAsia="隶书"/>
      <w:b/>
      <w:bCs/>
      <w:kern w:val="28"/>
      <w:sz w:val="44"/>
      <w:szCs w:val="32"/>
      <w:lang w:val="en-US" w:eastAsia="zh-CN" w:bidi="ar-SA"/>
    </w:rPr>
  </w:style>
  <w:style w:type="character" w:customStyle="1" w:styleId="488">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文本首行缩进 2 字符"/>
    <w:link w:val="60"/>
    <w:autoRedefine/>
    <w:qFormat/>
    <w:uiPriority w:val="0"/>
    <w:rPr>
      <w:rFonts w:ascii="宋体" w:hAnsi="宋体"/>
      <w:kern w:val="2"/>
      <w:sz w:val="21"/>
      <w:szCs w:val="24"/>
    </w:rPr>
  </w:style>
  <w:style w:type="character" w:customStyle="1" w:styleId="502">
    <w:name w:val="正文文本缩进 2 字符"/>
    <w:link w:val="37"/>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6"/>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24"/>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3"/>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30"/>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7"/>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2"/>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6"/>
    <w:autoRedefine/>
    <w:qFormat/>
    <w:uiPriority w:val="0"/>
    <w:rPr>
      <w:rFonts w:ascii="宋体"/>
      <w:kern w:val="2"/>
      <w:sz w:val="24"/>
      <w:szCs w:val="21"/>
      <w:lang w:val="zh-CN"/>
    </w:rPr>
  </w:style>
  <w:style w:type="character" w:customStyle="1" w:styleId="598">
    <w:name w:val="标题 4 字符"/>
    <w:link w:val="6"/>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8"/>
    <w:autoRedefine/>
    <w:qFormat/>
    <w:uiPriority w:val="0"/>
    <w:rPr>
      <w:rFonts w:ascii="Arial" w:hAnsi="Arial" w:eastAsia="黑体"/>
      <w:b/>
      <w:bCs/>
      <w:kern w:val="2"/>
      <w:sz w:val="24"/>
      <w:szCs w:val="24"/>
    </w:rPr>
  </w:style>
  <w:style w:type="character" w:customStyle="1" w:styleId="612">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20"/>
    <w:autoRedefine/>
    <w:qFormat/>
    <w:uiPriority w:val="99"/>
    <w:rPr>
      <w:kern w:val="2"/>
      <w:sz w:val="21"/>
      <w:szCs w:val="24"/>
    </w:rPr>
  </w:style>
  <w:style w:type="character" w:customStyle="1" w:styleId="614">
    <w:name w:val="批注框文本 字符"/>
    <w:link w:val="38"/>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74"/>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WPSOffice手动目录 1"/>
    <w:autoRedefine/>
    <w:qFormat/>
    <w:uiPriority w:val="0"/>
    <w:rPr>
      <w:rFonts w:ascii="Times New Roman" w:hAnsi="Times New Roman" w:eastAsia="宋体" w:cs="Times New Roman"/>
      <w:lang w:val="en-US" w:eastAsia="zh-CN" w:bidi="ar-SA"/>
    </w:rPr>
  </w:style>
  <w:style w:type="paragraph" w:customStyle="1" w:styleId="632">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3">
    <w:name w:val="正文文本1"/>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634">
    <w:name w:val="null3"/>
    <w:autoRedefine/>
    <w:hidden/>
    <w:qFormat/>
    <w:uiPriority w:val="0"/>
    <w:rPr>
      <w:rFonts w:hint="eastAsia" w:asciiTheme="minorHAnsi" w:hAnsiTheme="minorHAnsi" w:eastAsiaTheme="minorEastAsia" w:cstheme="minorBidi"/>
      <w:lang w:val="en-US" w:eastAsia="zh-Hans"/>
    </w:rPr>
  </w:style>
  <w:style w:type="paragraph" w:customStyle="1" w:styleId="63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86</Pages>
  <Words>41701</Words>
  <Characters>46121</Characters>
  <Lines>353</Lines>
  <Paragraphs>99</Paragraphs>
  <TotalTime>0</TotalTime>
  <ScaleCrop>false</ScaleCrop>
  <LinksUpToDate>false</LinksUpToDate>
  <CharactersWithSpaces>51538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2023-03-28T19:25:00Z</dcterms:created>
  <dc:creator>玥</dc:creator>
  <cp:lastModifiedBy>朱同学。</cp:lastModifiedBy>
  <cp:lastPrinted>2024-04-01T08:13:00Z</cp:lastPrinted>
  <dcterms:modified xsi:type="dcterms:W3CDTF">2024-05-31T02:18:58Z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869A5025391C4599A083E068BA59927C_13</vt:lpwstr>
  </property>
</Properties>
</file>