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932117">
      <w:pPr>
        <w:spacing w:line="360" w:lineRule="auto"/>
        <w:jc w:val="center"/>
        <w:rPr>
          <w:rFonts w:ascii="宋体" w:hAnsi="宋体" w:cs="宋体"/>
          <w:b/>
          <w:color w:val="auto"/>
          <w:sz w:val="24"/>
        </w:rPr>
      </w:pPr>
    </w:p>
    <w:p w14:paraId="12695CE7">
      <w:pPr>
        <w:adjustRightInd/>
        <w:spacing w:line="360" w:lineRule="auto"/>
        <w:jc w:val="center"/>
        <w:rPr>
          <w:rFonts w:ascii="宋体" w:hAnsi="宋体" w:cs="宋体"/>
          <w:b/>
          <w:color w:val="auto"/>
          <w:sz w:val="48"/>
          <w:szCs w:val="48"/>
        </w:rPr>
      </w:pPr>
    </w:p>
    <w:p w14:paraId="6F1DD2D2">
      <w:pPr>
        <w:rPr>
          <w:color w:val="auto"/>
        </w:rPr>
      </w:pPr>
    </w:p>
    <w:p w14:paraId="662DB860">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 xml:space="preserve">招标文件 </w:t>
      </w:r>
    </w:p>
    <w:p w14:paraId="03071EE9">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14:paraId="43397090">
      <w:pPr>
        <w:snapToGrid w:val="0"/>
        <w:spacing w:line="360" w:lineRule="auto"/>
        <w:jc w:val="left"/>
        <w:rPr>
          <w:rFonts w:ascii="宋体" w:hAnsi="宋体" w:cs="宋体"/>
          <w:color w:val="auto"/>
          <w:sz w:val="30"/>
          <w:szCs w:val="30"/>
        </w:rPr>
      </w:pPr>
    </w:p>
    <w:p w14:paraId="0DA02CB1">
      <w:pPr>
        <w:snapToGrid w:val="0"/>
        <w:spacing w:line="360" w:lineRule="auto"/>
        <w:jc w:val="left"/>
        <w:rPr>
          <w:rFonts w:ascii="宋体" w:hAnsi="宋体" w:cs="宋体"/>
          <w:color w:val="auto"/>
          <w:sz w:val="30"/>
          <w:szCs w:val="30"/>
        </w:rPr>
      </w:pPr>
    </w:p>
    <w:p w14:paraId="54DF4DC1">
      <w:pPr>
        <w:snapToGrid w:val="0"/>
        <w:spacing w:line="360" w:lineRule="auto"/>
        <w:jc w:val="left"/>
        <w:rPr>
          <w:rFonts w:ascii="宋体" w:hAnsi="宋体" w:cs="宋体"/>
          <w:color w:val="auto"/>
          <w:sz w:val="30"/>
          <w:szCs w:val="30"/>
        </w:rPr>
      </w:pPr>
      <w:r>
        <w:rPr>
          <w:rFonts w:hint="eastAsia" w:ascii="宋体" w:hAnsi="宋体" w:cs="宋体"/>
          <w:color w:val="auto"/>
          <w:sz w:val="30"/>
          <w:szCs w:val="30"/>
        </w:rPr>
        <w:t xml:space="preserve">项目编号：CBNB-20246753G   </w:t>
      </w:r>
    </w:p>
    <w:p w14:paraId="15B6BB95">
      <w:pPr>
        <w:snapToGrid w:val="0"/>
        <w:spacing w:line="360" w:lineRule="auto"/>
        <w:jc w:val="left"/>
        <w:rPr>
          <w:rFonts w:ascii="宋体" w:hAnsi="宋体" w:cs="宋体"/>
          <w:color w:val="auto"/>
          <w:sz w:val="30"/>
          <w:szCs w:val="30"/>
        </w:rPr>
      </w:pPr>
      <w:r>
        <w:rPr>
          <w:rFonts w:hint="eastAsia" w:ascii="宋体" w:hAnsi="宋体" w:cs="宋体"/>
          <w:color w:val="auto"/>
          <w:sz w:val="30"/>
          <w:szCs w:val="30"/>
        </w:rPr>
        <w:t>项目名称：宁波市医疗中心李惠利医院临床数据库科研平台建设项目</w:t>
      </w:r>
    </w:p>
    <w:p w14:paraId="1E470E22">
      <w:pPr>
        <w:adjustRightInd/>
        <w:spacing w:line="360" w:lineRule="auto"/>
        <w:rPr>
          <w:rFonts w:ascii="宋体" w:hAnsi="宋体" w:cs="宋体"/>
          <w:color w:val="auto"/>
          <w:sz w:val="28"/>
          <w:szCs w:val="20"/>
        </w:rPr>
      </w:pPr>
    </w:p>
    <w:p w14:paraId="26F60160">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14:paraId="469F7D3E">
      <w:pPr>
        <w:spacing w:line="360" w:lineRule="auto"/>
        <w:jc w:val="center"/>
        <w:rPr>
          <w:rFonts w:ascii="宋体" w:hAnsi="宋体" w:cs="宋体"/>
          <w:b/>
          <w:color w:val="auto"/>
          <w:sz w:val="44"/>
          <w:szCs w:val="44"/>
        </w:rPr>
      </w:pPr>
    </w:p>
    <w:p w14:paraId="6F94844B">
      <w:pPr>
        <w:spacing w:line="360" w:lineRule="auto"/>
        <w:jc w:val="center"/>
        <w:rPr>
          <w:rFonts w:ascii="宋体" w:hAnsi="宋体" w:cs="宋体"/>
          <w:color w:val="auto"/>
          <w:sz w:val="24"/>
        </w:rPr>
      </w:pPr>
    </w:p>
    <w:p w14:paraId="2FA42A1B">
      <w:pPr>
        <w:spacing w:line="360" w:lineRule="auto"/>
        <w:rPr>
          <w:rFonts w:ascii="宋体" w:hAnsi="宋体" w:cs="宋体"/>
          <w:color w:val="auto"/>
          <w:sz w:val="32"/>
          <w:szCs w:val="32"/>
        </w:rPr>
      </w:pPr>
    </w:p>
    <w:p w14:paraId="47F02733">
      <w:pPr>
        <w:spacing w:line="360" w:lineRule="auto"/>
        <w:jc w:val="center"/>
        <w:rPr>
          <w:rFonts w:ascii="宋体" w:hAnsi="宋体" w:cs="宋体"/>
          <w:bCs/>
          <w:color w:val="auto"/>
          <w:sz w:val="32"/>
          <w:szCs w:val="32"/>
        </w:rPr>
      </w:pPr>
      <w:r>
        <w:rPr>
          <w:rFonts w:hint="eastAsia" w:ascii="宋体" w:hAnsi="宋体" w:cs="宋体"/>
          <w:bCs/>
          <w:color w:val="auto"/>
          <w:sz w:val="32"/>
          <w:szCs w:val="32"/>
        </w:rPr>
        <w:t>采购人：宁波市医疗中心李惠利医院</w:t>
      </w:r>
    </w:p>
    <w:p w14:paraId="631C9DC0">
      <w:pPr>
        <w:spacing w:line="360" w:lineRule="auto"/>
        <w:jc w:val="center"/>
        <w:rPr>
          <w:rFonts w:ascii="宋体" w:hAnsi="宋体" w:cs="宋体"/>
          <w:bCs/>
          <w:color w:val="auto"/>
          <w:sz w:val="32"/>
          <w:szCs w:val="32"/>
        </w:rPr>
      </w:pPr>
      <w:r>
        <w:rPr>
          <w:rFonts w:hint="eastAsia" w:ascii="宋体" w:hAnsi="宋体" w:cs="宋体"/>
          <w:bCs/>
          <w:color w:val="auto"/>
          <w:sz w:val="32"/>
          <w:szCs w:val="32"/>
        </w:rPr>
        <w:t>采购代理机构：宁波中基国际招标有限公司</w:t>
      </w:r>
    </w:p>
    <w:p w14:paraId="5BDCC0DD">
      <w:pPr>
        <w:snapToGrid w:val="0"/>
        <w:spacing w:line="360" w:lineRule="auto"/>
        <w:jc w:val="center"/>
        <w:rPr>
          <w:rFonts w:ascii="宋体" w:hAnsi="宋体" w:cs="宋体"/>
          <w:bCs/>
          <w:color w:val="auto"/>
          <w:sz w:val="32"/>
          <w:szCs w:val="32"/>
        </w:rPr>
      </w:pPr>
    </w:p>
    <w:p w14:paraId="3EDFD0A0">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二〇二四年十</w:t>
      </w:r>
      <w:r>
        <w:rPr>
          <w:rFonts w:hint="eastAsia" w:ascii="宋体" w:hAnsi="宋体" w:cs="宋体"/>
          <w:bCs/>
          <w:color w:val="auto"/>
          <w:sz w:val="32"/>
          <w:szCs w:val="32"/>
          <w:lang w:val="en-US" w:eastAsia="zh-CN"/>
        </w:rPr>
        <w:t>二</w:t>
      </w:r>
      <w:r>
        <w:rPr>
          <w:rFonts w:hint="eastAsia" w:ascii="宋体" w:hAnsi="宋体" w:cs="宋体"/>
          <w:bCs/>
          <w:color w:val="auto"/>
          <w:sz w:val="32"/>
          <w:szCs w:val="32"/>
        </w:rPr>
        <w:t>月</w:t>
      </w:r>
    </w:p>
    <w:p w14:paraId="2B536B02">
      <w:pPr>
        <w:rPr>
          <w:rFonts w:ascii="宋体" w:hAnsi="宋体" w:cs="宋体"/>
          <w:color w:val="auto"/>
          <w:sz w:val="24"/>
        </w:rPr>
      </w:pPr>
      <w:r>
        <w:rPr>
          <w:rFonts w:hint="eastAsia" w:ascii="宋体" w:hAnsi="宋体" w:cs="宋体"/>
          <w:color w:val="auto"/>
          <w:sz w:val="24"/>
        </w:rPr>
        <w:br w:type="page"/>
      </w:r>
    </w:p>
    <w:p w14:paraId="3A3D003F">
      <w:pPr>
        <w:spacing w:line="360" w:lineRule="auto"/>
        <w:jc w:val="center"/>
        <w:rPr>
          <w:rFonts w:ascii="宋体" w:hAnsi="宋体" w:cs="宋体"/>
          <w:color w:val="auto"/>
          <w:sz w:val="24"/>
        </w:rPr>
      </w:pPr>
      <w:r>
        <w:rPr>
          <w:rFonts w:hint="eastAsia" w:ascii="宋体" w:hAnsi="宋体" w:cs="宋体"/>
          <w:color w:val="auto"/>
          <w:sz w:val="24"/>
        </w:rPr>
        <w:br w:type="page"/>
      </w:r>
      <w:bookmarkStart w:id="0" w:name="_Hlt67893495"/>
      <w:bookmarkEnd w:id="0"/>
    </w:p>
    <w:p w14:paraId="513F4687">
      <w:pPr>
        <w:spacing w:line="360" w:lineRule="auto"/>
        <w:jc w:val="center"/>
        <w:rPr>
          <w:rFonts w:ascii="宋体" w:hAnsi="宋体" w:cs="宋体"/>
          <w:color w:val="auto"/>
          <w:sz w:val="24"/>
        </w:rPr>
      </w:pPr>
    </w:p>
    <w:p w14:paraId="03819A7D">
      <w:pPr>
        <w:spacing w:line="360" w:lineRule="auto"/>
        <w:jc w:val="center"/>
        <w:rPr>
          <w:rFonts w:ascii="宋体" w:hAnsi="宋体" w:cs="宋体"/>
          <w:b/>
          <w:color w:val="auto"/>
          <w:sz w:val="48"/>
          <w:szCs w:val="48"/>
        </w:rPr>
      </w:pPr>
    </w:p>
    <w:p w14:paraId="1E10610A">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sdt>
      <w:sdtPr>
        <w:rPr>
          <w:rFonts w:ascii="宋体" w:hAnsi="宋体"/>
          <w:color w:val="auto"/>
        </w:rPr>
        <w:id w:val="147454320"/>
        <w:docPartObj>
          <w:docPartGallery w:val="Table of Contents"/>
          <w:docPartUnique/>
        </w:docPartObj>
      </w:sdtPr>
      <w:sdtEndPr>
        <w:rPr>
          <w:rFonts w:ascii="宋体" w:hAnsi="宋体" w:cs="宋体"/>
          <w:color w:val="auto"/>
          <w:szCs w:val="32"/>
        </w:rPr>
      </w:sdtEndPr>
      <w:sdtContent>
        <w:p w14:paraId="756775E0">
          <w:pPr>
            <w:jc w:val="center"/>
            <w:rPr>
              <w:color w:val="auto"/>
            </w:rPr>
          </w:pPr>
        </w:p>
        <w:p w14:paraId="1D2209E3">
          <w:pPr>
            <w:pStyle w:val="43"/>
            <w:tabs>
              <w:tab w:val="right" w:leader="dot" w:pos="9070"/>
            </w:tabs>
            <w:spacing w:line="360" w:lineRule="auto"/>
            <w:rPr>
              <w:rFonts w:ascii="宋体" w:hAnsi="宋体" w:cs="宋体"/>
              <w:color w:val="auto"/>
              <w:sz w:val="32"/>
              <w:szCs w:val="32"/>
            </w:rPr>
          </w:pP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TOC \o "1-1" \h \u </w:instrText>
          </w:r>
          <w:r>
            <w:rPr>
              <w:rFonts w:hint="eastAsia" w:ascii="宋体" w:hAnsi="宋体" w:cs="宋体"/>
              <w:color w:val="auto"/>
              <w:sz w:val="32"/>
              <w:szCs w:val="32"/>
            </w:rPr>
            <w:fldChar w:fldCharType="separate"/>
          </w:r>
          <w:r>
            <w:rPr>
              <w:color w:val="auto"/>
            </w:rPr>
            <w:fldChar w:fldCharType="begin"/>
          </w:r>
          <w:r>
            <w:rPr>
              <w:color w:val="auto"/>
            </w:rPr>
            <w:instrText xml:space="preserve"> HYPERLINK \l "_Toc9238" </w:instrText>
          </w:r>
          <w:r>
            <w:rPr>
              <w:color w:val="auto"/>
            </w:rPr>
            <w:fldChar w:fldCharType="separate"/>
          </w:r>
          <w:r>
            <w:rPr>
              <w:rFonts w:hint="eastAsia" w:ascii="宋体" w:hAnsi="宋体" w:cs="宋体"/>
              <w:color w:val="auto"/>
              <w:sz w:val="32"/>
              <w:szCs w:val="32"/>
            </w:rPr>
            <w:t>第一部分  招标公告</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_Toc9238 \h </w:instrText>
          </w:r>
          <w:r>
            <w:rPr>
              <w:rFonts w:hint="eastAsia" w:ascii="宋体" w:hAnsi="宋体" w:cs="宋体"/>
              <w:color w:val="auto"/>
              <w:sz w:val="32"/>
              <w:szCs w:val="32"/>
            </w:rPr>
            <w:fldChar w:fldCharType="separate"/>
          </w:r>
          <w:r>
            <w:rPr>
              <w:rFonts w:hint="eastAsia" w:ascii="宋体" w:hAnsi="宋体" w:cs="宋体"/>
              <w:color w:val="auto"/>
              <w:sz w:val="32"/>
              <w:szCs w:val="32"/>
            </w:rPr>
            <w:t>1</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14:paraId="3DE21884">
          <w:pPr>
            <w:pStyle w:val="43"/>
            <w:tabs>
              <w:tab w:val="right" w:leader="dot" w:pos="9070"/>
            </w:tabs>
            <w:spacing w:line="360" w:lineRule="auto"/>
            <w:rPr>
              <w:rFonts w:ascii="宋体" w:hAnsi="宋体" w:cs="宋体"/>
              <w:color w:val="auto"/>
              <w:sz w:val="32"/>
              <w:szCs w:val="32"/>
            </w:rPr>
          </w:pPr>
          <w:r>
            <w:rPr>
              <w:color w:val="auto"/>
            </w:rPr>
            <w:fldChar w:fldCharType="begin"/>
          </w:r>
          <w:r>
            <w:rPr>
              <w:color w:val="auto"/>
            </w:rPr>
            <w:instrText xml:space="preserve"> HYPERLINK \l "_Toc29691" </w:instrText>
          </w:r>
          <w:r>
            <w:rPr>
              <w:color w:val="auto"/>
            </w:rPr>
            <w:fldChar w:fldCharType="separate"/>
          </w:r>
          <w:r>
            <w:rPr>
              <w:rFonts w:hint="eastAsia" w:ascii="宋体" w:hAnsi="宋体" w:cs="宋体"/>
              <w:color w:val="auto"/>
              <w:sz w:val="32"/>
              <w:szCs w:val="32"/>
            </w:rPr>
            <w:t>第二部分  投标人须知</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_Toc29691 \h </w:instrText>
          </w:r>
          <w:r>
            <w:rPr>
              <w:rFonts w:hint="eastAsia" w:ascii="宋体" w:hAnsi="宋体" w:cs="宋体"/>
              <w:color w:val="auto"/>
              <w:sz w:val="32"/>
              <w:szCs w:val="32"/>
            </w:rPr>
            <w:fldChar w:fldCharType="separate"/>
          </w:r>
          <w:r>
            <w:rPr>
              <w:rFonts w:hint="eastAsia" w:ascii="宋体" w:hAnsi="宋体" w:cs="宋体"/>
              <w:color w:val="auto"/>
              <w:sz w:val="32"/>
              <w:szCs w:val="32"/>
            </w:rPr>
            <w:t>6</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14:paraId="25D34BA2">
          <w:pPr>
            <w:pStyle w:val="43"/>
            <w:tabs>
              <w:tab w:val="right" w:leader="dot" w:pos="9070"/>
            </w:tabs>
            <w:spacing w:line="360" w:lineRule="auto"/>
            <w:rPr>
              <w:rFonts w:ascii="宋体" w:hAnsi="宋体" w:cs="宋体"/>
              <w:color w:val="auto"/>
              <w:sz w:val="32"/>
              <w:szCs w:val="32"/>
            </w:rPr>
          </w:pPr>
          <w:r>
            <w:rPr>
              <w:color w:val="auto"/>
            </w:rPr>
            <w:fldChar w:fldCharType="begin"/>
          </w:r>
          <w:r>
            <w:rPr>
              <w:color w:val="auto"/>
            </w:rPr>
            <w:instrText xml:space="preserve"> HYPERLINK \l "_Toc26044" </w:instrText>
          </w:r>
          <w:r>
            <w:rPr>
              <w:color w:val="auto"/>
            </w:rPr>
            <w:fldChar w:fldCharType="separate"/>
          </w:r>
          <w:r>
            <w:rPr>
              <w:rFonts w:hint="eastAsia" w:ascii="宋体" w:hAnsi="宋体" w:cs="宋体"/>
              <w:color w:val="auto"/>
              <w:sz w:val="32"/>
              <w:szCs w:val="32"/>
            </w:rPr>
            <w:t>第三部分  采购需求</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_Toc26044 \h </w:instrText>
          </w:r>
          <w:r>
            <w:rPr>
              <w:rFonts w:hint="eastAsia" w:ascii="宋体" w:hAnsi="宋体" w:cs="宋体"/>
              <w:color w:val="auto"/>
              <w:sz w:val="32"/>
              <w:szCs w:val="32"/>
            </w:rPr>
            <w:fldChar w:fldCharType="separate"/>
          </w:r>
          <w:r>
            <w:rPr>
              <w:rFonts w:hint="eastAsia" w:ascii="宋体" w:hAnsi="宋体" w:cs="宋体"/>
              <w:color w:val="auto"/>
              <w:sz w:val="32"/>
              <w:szCs w:val="32"/>
            </w:rPr>
            <w:t>23</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14:paraId="36094ADD">
          <w:pPr>
            <w:pStyle w:val="43"/>
            <w:tabs>
              <w:tab w:val="right" w:leader="dot" w:pos="9070"/>
            </w:tabs>
            <w:spacing w:line="360" w:lineRule="auto"/>
            <w:rPr>
              <w:rFonts w:ascii="宋体" w:hAnsi="宋体" w:cs="宋体"/>
              <w:color w:val="auto"/>
              <w:sz w:val="32"/>
              <w:szCs w:val="32"/>
            </w:rPr>
          </w:pPr>
          <w:r>
            <w:rPr>
              <w:color w:val="auto"/>
            </w:rPr>
            <w:fldChar w:fldCharType="begin"/>
          </w:r>
          <w:r>
            <w:rPr>
              <w:color w:val="auto"/>
            </w:rPr>
            <w:instrText xml:space="preserve"> HYPERLINK \l "_Toc18651" </w:instrText>
          </w:r>
          <w:r>
            <w:rPr>
              <w:color w:val="auto"/>
            </w:rPr>
            <w:fldChar w:fldCharType="separate"/>
          </w:r>
          <w:r>
            <w:rPr>
              <w:rFonts w:hint="eastAsia" w:ascii="宋体" w:hAnsi="宋体" w:cs="宋体"/>
              <w:color w:val="auto"/>
              <w:sz w:val="32"/>
              <w:szCs w:val="32"/>
            </w:rPr>
            <w:t>第四部分  评标办法</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_Toc18651 \h </w:instrText>
          </w:r>
          <w:r>
            <w:rPr>
              <w:rFonts w:hint="eastAsia" w:ascii="宋体" w:hAnsi="宋体" w:cs="宋体"/>
              <w:color w:val="auto"/>
              <w:sz w:val="32"/>
              <w:szCs w:val="32"/>
            </w:rPr>
            <w:fldChar w:fldCharType="separate"/>
          </w:r>
          <w:r>
            <w:rPr>
              <w:rFonts w:hint="eastAsia" w:ascii="宋体" w:hAnsi="宋体" w:cs="宋体"/>
              <w:color w:val="auto"/>
              <w:sz w:val="32"/>
              <w:szCs w:val="32"/>
            </w:rPr>
            <w:t>44</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14:paraId="1D89BEED">
          <w:pPr>
            <w:pStyle w:val="43"/>
            <w:tabs>
              <w:tab w:val="right" w:leader="dot" w:pos="9070"/>
            </w:tabs>
            <w:spacing w:line="360" w:lineRule="auto"/>
            <w:rPr>
              <w:rFonts w:ascii="宋体" w:hAnsi="宋体" w:cs="宋体"/>
              <w:color w:val="auto"/>
              <w:sz w:val="32"/>
              <w:szCs w:val="32"/>
            </w:rPr>
          </w:pPr>
          <w:r>
            <w:rPr>
              <w:color w:val="auto"/>
            </w:rPr>
            <w:fldChar w:fldCharType="begin"/>
          </w:r>
          <w:r>
            <w:rPr>
              <w:color w:val="auto"/>
            </w:rPr>
            <w:instrText xml:space="preserve"> HYPERLINK \l "_Toc8264" </w:instrText>
          </w:r>
          <w:r>
            <w:rPr>
              <w:color w:val="auto"/>
            </w:rPr>
            <w:fldChar w:fldCharType="separate"/>
          </w:r>
          <w:r>
            <w:rPr>
              <w:rFonts w:hint="eastAsia" w:ascii="宋体" w:hAnsi="宋体" w:cs="宋体"/>
              <w:color w:val="auto"/>
              <w:sz w:val="32"/>
              <w:szCs w:val="32"/>
            </w:rPr>
            <w:t>第五部分  拟签订的合同文本</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_Toc8264 \h </w:instrText>
          </w:r>
          <w:r>
            <w:rPr>
              <w:rFonts w:hint="eastAsia" w:ascii="宋体" w:hAnsi="宋体" w:cs="宋体"/>
              <w:color w:val="auto"/>
              <w:sz w:val="32"/>
              <w:szCs w:val="32"/>
            </w:rPr>
            <w:fldChar w:fldCharType="separate"/>
          </w:r>
          <w:r>
            <w:rPr>
              <w:rFonts w:hint="eastAsia" w:ascii="宋体" w:hAnsi="宋体" w:cs="宋体"/>
              <w:color w:val="auto"/>
              <w:sz w:val="32"/>
              <w:szCs w:val="32"/>
            </w:rPr>
            <w:t>53</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14:paraId="486E5E3E">
          <w:pPr>
            <w:pStyle w:val="43"/>
            <w:tabs>
              <w:tab w:val="right" w:leader="dot" w:pos="9070"/>
            </w:tabs>
            <w:spacing w:line="360" w:lineRule="auto"/>
            <w:rPr>
              <w:rFonts w:ascii="宋体" w:hAnsi="宋体" w:cs="宋体"/>
              <w:color w:val="auto"/>
              <w:sz w:val="32"/>
              <w:szCs w:val="32"/>
            </w:rPr>
          </w:pPr>
          <w:r>
            <w:rPr>
              <w:color w:val="auto"/>
            </w:rPr>
            <w:fldChar w:fldCharType="begin"/>
          </w:r>
          <w:r>
            <w:rPr>
              <w:color w:val="auto"/>
            </w:rPr>
            <w:instrText xml:space="preserve"> HYPERLINK \l "_Toc22993" </w:instrText>
          </w:r>
          <w:r>
            <w:rPr>
              <w:color w:val="auto"/>
            </w:rPr>
            <w:fldChar w:fldCharType="separate"/>
          </w:r>
          <w:r>
            <w:rPr>
              <w:rFonts w:hint="eastAsia" w:ascii="宋体" w:hAnsi="宋体" w:cs="宋体"/>
              <w:color w:val="auto"/>
              <w:sz w:val="32"/>
              <w:szCs w:val="32"/>
            </w:rPr>
            <w:t>第六部分  应提交的有关格式范例</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_Toc22993 \h </w:instrText>
          </w:r>
          <w:r>
            <w:rPr>
              <w:rFonts w:hint="eastAsia" w:ascii="宋体" w:hAnsi="宋体" w:cs="宋体"/>
              <w:color w:val="auto"/>
              <w:sz w:val="32"/>
              <w:szCs w:val="32"/>
            </w:rPr>
            <w:fldChar w:fldCharType="separate"/>
          </w:r>
          <w:r>
            <w:rPr>
              <w:rFonts w:hint="eastAsia" w:ascii="宋体" w:hAnsi="宋体" w:cs="宋体"/>
              <w:color w:val="auto"/>
              <w:sz w:val="32"/>
              <w:szCs w:val="32"/>
            </w:rPr>
            <w:t>62</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14:paraId="4D2249B0">
          <w:pPr>
            <w:spacing w:line="360" w:lineRule="auto"/>
            <w:rPr>
              <w:rFonts w:ascii="宋体" w:hAnsi="宋体" w:cs="宋体"/>
              <w:color w:val="auto"/>
              <w:sz w:val="32"/>
              <w:szCs w:val="32"/>
            </w:rPr>
          </w:pPr>
          <w:r>
            <w:rPr>
              <w:rFonts w:hint="eastAsia" w:ascii="宋体" w:hAnsi="宋体" w:cs="宋体"/>
              <w:color w:val="auto"/>
              <w:sz w:val="32"/>
              <w:szCs w:val="32"/>
            </w:rPr>
            <w:fldChar w:fldCharType="end"/>
          </w:r>
        </w:p>
      </w:sdtContent>
    </w:sdt>
    <w:p w14:paraId="3771C49F">
      <w:pPr>
        <w:spacing w:line="360" w:lineRule="auto"/>
        <w:rPr>
          <w:rFonts w:ascii="宋体" w:hAnsi="宋体" w:cs="宋体"/>
          <w:color w:val="auto"/>
          <w:sz w:val="32"/>
          <w:szCs w:val="32"/>
        </w:rPr>
      </w:pPr>
    </w:p>
    <w:p w14:paraId="2290DFE1">
      <w:pPr>
        <w:spacing w:line="360" w:lineRule="auto"/>
        <w:rPr>
          <w:rFonts w:ascii="宋体" w:hAnsi="宋体" w:cs="宋体"/>
          <w:color w:val="auto"/>
          <w:sz w:val="32"/>
          <w:szCs w:val="32"/>
        </w:rPr>
      </w:pPr>
    </w:p>
    <w:p w14:paraId="2AE98598">
      <w:pPr>
        <w:spacing w:line="360" w:lineRule="auto"/>
        <w:ind w:firstLine="549" w:firstLineChars="229"/>
        <w:rPr>
          <w:rFonts w:ascii="宋体" w:hAnsi="宋体" w:cs="宋体"/>
          <w:color w:val="auto"/>
          <w:sz w:val="24"/>
        </w:rPr>
      </w:pPr>
      <w:bookmarkStart w:id="1" w:name="_Hlt91233176"/>
      <w:bookmarkEnd w:id="1"/>
      <w:bookmarkStart w:id="2" w:name="_Toc91899869"/>
    </w:p>
    <w:p w14:paraId="5BB6DD4D">
      <w:pPr>
        <w:spacing w:line="360" w:lineRule="auto"/>
        <w:ind w:firstLine="549" w:firstLineChars="229"/>
        <w:rPr>
          <w:rFonts w:ascii="宋体" w:hAnsi="宋体" w:cs="宋体"/>
          <w:color w:val="auto"/>
          <w:sz w:val="24"/>
        </w:rPr>
      </w:pPr>
    </w:p>
    <w:p w14:paraId="1154BEF3">
      <w:pPr>
        <w:spacing w:line="360" w:lineRule="auto"/>
        <w:ind w:firstLine="549" w:firstLineChars="229"/>
        <w:rPr>
          <w:rFonts w:ascii="宋体" w:hAnsi="宋体" w:cs="宋体"/>
          <w:color w:val="auto"/>
          <w:sz w:val="24"/>
        </w:rPr>
      </w:pPr>
    </w:p>
    <w:p w14:paraId="7B2E19EF">
      <w:pPr>
        <w:spacing w:line="360" w:lineRule="auto"/>
        <w:ind w:firstLine="549" w:firstLineChars="229"/>
        <w:rPr>
          <w:rFonts w:ascii="宋体" w:hAnsi="宋体" w:cs="宋体"/>
          <w:color w:val="auto"/>
          <w:sz w:val="24"/>
        </w:rPr>
      </w:pPr>
    </w:p>
    <w:p w14:paraId="32A5E5BA">
      <w:pPr>
        <w:spacing w:line="360" w:lineRule="auto"/>
        <w:ind w:firstLine="549" w:firstLineChars="229"/>
        <w:rPr>
          <w:rFonts w:ascii="宋体" w:hAnsi="宋体" w:cs="宋体"/>
          <w:color w:val="auto"/>
          <w:sz w:val="24"/>
        </w:rPr>
      </w:pPr>
    </w:p>
    <w:p w14:paraId="216AECCF">
      <w:pPr>
        <w:spacing w:line="360" w:lineRule="auto"/>
        <w:ind w:firstLine="549" w:firstLineChars="229"/>
        <w:rPr>
          <w:rFonts w:ascii="宋体" w:hAnsi="宋体" w:cs="宋体"/>
          <w:color w:val="auto"/>
          <w:sz w:val="24"/>
        </w:rPr>
      </w:pPr>
    </w:p>
    <w:p w14:paraId="1E0B8BAE">
      <w:pPr>
        <w:spacing w:line="360" w:lineRule="auto"/>
        <w:ind w:firstLine="549" w:firstLineChars="229"/>
        <w:rPr>
          <w:rFonts w:ascii="宋体" w:hAnsi="宋体" w:cs="宋体"/>
          <w:color w:val="auto"/>
          <w:sz w:val="24"/>
        </w:rPr>
      </w:pPr>
    </w:p>
    <w:p w14:paraId="3BFA5AD1">
      <w:pPr>
        <w:spacing w:line="360" w:lineRule="auto"/>
        <w:ind w:firstLine="549" w:firstLineChars="229"/>
        <w:rPr>
          <w:rFonts w:ascii="宋体" w:hAnsi="宋体" w:cs="宋体"/>
          <w:color w:val="auto"/>
          <w:sz w:val="24"/>
        </w:rPr>
      </w:pPr>
    </w:p>
    <w:p w14:paraId="0E7ADE25">
      <w:pPr>
        <w:spacing w:line="360" w:lineRule="auto"/>
        <w:ind w:firstLine="549" w:firstLineChars="229"/>
        <w:rPr>
          <w:rFonts w:ascii="宋体" w:hAnsi="宋体" w:cs="宋体"/>
          <w:color w:val="auto"/>
          <w:sz w:val="24"/>
        </w:rPr>
      </w:pPr>
    </w:p>
    <w:p w14:paraId="1AA8D93B">
      <w:pPr>
        <w:spacing w:line="360" w:lineRule="auto"/>
        <w:ind w:firstLine="549" w:firstLineChars="229"/>
        <w:rPr>
          <w:rFonts w:ascii="宋体" w:hAnsi="宋体" w:cs="宋体"/>
          <w:color w:val="auto"/>
          <w:sz w:val="24"/>
        </w:rPr>
      </w:pPr>
    </w:p>
    <w:p w14:paraId="5AA27137">
      <w:pPr>
        <w:spacing w:line="360" w:lineRule="auto"/>
        <w:ind w:firstLine="549" w:firstLineChars="229"/>
        <w:rPr>
          <w:rFonts w:ascii="宋体" w:hAnsi="宋体" w:cs="宋体"/>
          <w:color w:val="auto"/>
          <w:sz w:val="24"/>
        </w:rPr>
      </w:pPr>
    </w:p>
    <w:p w14:paraId="24DE4172">
      <w:pPr>
        <w:spacing w:line="360" w:lineRule="auto"/>
        <w:ind w:firstLine="549" w:firstLineChars="229"/>
        <w:rPr>
          <w:rFonts w:ascii="宋体" w:hAnsi="宋体" w:cs="宋体"/>
          <w:color w:val="auto"/>
          <w:sz w:val="24"/>
        </w:rPr>
      </w:pPr>
    </w:p>
    <w:p w14:paraId="7D816C8E">
      <w:pPr>
        <w:spacing w:line="360" w:lineRule="auto"/>
        <w:ind w:firstLine="549" w:firstLineChars="229"/>
        <w:rPr>
          <w:rFonts w:ascii="宋体" w:hAnsi="宋体" w:cs="宋体"/>
          <w:color w:val="auto"/>
          <w:sz w:val="24"/>
        </w:rPr>
      </w:pPr>
    </w:p>
    <w:p w14:paraId="692E81FD">
      <w:pPr>
        <w:spacing w:line="360" w:lineRule="auto"/>
        <w:rPr>
          <w:rFonts w:ascii="宋体" w:hAnsi="宋体" w:cs="宋体"/>
          <w:color w:val="auto"/>
          <w:sz w:val="24"/>
        </w:rPr>
      </w:pPr>
    </w:p>
    <w:bookmarkEnd w:id="2"/>
    <w:p w14:paraId="383DB13C">
      <w:pPr>
        <w:rPr>
          <w:rFonts w:ascii="宋体" w:hAnsi="宋体" w:cs="宋体"/>
          <w:b/>
          <w:color w:val="auto"/>
          <w:sz w:val="36"/>
          <w:szCs w:val="20"/>
        </w:rPr>
      </w:pPr>
      <w:bookmarkStart w:id="3" w:name="_Hlt74728647"/>
      <w:bookmarkEnd w:id="3"/>
      <w:bookmarkStart w:id="4" w:name="_Hlt74707423"/>
      <w:bookmarkEnd w:id="4"/>
      <w:bookmarkStart w:id="5" w:name="_Hlt74649545"/>
      <w:bookmarkEnd w:id="5"/>
      <w:bookmarkStart w:id="6" w:name="_Hlt74729822"/>
      <w:bookmarkEnd w:id="6"/>
      <w:bookmarkStart w:id="7" w:name="第二部分"/>
      <w:bookmarkStart w:id="8" w:name="_Toc91899870"/>
      <w:bookmarkStart w:id="9" w:name="_Toc91899871"/>
      <w:r>
        <w:rPr>
          <w:rFonts w:hint="eastAsia" w:ascii="宋体" w:hAnsi="宋体" w:cs="宋体"/>
          <w:b/>
          <w:color w:val="auto"/>
          <w:sz w:val="36"/>
          <w:szCs w:val="20"/>
        </w:rPr>
        <w:br w:type="page"/>
      </w:r>
    </w:p>
    <w:p w14:paraId="31C51AF9">
      <w:pPr>
        <w:rPr>
          <w:color w:val="auto"/>
        </w:rPr>
      </w:pPr>
      <w:r>
        <w:rPr>
          <w:rFonts w:hint="eastAsia"/>
          <w:color w:val="auto"/>
        </w:rPr>
        <w:br w:type="page"/>
      </w:r>
    </w:p>
    <w:p w14:paraId="2CF90EC8">
      <w:pPr>
        <w:rPr>
          <w:color w:val="auto"/>
        </w:rPr>
        <w:sectPr>
          <w:headerReference r:id="rId4" w:type="first"/>
          <w:headerReference r:id="rId3" w:type="default"/>
          <w:footerReference r:id="rId5" w:type="even"/>
          <w:pgSz w:w="11906" w:h="16838"/>
          <w:pgMar w:top="680" w:right="1418" w:bottom="468" w:left="1418" w:header="851" w:footer="992" w:gutter="0"/>
          <w:cols w:space="720" w:num="1"/>
          <w:titlePg/>
          <w:docGrid w:linePitch="312" w:charSpace="0"/>
        </w:sectPr>
      </w:pPr>
    </w:p>
    <w:p w14:paraId="68CC4BF5">
      <w:pPr>
        <w:adjustRightInd/>
        <w:spacing w:line="360" w:lineRule="auto"/>
        <w:jc w:val="center"/>
        <w:outlineLvl w:val="0"/>
        <w:rPr>
          <w:rFonts w:ascii="宋体" w:hAnsi="宋体" w:cs="宋体"/>
          <w:b/>
          <w:color w:val="auto"/>
          <w:sz w:val="36"/>
          <w:szCs w:val="20"/>
        </w:rPr>
      </w:pPr>
      <w:bookmarkStart w:id="10" w:name="_Toc9238"/>
      <w:r>
        <w:rPr>
          <w:rFonts w:hint="eastAsia" w:ascii="宋体" w:hAnsi="宋体" w:cs="宋体"/>
          <w:b/>
          <w:color w:val="auto"/>
          <w:sz w:val="36"/>
          <w:szCs w:val="20"/>
        </w:rPr>
        <w:t>第一部分 招标公告</w:t>
      </w:r>
      <w:bookmarkEnd w:id="10"/>
    </w:p>
    <w:p w14:paraId="008AE0A2">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14:paraId="6AD8462B">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u w:val="single"/>
        </w:rPr>
        <w:t>（宁波市医疗中心李惠利医院临床数据库科研平台建设项目）</w:t>
      </w:r>
      <w:r>
        <w:rPr>
          <w:rFonts w:hint="eastAsia" w:asciiTheme="minorEastAsia" w:hAnsiTheme="minorEastAsia" w:eastAsiaTheme="minorEastAsia"/>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6"/>
          <w:rFonts w:cs="Times New Roman" w:asciiTheme="minorEastAsia" w:hAnsiTheme="minorEastAsia" w:eastAsiaTheme="minorEastAsia"/>
          <w:snapToGrid/>
          <w:color w:val="auto"/>
          <w:kern w:val="2"/>
          <w:sz w:val="24"/>
          <w:szCs w:val="24"/>
        </w:rPr>
        <w:t>https</w:t>
      </w:r>
      <w:r>
        <w:rPr>
          <w:rStyle w:val="76"/>
          <w:rFonts w:hint="eastAsia" w:cs="Times New Roman" w:asciiTheme="minorEastAsia" w:hAnsiTheme="minorEastAsia" w:eastAsiaTheme="minorEastAsia"/>
          <w:snapToGrid/>
          <w:color w:val="auto"/>
          <w:kern w:val="2"/>
          <w:sz w:val="24"/>
          <w:szCs w:val="24"/>
        </w:rPr>
        <w:t>：</w:t>
      </w:r>
      <w:r>
        <w:rPr>
          <w:rStyle w:val="76"/>
          <w:rFonts w:cs="Times New Roman" w:asciiTheme="minorEastAsia" w:hAnsiTheme="minorEastAsia" w:eastAsiaTheme="minorEastAsia"/>
          <w:snapToGrid/>
          <w:color w:val="auto"/>
          <w:kern w:val="2"/>
          <w:sz w:val="24"/>
          <w:szCs w:val="24"/>
        </w:rPr>
        <w:t>//www.zcygov.cn/）获取（下载）招标文件，并于</w:t>
      </w:r>
      <w:r>
        <w:rPr>
          <w:rStyle w:val="76"/>
          <w:rFonts w:hint="eastAsia" w:cs="Times New Roman" w:asciiTheme="minorEastAsia" w:hAnsiTheme="minorEastAsia" w:eastAsiaTheme="minorEastAsia"/>
          <w:snapToGrid/>
          <w:color w:val="auto"/>
          <w:kern w:val="2"/>
          <w:sz w:val="24"/>
          <w:szCs w:val="24"/>
        </w:rPr>
        <w:t>20</w:t>
      </w:r>
      <w:r>
        <w:rPr>
          <w:rStyle w:val="76"/>
          <w:rFonts w:hint="eastAsia" w:cs="Times New Roman" w:asciiTheme="minorEastAsia" w:hAnsiTheme="minorEastAsia" w:eastAsiaTheme="minorEastAsia"/>
          <w:snapToGrid/>
          <w:color w:val="auto"/>
          <w:kern w:val="2"/>
          <w:sz w:val="24"/>
          <w:szCs w:val="24"/>
          <w:lang w:val="en-US" w:eastAsia="zh-CN"/>
        </w:rPr>
        <w:t>25</w:t>
      </w:r>
      <w:r>
        <w:rPr>
          <w:rStyle w:val="76"/>
          <w:rFonts w:cs="Times New Roman" w:asciiTheme="minorEastAsia" w:hAnsiTheme="minorEastAsia" w:eastAsiaTheme="minorEastAsia"/>
          <w:snapToGrid/>
          <w:color w:val="auto"/>
          <w:kern w:val="2"/>
          <w:sz w:val="24"/>
          <w:szCs w:val="24"/>
        </w:rPr>
        <w:t>年</w:t>
      </w:r>
      <w:r>
        <w:rPr>
          <w:rStyle w:val="76"/>
          <w:rFonts w:hint="eastAsia" w:cs="Times New Roman" w:asciiTheme="minorEastAsia" w:hAnsiTheme="minorEastAsia" w:eastAsiaTheme="minorEastAsia"/>
          <w:snapToGrid/>
          <w:color w:val="auto"/>
          <w:kern w:val="2"/>
          <w:sz w:val="24"/>
          <w:szCs w:val="24"/>
        </w:rPr>
        <w:t xml:space="preserve">  </w:t>
      </w:r>
      <w:r>
        <w:rPr>
          <w:rStyle w:val="76"/>
          <w:rFonts w:hint="eastAsia" w:cs="Times New Roman" w:asciiTheme="minorEastAsia" w:hAnsiTheme="minorEastAsia" w:eastAsiaTheme="minorEastAsia"/>
          <w:snapToGrid/>
          <w:color w:val="auto"/>
          <w:kern w:val="2"/>
          <w:sz w:val="24"/>
          <w:szCs w:val="24"/>
          <w:lang w:val="en-US" w:eastAsia="zh-CN"/>
        </w:rPr>
        <w:t>01</w:t>
      </w:r>
      <w:r>
        <w:rPr>
          <w:rStyle w:val="76"/>
          <w:rFonts w:hint="eastAsia" w:cs="Times New Roman" w:asciiTheme="minorEastAsia" w:hAnsiTheme="minorEastAsia" w:eastAsiaTheme="minorEastAsia"/>
          <w:snapToGrid/>
          <w:color w:val="auto"/>
          <w:kern w:val="2"/>
          <w:sz w:val="24"/>
          <w:szCs w:val="24"/>
        </w:rPr>
        <w:t>月</w:t>
      </w:r>
      <w:r>
        <w:rPr>
          <w:rStyle w:val="76"/>
          <w:rFonts w:hint="eastAsia" w:cs="Times New Roman" w:asciiTheme="minorEastAsia" w:hAnsiTheme="minorEastAsia" w:eastAsiaTheme="minorEastAsia"/>
          <w:snapToGrid/>
          <w:color w:val="auto"/>
          <w:kern w:val="2"/>
          <w:sz w:val="24"/>
          <w:szCs w:val="24"/>
          <w:lang w:val="en-US" w:eastAsia="zh-CN"/>
        </w:rPr>
        <w:t>02</w:t>
      </w:r>
      <w:r>
        <w:rPr>
          <w:rStyle w:val="76"/>
          <w:rFonts w:hint="eastAsia" w:cs="Times New Roman" w:asciiTheme="minorEastAsia" w:hAnsiTheme="minorEastAsia" w:eastAsiaTheme="minorEastAsia"/>
          <w:snapToGrid/>
          <w:color w:val="auto"/>
          <w:kern w:val="2"/>
          <w:sz w:val="24"/>
          <w:szCs w:val="24"/>
        </w:rPr>
        <w:t>日09点00分</w:t>
      </w:r>
      <w:r>
        <w:rPr>
          <w:rStyle w:val="76"/>
          <w:rFonts w:hint="eastAsia" w:cs="Times New Roman" w:asciiTheme="minorEastAsia" w:hAnsiTheme="minorEastAsia" w:eastAsiaTheme="minorEastAsia"/>
          <w:bCs/>
          <w:snapToGrid/>
          <w:color w:val="auto"/>
          <w:kern w:val="2"/>
          <w:sz w:val="24"/>
          <w:szCs w:val="24"/>
        </w:rPr>
        <w:t>00秒</w:t>
      </w:r>
      <w:r>
        <w:rPr>
          <w:rStyle w:val="76"/>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color w:val="auto"/>
          <w:sz w:val="24"/>
        </w:rPr>
        <w:t>（北京时间）前</w:t>
      </w:r>
      <w:r>
        <w:rPr>
          <w:rFonts w:hint="eastAsia" w:asciiTheme="minorEastAsia" w:hAnsiTheme="minorEastAsia" w:eastAsiaTheme="minorEastAsia"/>
          <w:color w:val="auto"/>
          <w:sz w:val="24"/>
        </w:rPr>
        <w:t>递交（上传）投标文件。</w:t>
      </w:r>
    </w:p>
    <w:p w14:paraId="0608DCFB">
      <w:pPr>
        <w:spacing w:line="336" w:lineRule="auto"/>
        <w:rPr>
          <w:rFonts w:ascii="宋体" w:hAnsi="宋体" w:cs="宋体"/>
          <w:b/>
          <w:color w:val="auto"/>
          <w:sz w:val="24"/>
        </w:rPr>
      </w:pPr>
      <w:r>
        <w:rPr>
          <w:rFonts w:hint="eastAsia" w:ascii="宋体" w:hAnsi="宋体" w:cs="宋体"/>
          <w:b/>
          <w:color w:val="auto"/>
          <w:sz w:val="24"/>
        </w:rPr>
        <w:t xml:space="preserve">一、项目基本情况                                            </w:t>
      </w:r>
    </w:p>
    <w:p w14:paraId="1D1243DB">
      <w:pPr>
        <w:spacing w:line="336"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bCs/>
          <w:color w:val="auto"/>
          <w:sz w:val="24"/>
        </w:rPr>
        <w:t>CBNB-20246753G</w:t>
      </w:r>
    </w:p>
    <w:p w14:paraId="60C1E4A6">
      <w:pPr>
        <w:spacing w:line="336"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bCs/>
          <w:color w:val="auto"/>
          <w:sz w:val="24"/>
        </w:rPr>
        <w:t>宁波市医疗中心李惠利医院临床数据库科研平台建设项目</w:t>
      </w:r>
    </w:p>
    <w:p w14:paraId="096DA813">
      <w:pPr>
        <w:spacing w:line="336"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bCs/>
          <w:color w:val="auto"/>
          <w:sz w:val="24"/>
        </w:rPr>
        <w:t>4000000.00</w:t>
      </w:r>
    </w:p>
    <w:p w14:paraId="4ED5865E">
      <w:pPr>
        <w:spacing w:line="336" w:lineRule="auto"/>
        <w:ind w:firstLine="480"/>
        <w:rPr>
          <w:rFonts w:ascii="宋体" w:hAnsi="宋体" w:cs="宋体"/>
          <w:color w:val="auto"/>
          <w:sz w:val="24"/>
        </w:rPr>
      </w:pPr>
      <w:r>
        <w:rPr>
          <w:rFonts w:hint="eastAsia" w:ascii="宋体" w:hAnsi="宋体" w:cs="宋体"/>
          <w:b/>
          <w:color w:val="auto"/>
          <w:sz w:val="24"/>
        </w:rPr>
        <w:t>最高限价（元）：</w:t>
      </w:r>
      <w:r>
        <w:rPr>
          <w:rFonts w:hint="eastAsia" w:ascii="宋体" w:hAnsi="宋体" w:cs="宋体"/>
          <w:bCs/>
          <w:color w:val="auto"/>
          <w:sz w:val="24"/>
        </w:rPr>
        <w:t>4000000.00</w:t>
      </w:r>
    </w:p>
    <w:p w14:paraId="70909717">
      <w:pPr>
        <w:pStyle w:val="7"/>
        <w:spacing w:line="336" w:lineRule="auto"/>
        <w:ind w:firstLine="480"/>
        <w:rPr>
          <w:rFonts w:hAnsi="宋体" w:cs="宋体"/>
          <w:b/>
          <w:color w:val="auto"/>
          <w:sz w:val="24"/>
        </w:rPr>
      </w:pPr>
      <w:r>
        <w:rPr>
          <w:rFonts w:hint="eastAsia" w:hAnsi="宋体" w:cs="宋体"/>
          <w:b/>
          <w:color w:val="auto"/>
          <w:sz w:val="24"/>
        </w:rPr>
        <w:t>采购需求：</w:t>
      </w:r>
    </w:p>
    <w:p w14:paraId="7601507A">
      <w:pPr>
        <w:spacing w:line="360" w:lineRule="auto"/>
        <w:ind w:left="210" w:leftChars="100"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标项名称：</w:t>
      </w:r>
      <w:r>
        <w:rPr>
          <w:rFonts w:hint="eastAsia" w:ascii="宋体" w:hAnsi="宋体" w:cs="宋体"/>
          <w:bCs/>
          <w:color w:val="auto"/>
          <w:sz w:val="24"/>
        </w:rPr>
        <w:t>临床数据库科研平台建设</w:t>
      </w:r>
    </w:p>
    <w:p w14:paraId="2B7953BB">
      <w:pPr>
        <w:spacing w:line="360" w:lineRule="auto"/>
        <w:ind w:left="210" w:leftChars="100"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数量：1项</w:t>
      </w:r>
    </w:p>
    <w:p w14:paraId="688DE6B3">
      <w:pPr>
        <w:spacing w:line="360" w:lineRule="auto"/>
        <w:ind w:left="210" w:leftChars="100"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预算金额（元）：</w:t>
      </w:r>
      <w:r>
        <w:rPr>
          <w:rFonts w:hint="eastAsia" w:ascii="宋体" w:hAnsi="宋体" w:cs="宋体"/>
          <w:bCs/>
          <w:color w:val="auto"/>
          <w:sz w:val="24"/>
        </w:rPr>
        <w:t>4000000.00</w:t>
      </w:r>
    </w:p>
    <w:p w14:paraId="26D862F4">
      <w:pPr>
        <w:spacing w:line="360" w:lineRule="auto"/>
        <w:ind w:left="210" w:leftChars="100"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简要规格描述或项目基本概况介绍、用途：临床数据库科研平台需要能够集成全院范围历史数据和实时数据等</w:t>
      </w:r>
      <w:r>
        <w:rPr>
          <w:rFonts w:hint="eastAsia" w:ascii="宋体" w:hAnsi="宋体" w:cs="宋体"/>
          <w:snapToGrid w:val="0"/>
          <w:color w:val="auto"/>
          <w:kern w:val="28"/>
          <w:sz w:val="24"/>
          <w:szCs w:val="20"/>
          <w:lang w:val="sq-AL"/>
        </w:rPr>
        <w:t>，</w:t>
      </w:r>
      <w:r>
        <w:rPr>
          <w:rFonts w:hint="eastAsia" w:ascii="宋体" w:hAnsi="宋体" w:cs="宋体"/>
          <w:snapToGrid w:val="0"/>
          <w:color w:val="auto"/>
          <w:kern w:val="28"/>
          <w:sz w:val="24"/>
          <w:szCs w:val="20"/>
        </w:rPr>
        <w:t>具体以招标文件第三部分采购需求为准，投标人可点击本公告下方“浏览招标文件”查看采购需求。</w:t>
      </w:r>
    </w:p>
    <w:p w14:paraId="56590321">
      <w:pPr>
        <w:spacing w:line="360" w:lineRule="auto"/>
        <w:ind w:left="210" w:leftChars="100"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备注：组成联合体的成员数量不超过2个。</w:t>
      </w:r>
    </w:p>
    <w:p w14:paraId="2FD9F6AF">
      <w:pPr>
        <w:pStyle w:val="132"/>
        <w:spacing w:before="0" w:line="336" w:lineRule="auto"/>
        <w:ind w:firstLine="482"/>
        <w:rPr>
          <w:rFonts w:ascii="宋体" w:hAnsi="宋体" w:cs="宋体"/>
          <w:color w:val="auto"/>
          <w:szCs w:val="21"/>
        </w:rPr>
      </w:pPr>
      <w:r>
        <w:rPr>
          <w:rFonts w:hint="eastAsia" w:ascii="宋体" w:hAnsi="宋体" w:cs="宋体"/>
          <w:b/>
          <w:color w:val="auto"/>
        </w:rPr>
        <w:t>合同履约期限：</w:t>
      </w:r>
      <w:r>
        <w:rPr>
          <w:rFonts w:hint="eastAsia" w:ascii="宋体" w:hAnsi="宋体" w:cs="宋体"/>
          <w:color w:val="auto"/>
          <w:szCs w:val="21"/>
        </w:rPr>
        <w:t>自合同签订之日起3个月内完成平台定制开发、调试，并通过采购人验收。</w:t>
      </w:r>
    </w:p>
    <w:p w14:paraId="57D96E6A">
      <w:pPr>
        <w:pStyle w:val="7"/>
        <w:spacing w:line="336"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ascii="Wingdings" w:hAnsi="Wingdings" w:cs="宋体"/>
              <w:color w:val="auto"/>
              <w:kern w:val="0"/>
              <w:sz w:val="24"/>
            </w:rPr>
            <w:t></w:t>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ascii="MS Gothic" w:hAnsi="MS Gothic"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4B6DC65A">
      <w:pPr>
        <w:spacing w:line="336" w:lineRule="auto"/>
        <w:rPr>
          <w:rFonts w:ascii="宋体" w:hAnsi="宋体" w:cs="宋体"/>
          <w:b/>
          <w:color w:val="auto"/>
          <w:sz w:val="24"/>
        </w:rPr>
      </w:pPr>
      <w:r>
        <w:rPr>
          <w:rFonts w:hint="eastAsia" w:ascii="宋体" w:hAnsi="宋体" w:cs="宋体"/>
          <w:b/>
          <w:color w:val="auto"/>
          <w:sz w:val="24"/>
        </w:rPr>
        <w:t>二、</w:t>
      </w:r>
      <w:bookmarkStart w:id="11" w:name="_Hlk101132948"/>
      <w:r>
        <w:rPr>
          <w:rFonts w:hint="eastAsia" w:ascii="宋体" w:hAnsi="宋体" w:cs="宋体"/>
          <w:b/>
          <w:color w:val="auto"/>
          <w:sz w:val="24"/>
        </w:rPr>
        <w:t>申请人的资格要求</w:t>
      </w:r>
      <w:bookmarkEnd w:id="11"/>
      <w:r>
        <w:rPr>
          <w:rFonts w:hint="eastAsia" w:ascii="宋体" w:hAnsi="宋体" w:cs="宋体"/>
          <w:b/>
          <w:color w:val="auto"/>
          <w:sz w:val="24"/>
        </w:rPr>
        <w:t>：</w:t>
      </w:r>
    </w:p>
    <w:p w14:paraId="4D5F4F79">
      <w:pPr>
        <w:spacing w:line="336"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14:paraId="5C78BA8F">
      <w:pPr>
        <w:spacing w:line="336" w:lineRule="auto"/>
        <w:ind w:firstLine="480"/>
        <w:rPr>
          <w:rFonts w:ascii="宋体" w:hAnsi="宋体" w:cs="宋体"/>
          <w:snapToGrid w:val="0"/>
          <w:color w:val="auto"/>
          <w:kern w:val="28"/>
          <w:sz w:val="24"/>
          <w:szCs w:val="20"/>
        </w:rPr>
      </w:pP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w:t>
      </w:r>
    </w:p>
    <w:p w14:paraId="1E99E57B">
      <w:pPr>
        <w:spacing w:line="336"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 落实政府采购政策需满足的资格要求：</w:t>
      </w:r>
    </w:p>
    <w:p w14:paraId="110557E2">
      <w:pPr>
        <w:spacing w:line="336"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cs="宋体"/>
              <w:color w:val="auto"/>
              <w:kern w:val="0"/>
              <w:sz w:val="24"/>
            </w:rPr>
            <w:t>☐</w:t>
          </w:r>
        </w:sdtContent>
      </w:sdt>
      <w:r>
        <w:rPr>
          <w:rFonts w:hint="eastAsia" w:ascii="宋体" w:hAnsi="宋体" w:cs="宋体"/>
          <w:color w:val="auto"/>
          <w:sz w:val="24"/>
        </w:rPr>
        <w:t>无；</w:t>
      </w:r>
    </w:p>
    <w:p w14:paraId="1509356C">
      <w:pPr>
        <w:spacing w:line="336" w:lineRule="auto"/>
        <w:ind w:firstLine="480" w:firstLineChars="200"/>
        <w:rPr>
          <w:rFonts w:ascii="宋体" w:hAnsi="宋体" w:cs="宋体"/>
          <w:color w:val="auto"/>
          <w:sz w:val="24"/>
        </w:rPr>
      </w:pPr>
      <w:sdt>
        <w:sdtPr>
          <w:rPr>
            <w:rFonts w:hint="eastAsia" w:ascii="宋体" w:hAnsi="宋体" w:cs="宋体"/>
            <w:color w:val="auto"/>
            <w:kern w:val="0"/>
            <w:sz w:val="24"/>
          </w:rPr>
          <w:id w:val="147454921"/>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eastAsia="MS Gothic" w:cs="宋体"/>
              <w:color w:val="auto"/>
              <w:kern w:val="0"/>
              <w:sz w:val="24"/>
            </w:rPr>
            <w:t></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1D532C2E">
      <w:pPr>
        <w:spacing w:line="336" w:lineRule="auto"/>
        <w:ind w:firstLine="897" w:firstLineChars="374"/>
        <w:rPr>
          <w:rFonts w:ascii="宋体" w:hAnsi="宋体" w:cs="宋体"/>
          <w:color w:val="auto"/>
          <w:sz w:val="24"/>
          <w:u w:val="single"/>
        </w:rPr>
      </w:pPr>
      <w:sdt>
        <w:sdtPr>
          <w:rPr>
            <w:rFonts w:hint="eastAsia" w:ascii="宋体" w:hAnsi="宋体" w:cs="宋体"/>
            <w:color w:val="auto"/>
            <w:kern w:val="0"/>
            <w:sz w:val="24"/>
          </w:rPr>
          <w:id w:val="14746507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eastAsia="MS Gothic" w:cs="宋体"/>
              <w:color w:val="auto"/>
              <w:kern w:val="0"/>
              <w:sz w:val="24"/>
            </w:rPr>
            <w:t></w:t>
          </w:r>
        </w:sdtContent>
      </w:sdt>
      <w:r>
        <w:rPr>
          <w:rFonts w:hint="eastAsia" w:ascii="宋体" w:hAnsi="宋体" w:cs="宋体"/>
          <w:color w:val="auto"/>
          <w:sz w:val="24"/>
        </w:rPr>
        <w:t>服务全部由符合政策要求的中小企业承接，提供中小企业声明函；</w:t>
      </w:r>
    </w:p>
    <w:p w14:paraId="1AD2A02E">
      <w:pPr>
        <w:spacing w:line="336" w:lineRule="auto"/>
        <w:ind w:firstLine="897" w:firstLineChars="374"/>
        <w:rPr>
          <w:rFonts w:ascii="宋体" w:hAnsi="宋体" w:cs="宋体"/>
          <w:color w:val="auto"/>
          <w:sz w:val="24"/>
        </w:rPr>
      </w:pPr>
      <w:sdt>
        <w:sdtPr>
          <w:rPr>
            <w:rFonts w:hint="eastAsia" w:ascii="宋体" w:hAnsi="宋体" w:cs="宋体"/>
            <w:color w:val="auto"/>
            <w:kern w:val="0"/>
            <w:sz w:val="24"/>
          </w:rPr>
          <w:id w:val="147456311"/>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cs="宋体"/>
              <w:color w:val="auto"/>
              <w:kern w:val="0"/>
              <w:sz w:val="24"/>
            </w:rPr>
            <w:t>☐</w:t>
          </w:r>
        </w:sdtContent>
      </w:sdt>
      <w:r>
        <w:rPr>
          <w:rFonts w:hint="eastAsia" w:ascii="宋体" w:hAnsi="宋体" w:cs="宋体"/>
          <w:color w:val="auto"/>
          <w:kern w:val="0"/>
          <w:sz w:val="24"/>
        </w:rPr>
        <w:t>服务</w:t>
      </w:r>
      <w:r>
        <w:rPr>
          <w:rFonts w:hint="eastAsia" w:ascii="宋体" w:hAnsi="宋体" w:cs="宋体"/>
          <w:color w:val="auto"/>
          <w:sz w:val="24"/>
        </w:rPr>
        <w:t>全部由符合政策要求的小微企业承接，提供中小企业声明函；</w:t>
      </w:r>
    </w:p>
    <w:p w14:paraId="1D57B26B">
      <w:pPr>
        <w:spacing w:line="336" w:lineRule="auto"/>
        <w:ind w:firstLine="480" w:firstLineChars="200"/>
        <w:rPr>
          <w:rFonts w:ascii="宋体" w:hAnsi="宋体" w:cs="宋体"/>
          <w:color w:val="auto"/>
          <w:sz w:val="24"/>
        </w:rPr>
      </w:pPr>
      <w:sdt>
        <w:sdtPr>
          <w:rPr>
            <w:rFonts w:hint="eastAsia" w:ascii="宋体" w:hAnsi="宋体" w:cs="宋体"/>
            <w:color w:val="auto"/>
            <w:kern w:val="0"/>
            <w:sz w:val="24"/>
          </w:rPr>
          <w:id w:val="147473136"/>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bookmarkStart w:id="12" w:name="_Hlk101132524"/>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如果投标人本身提供所有标的均由中小企业制造、承建或承接，并相应达到了前述比例要求，视同符合了资格条件，无需再与其他中小企业组成联合体参加政府采购活动，无需提供联合协议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bookmarkEnd w:id="12"/>
    <w:p w14:paraId="48648511">
      <w:pPr>
        <w:spacing w:line="336"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如果投标人本身提供所有标的均由中小企业制造、承建或承接，并相应达到了前述比例要求，视同符合了资格条件，无需再向中小企业分包，无需提供分包意向协议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5351C0FB">
      <w:pPr>
        <w:widowControl/>
        <w:adjustRightInd/>
        <w:spacing w:line="336" w:lineRule="auto"/>
        <w:ind w:firstLine="480" w:firstLineChars="200"/>
        <w:jc w:val="left"/>
        <w:rPr>
          <w:rFonts w:ascii="宋体" w:hAnsi="宋体" w:cs="宋体"/>
          <w:color w:val="auto"/>
          <w:kern w:val="0"/>
          <w:sz w:val="24"/>
        </w:rPr>
      </w:pPr>
      <w:r>
        <w:rPr>
          <w:rFonts w:ascii="宋体" w:hAnsi="宋体" w:cs="宋体"/>
          <w:color w:val="auto"/>
          <w:sz w:val="24"/>
        </w:rPr>
        <w:t>4</w:t>
      </w:r>
      <w:r>
        <w:rPr>
          <w:rFonts w:hint="eastAsia" w:ascii="宋体" w:hAnsi="宋体" w:cs="宋体"/>
          <w:color w:val="auto"/>
          <w:sz w:val="24"/>
        </w:rPr>
        <w:t>.本项目的特定资格要求：无。</w:t>
      </w:r>
    </w:p>
    <w:p w14:paraId="026534EE">
      <w:pPr>
        <w:spacing w:line="336" w:lineRule="auto"/>
        <w:rPr>
          <w:rFonts w:ascii="宋体" w:hAnsi="宋体" w:cs="宋体"/>
          <w:b/>
          <w:color w:val="auto"/>
          <w:sz w:val="24"/>
        </w:rPr>
      </w:pPr>
      <w:r>
        <w:rPr>
          <w:rFonts w:hint="eastAsia" w:ascii="宋体" w:hAnsi="宋体" w:cs="宋体"/>
          <w:b/>
          <w:color w:val="auto"/>
          <w:sz w:val="24"/>
        </w:rPr>
        <w:t xml:space="preserve">三、获取招标文件 </w:t>
      </w:r>
    </w:p>
    <w:p w14:paraId="7FAC3678">
      <w:pPr>
        <w:spacing w:line="336"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cs="宋体" w:asciiTheme="minorEastAsia" w:hAnsiTheme="minorEastAsia" w:eastAsiaTheme="minorEastAsia"/>
          <w:bCs/>
          <w:color w:val="auto"/>
          <w:sz w:val="24"/>
        </w:rPr>
        <w:t>2024年</w:t>
      </w:r>
      <w:r>
        <w:rPr>
          <w:rFonts w:hint="eastAsia" w:cs="宋体" w:asciiTheme="minorEastAsia" w:hAnsiTheme="minorEastAsia" w:eastAsiaTheme="minorEastAsia"/>
          <w:bCs/>
          <w:color w:val="auto"/>
          <w:sz w:val="24"/>
          <w:lang w:val="en-US" w:eastAsia="zh-CN"/>
        </w:rPr>
        <w:t>12</w:t>
      </w:r>
      <w:r>
        <w:rPr>
          <w:rFonts w:hint="eastAsia" w:cs="宋体" w:asciiTheme="minorEastAsia" w:hAnsiTheme="minorEastAsia" w:eastAsiaTheme="minorEastAsia"/>
          <w:bCs/>
          <w:color w:val="auto"/>
          <w:sz w:val="24"/>
        </w:rPr>
        <w:t>月</w:t>
      </w:r>
      <w:r>
        <w:rPr>
          <w:rFonts w:hint="eastAsia" w:cs="宋体" w:asciiTheme="minorEastAsia" w:hAnsiTheme="minorEastAsia" w:eastAsiaTheme="minorEastAsia"/>
          <w:bCs/>
          <w:color w:val="auto"/>
          <w:sz w:val="24"/>
          <w:lang w:val="en-US" w:eastAsia="zh-CN"/>
        </w:rPr>
        <w:t>11</w:t>
      </w:r>
      <w:r>
        <w:rPr>
          <w:rFonts w:hint="eastAsia" w:cs="宋体" w:asciiTheme="minorEastAsia" w:hAnsiTheme="minorEastAsia" w:eastAsiaTheme="minorEastAsia"/>
          <w:bCs/>
          <w:color w:val="auto"/>
          <w:sz w:val="24"/>
        </w:rPr>
        <w:t>日至2024年</w:t>
      </w:r>
      <w:r>
        <w:rPr>
          <w:rFonts w:hint="eastAsia" w:cs="宋体" w:asciiTheme="minorEastAsia" w:hAnsiTheme="minorEastAsia" w:eastAsiaTheme="minorEastAsia"/>
          <w:bCs/>
          <w:color w:val="auto"/>
          <w:sz w:val="24"/>
          <w:lang w:val="en-US" w:eastAsia="zh-CN"/>
        </w:rPr>
        <w:t>12</w:t>
      </w:r>
      <w:r>
        <w:rPr>
          <w:rFonts w:hint="eastAsia" w:cs="宋体" w:asciiTheme="minorEastAsia" w:hAnsiTheme="minorEastAsia" w:eastAsiaTheme="minorEastAsia"/>
          <w:bCs/>
          <w:color w:val="auto"/>
          <w:sz w:val="24"/>
        </w:rPr>
        <w:t>月</w:t>
      </w:r>
      <w:r>
        <w:rPr>
          <w:rFonts w:hint="eastAsia" w:cs="宋体" w:asciiTheme="minorEastAsia" w:hAnsiTheme="minorEastAsia" w:eastAsiaTheme="minorEastAsia"/>
          <w:bCs/>
          <w:color w:val="auto"/>
          <w:sz w:val="24"/>
          <w:lang w:val="en-US" w:eastAsia="zh-CN"/>
        </w:rPr>
        <w:t>19</w:t>
      </w:r>
      <w:r>
        <w:rPr>
          <w:rFonts w:hint="eastAsia" w:cs="宋体" w:asciiTheme="minorEastAsia" w:hAnsiTheme="minorEastAsia" w:eastAsiaTheme="minorEastAsia"/>
          <w:bCs/>
          <w:color w:val="auto"/>
          <w:sz w:val="24"/>
        </w:rPr>
        <w:t>日</w:t>
      </w:r>
      <w:r>
        <w:rPr>
          <w:rFonts w:hint="eastAsia" w:cs="宋体" w:asciiTheme="minorEastAsia" w:hAnsiTheme="minorEastAsia" w:eastAsiaTheme="minorEastAsia"/>
          <w:color w:val="auto"/>
          <w:sz w:val="24"/>
        </w:rPr>
        <w:t>，</w:t>
      </w:r>
      <w:r>
        <w:rPr>
          <w:rFonts w:hint="eastAsia" w:ascii="宋体" w:hAnsi="宋体" w:cs="宋体"/>
          <w:color w:val="auto"/>
          <w:sz w:val="24"/>
        </w:rPr>
        <w:t>每天上午00：00至12：00 ，下午12：00至23：59（北京时间，线上获取法定节假日均可，线下获取文件法定节假日除外）</w:t>
      </w:r>
    </w:p>
    <w:p w14:paraId="0CB299A7">
      <w:pPr>
        <w:spacing w:line="336"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3ABD500B">
      <w:pPr>
        <w:spacing w:line="336"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投标人登录政采云平台https：//www.zcygov.cn/在线申请获取招标文件（进入“项目采购”应用，在获取招标文件菜单中选择项目，申请获取招标文件）。 </w:t>
      </w:r>
    </w:p>
    <w:p w14:paraId="0BB48E91">
      <w:pPr>
        <w:spacing w:line="336"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p>
    <w:p w14:paraId="28CDF89D">
      <w:pPr>
        <w:spacing w:line="336"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00C771C3">
      <w:pPr>
        <w:spacing w:line="336"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01</w:t>
      </w:r>
      <w:r>
        <w:rPr>
          <w:rFonts w:hint="eastAsia" w:ascii="宋体" w:hAnsi="宋体" w:cs="宋体"/>
          <w:color w:val="auto"/>
          <w:sz w:val="24"/>
          <w:u w:val="single"/>
        </w:rPr>
        <w:t>月</w:t>
      </w:r>
      <w:r>
        <w:rPr>
          <w:rFonts w:hint="eastAsia" w:ascii="宋体" w:hAnsi="宋体" w:cs="宋体"/>
          <w:color w:val="auto"/>
          <w:sz w:val="24"/>
          <w:u w:val="single"/>
          <w:lang w:val="en-US" w:eastAsia="zh-CN"/>
        </w:rPr>
        <w:t>02</w:t>
      </w:r>
      <w:r>
        <w:rPr>
          <w:rFonts w:hint="eastAsia" w:ascii="宋体" w:hAnsi="宋体" w:cs="宋体"/>
          <w:color w:val="auto"/>
          <w:sz w:val="24"/>
          <w:u w:val="single"/>
        </w:rPr>
        <w:t>日09点00分00秒</w:t>
      </w:r>
      <w:r>
        <w:rPr>
          <w:rFonts w:hint="eastAsia" w:ascii="宋体" w:hAnsi="宋体" w:cs="宋体"/>
          <w:color w:val="auto"/>
          <w:sz w:val="24"/>
        </w:rPr>
        <w:t>（北京时间）</w:t>
      </w:r>
    </w:p>
    <w:p w14:paraId="7E63E754">
      <w:pPr>
        <w:spacing w:line="336"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Theme="minorEastAsia" w:hAnsiTheme="minorEastAsia" w:eastAsiaTheme="minorEastAsia"/>
          <w:color w:val="auto"/>
          <w:sz w:val="24"/>
        </w:rPr>
        <w:t>政府采购云平台（http：//www.zcygov.cn/）。</w:t>
      </w:r>
    </w:p>
    <w:p w14:paraId="59AE8923">
      <w:pPr>
        <w:spacing w:line="336"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01</w:t>
      </w:r>
      <w:r>
        <w:rPr>
          <w:rFonts w:hint="eastAsia" w:ascii="宋体" w:hAnsi="宋体" w:cs="宋体"/>
          <w:color w:val="auto"/>
          <w:sz w:val="24"/>
          <w:u w:val="single"/>
        </w:rPr>
        <w:t>月</w:t>
      </w:r>
      <w:r>
        <w:rPr>
          <w:rFonts w:hint="eastAsia" w:ascii="宋体" w:hAnsi="宋体" w:cs="宋体"/>
          <w:color w:val="auto"/>
          <w:sz w:val="24"/>
          <w:u w:val="single"/>
          <w:lang w:val="en-US" w:eastAsia="zh-CN"/>
        </w:rPr>
        <w:t>02</w:t>
      </w:r>
      <w:r>
        <w:rPr>
          <w:rFonts w:hint="eastAsia" w:ascii="宋体" w:hAnsi="宋体" w:cs="宋体"/>
          <w:color w:val="auto"/>
          <w:sz w:val="24"/>
          <w:u w:val="single"/>
        </w:rPr>
        <w:t>日09点00分00秒</w:t>
      </w:r>
    </w:p>
    <w:p w14:paraId="17CFE041">
      <w:pPr>
        <w:spacing w:line="336"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Theme="minorEastAsia" w:hAnsiTheme="minorEastAsia" w:eastAsiaTheme="minorEastAsia"/>
          <w:color w:val="auto"/>
          <w:sz w:val="24"/>
        </w:rPr>
        <w:t>政府采购云平台（http：//www.zcygov.cn/）。</w:t>
      </w:r>
    </w:p>
    <w:p w14:paraId="1CDADD9B">
      <w:pPr>
        <w:spacing w:line="336" w:lineRule="auto"/>
        <w:rPr>
          <w:rFonts w:ascii="宋体" w:hAnsi="宋体" w:cs="宋体"/>
          <w:color w:val="auto"/>
          <w:sz w:val="24"/>
        </w:rPr>
      </w:pPr>
      <w:r>
        <w:rPr>
          <w:rFonts w:hint="eastAsia" w:ascii="宋体" w:hAnsi="宋体" w:cs="宋体"/>
          <w:b/>
          <w:color w:val="auto"/>
          <w:sz w:val="24"/>
        </w:rPr>
        <w:t xml:space="preserve">五、公告期限 </w:t>
      </w:r>
    </w:p>
    <w:p w14:paraId="13743B6F">
      <w:pPr>
        <w:spacing w:line="336"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6D18C6AC">
      <w:pPr>
        <w:spacing w:line="336" w:lineRule="auto"/>
        <w:rPr>
          <w:rFonts w:ascii="宋体" w:hAnsi="宋体" w:cs="宋体"/>
          <w:b/>
          <w:color w:val="auto"/>
          <w:sz w:val="24"/>
        </w:rPr>
      </w:pPr>
      <w:r>
        <w:rPr>
          <w:rFonts w:hint="eastAsia" w:ascii="宋体" w:hAnsi="宋体" w:cs="宋体"/>
          <w:b/>
          <w:color w:val="auto"/>
          <w:sz w:val="24"/>
        </w:rPr>
        <w:t>六、其他补充事宜</w:t>
      </w:r>
    </w:p>
    <w:p w14:paraId="6A8A9AE9">
      <w:pPr>
        <w:spacing w:line="336" w:lineRule="auto"/>
        <w:ind w:firstLine="480" w:firstLineChars="200"/>
        <w:rPr>
          <w:rFonts w:ascii="宋体" w:hAnsi="宋体" w:cs="宋体"/>
          <w:color w:val="auto"/>
          <w:sz w:val="24"/>
        </w:rPr>
      </w:pPr>
      <w:r>
        <w:rPr>
          <w:rFonts w:hint="eastAsia" w:ascii="宋体" w:hAnsi="宋体" w:cs="宋体"/>
          <w:color w:val="auto"/>
          <w:sz w:val="24"/>
        </w:rPr>
        <w:t xml:space="preserve"> 1.</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14:paraId="6265C22C">
      <w:pPr>
        <w:spacing w:line="336"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投标人在线提起询问，路径为：政采云-项目采购-询问质疑投诉-询问列表：鼓励投标人在线提起质疑，路径为：政采云-项目采购-询问质疑投诉-质疑列表。质疑投标人对在线质疑答复不满意的，可在线提起投诉，路径为：浙江政府服务网-政府采购投诉处理-在线办理。</w:t>
      </w:r>
    </w:p>
    <w:p w14:paraId="74D6F08A">
      <w:pPr>
        <w:spacing w:line="336" w:lineRule="auto"/>
        <w:ind w:firstLine="480" w:firstLineChars="200"/>
        <w:rPr>
          <w:rFonts w:ascii="宋体" w:hAnsi="宋体" w:cs="宋体"/>
          <w:color w:val="auto"/>
          <w:sz w:val="24"/>
        </w:rPr>
      </w:pPr>
      <w:r>
        <w:rPr>
          <w:rFonts w:hint="eastAsia" w:ascii="宋体" w:hAnsi="宋体" w:cs="宋体"/>
          <w:color w:val="auto"/>
          <w:sz w:val="24"/>
        </w:rPr>
        <w:t>3.投标人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4D6E72C">
      <w:pPr>
        <w:spacing w:line="336" w:lineRule="auto"/>
        <w:ind w:firstLine="480" w:firstLineChars="200"/>
        <w:rPr>
          <w:rFonts w:ascii="宋体" w:hAnsi="宋体" w:cs="宋体"/>
          <w:color w:val="auto"/>
          <w:sz w:val="24"/>
        </w:rPr>
      </w:pPr>
      <w:r>
        <w:rPr>
          <w:rFonts w:hint="eastAsia" w:ascii="宋体" w:hAnsi="宋体" w:cs="宋体"/>
          <w:color w:val="auto"/>
          <w:sz w:val="24"/>
        </w:rPr>
        <w:t>4.其他事项：</w:t>
      </w:r>
    </w:p>
    <w:p w14:paraId="736F8BBA">
      <w:pPr>
        <w:spacing w:line="336" w:lineRule="auto"/>
        <w:ind w:firstLine="480" w:firstLineChars="200"/>
        <w:rPr>
          <w:rFonts w:ascii="宋体" w:hAnsi="宋体" w:cs="宋体"/>
          <w:color w:val="auto"/>
          <w:sz w:val="24"/>
        </w:rPr>
      </w:pPr>
      <w:r>
        <w:rPr>
          <w:rFonts w:hint="eastAsia" w:ascii="宋体" w:hAnsi="宋体" w:cs="宋体"/>
          <w:color w:val="auto"/>
          <w:sz w:val="24"/>
        </w:rPr>
        <w:t>（1）需要落实的政府采购政策：包括节约资源、保护环境、支持创新、促进中小企业发展等。详见招标文件的第二部分总则。</w:t>
      </w:r>
    </w:p>
    <w:p w14:paraId="19504B72">
      <w:pPr>
        <w:spacing w:line="336" w:lineRule="auto"/>
        <w:ind w:firstLine="480" w:firstLineChars="200"/>
        <w:rPr>
          <w:rFonts w:ascii="宋体" w:hAnsi="宋体" w:cs="宋体"/>
          <w:color w:val="auto"/>
          <w:sz w:val="24"/>
        </w:rPr>
      </w:pPr>
      <w:r>
        <w:rPr>
          <w:rFonts w:hint="eastAsia" w:ascii="宋体" w:hAnsi="宋体" w:cs="宋体"/>
          <w:color w:val="auto"/>
          <w:sz w:val="24"/>
        </w:rPr>
        <w:t>（2）电子招投标的说明：①电子招投标：本项目以数据电文形式，依托“政府采购云平台（www.zcygov.cn）”进行招投标活动，不接受纸质投标文件；②投标准备：注册账号--点击“商家入驻”，进行政府采购投标人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招标文件菜单中选择项目，获取招标文件；④投标文件的制作</w:t>
      </w:r>
      <w:r>
        <w:rPr>
          <w:rFonts w:hint="eastAsia" w:cs="仿宋_GB2312" w:asciiTheme="minorEastAsia" w:hAnsiTheme="minorEastAsia" w:eastAsiaTheme="minorEastAsia"/>
          <w:color w:val="auto"/>
          <w:sz w:val="24"/>
        </w:rPr>
        <w:t>（文件后缀为：jmbs）</w:t>
      </w:r>
      <w:r>
        <w:rPr>
          <w:rFonts w:hint="eastAsia" w:ascii="宋体" w:hAnsi="宋体" w:cs="宋体"/>
          <w:color w:val="auto"/>
          <w:sz w:val="24"/>
        </w:rPr>
        <w:t>：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投标人进行投标活动；⑥对未按上述方式获取招标文件的投标人对该文件提出的质疑，采购人或采购代理机构将不予处理；⑦不提供招标文件纸质版；⑧投标文件的传输递交：投标投标人在投标截止时间前将加密的投标文件上传至政府采购云平台，还可以在投标截止时间前直接提交或者以邮政快递方式递交备份投标文件1份。备份投标文件（文件后缀为：bfbs）的制作、存储、密封详见招标文件第二部分第15点—“备份投标文件”；⑨投标文件的解密：投标投标人按照平台提示和招标文件的规定在半小时内完成在线解密。通过“政府采购云平台”上传递交的投标文件无法按时解密，投标投标人递交了备份投标文件的，以备份投标文件为依据，否则视为投标文件撤回。通过“政府采购云平台”上传递交的投标文件已按时解密的，备份投标文件自动失效。投标投标人仅提交备份投标文件，未在电子交易平台传输递交投标文件的，投标无效；⑩具体操作指南：详见政采云平台“服务中心-帮助文档-项目采购-操作流程-电子招投标-政府采购项目电子交易管理操作指南-投标人”。</w:t>
      </w:r>
    </w:p>
    <w:p w14:paraId="386B050B">
      <w:pPr>
        <w:spacing w:line="336" w:lineRule="auto"/>
        <w:ind w:firstLine="480" w:firstLineChars="200"/>
        <w:rPr>
          <w:rFonts w:ascii="宋体" w:hAnsi="宋体" w:cs="宋体"/>
          <w:color w:val="auto"/>
          <w:sz w:val="24"/>
        </w:rPr>
      </w:pPr>
      <w:r>
        <w:rPr>
          <w:rFonts w:hint="eastAsia" w:ascii="宋体" w:hAnsi="宋体" w:cs="宋体"/>
          <w:color w:val="auto"/>
          <w:sz w:val="24"/>
        </w:rPr>
        <w:t>（3）招标文件公告期限与招标公告的公告期限一致。</w:t>
      </w:r>
    </w:p>
    <w:p w14:paraId="7CAD4C69">
      <w:pPr>
        <w:spacing w:line="336"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（4）《第一部分  招标公告》中二、申请人的资格要求：第一条中的“重大税收违法案件当事人名单”即为“重大税收违法失信主体”。</w:t>
      </w:r>
      <w:r>
        <w:rPr>
          <w:rFonts w:hint="eastAsia" w:cs="宋体" w:asciiTheme="minorEastAsia" w:hAnsiTheme="minorEastAsia" w:eastAsiaTheme="minorEastAsia"/>
          <w:color w:val="auto"/>
          <w:sz w:val="24"/>
        </w:rPr>
        <w:br w:type="textWrapping"/>
      </w:r>
      <w:r>
        <w:rPr>
          <w:rFonts w:hint="eastAsia" w:cs="宋体" w:asciiTheme="minorEastAsia" w:hAnsiTheme="minorEastAsia" w:eastAsiaTheme="minorEastAsia"/>
          <w:color w:val="auto"/>
          <w:sz w:val="24"/>
        </w:rPr>
        <w:t xml:space="preserve">    （5）单位负责人为同一人或者存在直接控股、管理关系的不同投标人，不得参加同一合同项下的政府采购活动；为采购项目提供整体设计、规范编制或者项目管理、监理、检测等服务后不得再参加该采购项目的其他采购活动。</w:t>
      </w:r>
    </w:p>
    <w:p w14:paraId="1F595B0C">
      <w:pPr>
        <w:spacing w:line="336"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42069B6C">
      <w:pPr>
        <w:spacing w:line="336" w:lineRule="auto"/>
        <w:ind w:firstLine="480"/>
        <w:rPr>
          <w:rFonts w:ascii="宋体" w:hAnsi="宋体" w:cs="宋体"/>
          <w:color w:val="auto"/>
          <w:sz w:val="24"/>
        </w:rPr>
      </w:pPr>
      <w:r>
        <w:rPr>
          <w:rFonts w:hint="eastAsia" w:ascii="宋体" w:hAnsi="宋体" w:cs="宋体"/>
          <w:color w:val="auto"/>
          <w:sz w:val="24"/>
        </w:rPr>
        <w:t>1.采购人信息</w:t>
      </w:r>
    </w:p>
    <w:p w14:paraId="128563B1">
      <w:pPr>
        <w:spacing w:line="336" w:lineRule="auto"/>
        <w:ind w:firstLine="480"/>
        <w:rPr>
          <w:rFonts w:ascii="宋体" w:hAnsi="宋体" w:cs="宋体"/>
          <w:color w:val="auto"/>
          <w:sz w:val="24"/>
        </w:rPr>
      </w:pPr>
      <w:r>
        <w:rPr>
          <w:rFonts w:hint="eastAsia" w:ascii="宋体" w:hAnsi="宋体" w:cs="宋体"/>
          <w:color w:val="auto"/>
          <w:sz w:val="24"/>
        </w:rPr>
        <w:t>名    称：宁波市医疗中心李惠利医院</w:t>
      </w:r>
    </w:p>
    <w:p w14:paraId="224E2E88">
      <w:pPr>
        <w:spacing w:line="336" w:lineRule="auto"/>
        <w:ind w:firstLine="480"/>
        <w:rPr>
          <w:rFonts w:ascii="宋体" w:hAnsi="宋体" w:cs="宋体"/>
          <w:color w:val="auto"/>
          <w:sz w:val="24"/>
        </w:rPr>
      </w:pPr>
      <w:r>
        <w:rPr>
          <w:rFonts w:hint="eastAsia" w:ascii="宋体" w:hAnsi="宋体" w:cs="宋体"/>
          <w:color w:val="auto"/>
          <w:sz w:val="24"/>
        </w:rPr>
        <w:t>地    址：宁波市鄞州区兴宁路57号</w:t>
      </w:r>
    </w:p>
    <w:p w14:paraId="2C5BD7D9">
      <w:pPr>
        <w:spacing w:line="336" w:lineRule="auto"/>
        <w:ind w:firstLine="480"/>
        <w:rPr>
          <w:rFonts w:ascii="宋体" w:hAnsi="宋体" w:cs="宋体"/>
          <w:color w:val="auto"/>
          <w:sz w:val="24"/>
        </w:rPr>
      </w:pPr>
      <w:r>
        <w:rPr>
          <w:rFonts w:hint="eastAsia" w:ascii="宋体" w:hAnsi="宋体" w:cs="宋体"/>
          <w:color w:val="auto"/>
          <w:sz w:val="24"/>
        </w:rPr>
        <w:t>传    真：/</w:t>
      </w:r>
    </w:p>
    <w:p w14:paraId="5A745B66">
      <w:pPr>
        <w:spacing w:line="336" w:lineRule="auto"/>
        <w:ind w:firstLine="480"/>
        <w:rPr>
          <w:rFonts w:ascii="宋体" w:hAnsi="宋体" w:cs="宋体"/>
          <w:color w:val="auto"/>
          <w:sz w:val="24"/>
        </w:rPr>
      </w:pPr>
      <w:r>
        <w:rPr>
          <w:rFonts w:hint="eastAsia" w:ascii="宋体" w:hAnsi="宋体" w:cs="宋体"/>
          <w:color w:val="auto"/>
          <w:sz w:val="24"/>
        </w:rPr>
        <w:t>项目联系人（询问）：邵老师</w:t>
      </w:r>
    </w:p>
    <w:p w14:paraId="3CE34168">
      <w:pPr>
        <w:spacing w:line="336" w:lineRule="auto"/>
        <w:ind w:firstLine="480"/>
        <w:rPr>
          <w:rFonts w:ascii="宋体" w:hAnsi="宋体" w:cs="宋体"/>
          <w:color w:val="auto"/>
          <w:sz w:val="24"/>
        </w:rPr>
      </w:pPr>
      <w:r>
        <w:rPr>
          <w:rFonts w:hint="eastAsia" w:ascii="宋体" w:hAnsi="宋体" w:cs="宋体"/>
          <w:color w:val="auto"/>
          <w:sz w:val="24"/>
        </w:rPr>
        <w:t>项目联系方式（询问）：0574-55835866</w:t>
      </w:r>
    </w:p>
    <w:p w14:paraId="7550F517">
      <w:pPr>
        <w:spacing w:line="336" w:lineRule="auto"/>
        <w:ind w:firstLine="480"/>
        <w:rPr>
          <w:rFonts w:ascii="宋体" w:hAnsi="宋体" w:cs="宋体"/>
          <w:color w:val="auto"/>
          <w:sz w:val="24"/>
        </w:rPr>
      </w:pPr>
      <w:r>
        <w:rPr>
          <w:rFonts w:hint="eastAsia" w:ascii="宋体" w:hAnsi="宋体" w:cs="宋体"/>
          <w:color w:val="auto"/>
          <w:sz w:val="24"/>
        </w:rPr>
        <w:t>质疑联系人：戴老师</w:t>
      </w:r>
    </w:p>
    <w:p w14:paraId="3DD76A0B">
      <w:pPr>
        <w:spacing w:line="336" w:lineRule="auto"/>
        <w:ind w:firstLine="480"/>
        <w:rPr>
          <w:rFonts w:ascii="宋体" w:hAnsi="宋体" w:cs="宋体"/>
          <w:color w:val="auto"/>
          <w:sz w:val="24"/>
        </w:rPr>
      </w:pPr>
      <w:r>
        <w:rPr>
          <w:rFonts w:hint="eastAsia" w:ascii="宋体" w:hAnsi="宋体" w:cs="宋体"/>
          <w:color w:val="auto"/>
          <w:sz w:val="24"/>
        </w:rPr>
        <w:t>质疑联系方式：0574-55835866</w:t>
      </w:r>
    </w:p>
    <w:p w14:paraId="0C0BF70D">
      <w:pPr>
        <w:spacing w:line="336" w:lineRule="auto"/>
        <w:ind w:firstLine="480"/>
        <w:rPr>
          <w:rFonts w:ascii="宋体" w:hAnsi="宋体" w:cs="宋体"/>
          <w:color w:val="auto"/>
          <w:sz w:val="24"/>
        </w:rPr>
      </w:pPr>
    </w:p>
    <w:p w14:paraId="4211530A">
      <w:pPr>
        <w:spacing w:line="336" w:lineRule="auto"/>
        <w:ind w:firstLine="480"/>
        <w:rPr>
          <w:rFonts w:ascii="宋体" w:hAnsi="宋体" w:cs="宋体"/>
          <w:color w:val="auto"/>
          <w:sz w:val="24"/>
        </w:rPr>
      </w:pPr>
    </w:p>
    <w:p w14:paraId="2DAB6BA5">
      <w:pPr>
        <w:spacing w:line="336" w:lineRule="auto"/>
        <w:ind w:firstLine="480"/>
        <w:rPr>
          <w:rFonts w:ascii="宋体" w:hAnsi="宋体" w:cs="宋体"/>
          <w:color w:val="auto"/>
          <w:sz w:val="24"/>
        </w:rPr>
      </w:pPr>
      <w:r>
        <w:rPr>
          <w:rFonts w:hint="eastAsia" w:ascii="宋体" w:hAnsi="宋体" w:cs="宋体"/>
          <w:color w:val="auto"/>
          <w:sz w:val="24"/>
        </w:rPr>
        <w:t>2.采购代理机构信息</w:t>
      </w:r>
    </w:p>
    <w:p w14:paraId="244D5795">
      <w:pPr>
        <w:spacing w:line="336" w:lineRule="auto"/>
        <w:ind w:firstLine="480"/>
        <w:rPr>
          <w:rFonts w:ascii="宋体" w:hAnsi="宋体" w:cs="宋体"/>
          <w:color w:val="auto"/>
          <w:sz w:val="24"/>
        </w:rPr>
      </w:pPr>
      <w:r>
        <w:rPr>
          <w:rFonts w:hint="eastAsia" w:ascii="宋体" w:hAnsi="宋体" w:cs="宋体"/>
          <w:color w:val="auto"/>
          <w:sz w:val="24"/>
        </w:rPr>
        <w:t>名    称：宁波中基国际招标有限公司</w:t>
      </w:r>
    </w:p>
    <w:p w14:paraId="4625C346">
      <w:pPr>
        <w:spacing w:line="336" w:lineRule="auto"/>
        <w:ind w:firstLine="480"/>
        <w:rPr>
          <w:rFonts w:ascii="宋体" w:hAnsi="宋体" w:cs="宋体"/>
          <w:color w:val="auto"/>
          <w:sz w:val="24"/>
        </w:rPr>
      </w:pPr>
      <w:r>
        <w:rPr>
          <w:rFonts w:hint="eastAsia" w:ascii="宋体" w:hAnsi="宋体" w:cs="宋体"/>
          <w:color w:val="auto"/>
          <w:sz w:val="24"/>
        </w:rPr>
        <w:t>地    址：宁波市鄞州区天童南路666号中基大厦19楼</w:t>
      </w:r>
    </w:p>
    <w:p w14:paraId="31C12D98">
      <w:pPr>
        <w:spacing w:line="336" w:lineRule="auto"/>
        <w:ind w:firstLine="480"/>
        <w:rPr>
          <w:rFonts w:ascii="宋体" w:hAnsi="宋体" w:cs="宋体"/>
          <w:color w:val="auto"/>
          <w:sz w:val="24"/>
        </w:rPr>
      </w:pPr>
      <w:r>
        <w:rPr>
          <w:rFonts w:hint="eastAsia" w:ascii="宋体" w:hAnsi="宋体" w:cs="宋体"/>
          <w:color w:val="auto"/>
          <w:sz w:val="24"/>
        </w:rPr>
        <w:t>传    真：0574-87425373</w:t>
      </w:r>
    </w:p>
    <w:p w14:paraId="5AFEFFE7">
      <w:pPr>
        <w:spacing w:line="336" w:lineRule="auto"/>
        <w:ind w:firstLine="480"/>
        <w:rPr>
          <w:rFonts w:ascii="宋体" w:hAnsi="宋体" w:cs="宋体"/>
          <w:color w:val="auto"/>
          <w:sz w:val="24"/>
        </w:rPr>
      </w:pPr>
      <w:r>
        <w:rPr>
          <w:rFonts w:hint="eastAsia" w:ascii="宋体" w:hAnsi="宋体" w:cs="宋体"/>
          <w:color w:val="auto"/>
          <w:sz w:val="24"/>
        </w:rPr>
        <w:t>项目联系人（询问）：周旭坤、蒋双乐、孔晖</w:t>
      </w:r>
    </w:p>
    <w:p w14:paraId="03AC190A">
      <w:pPr>
        <w:spacing w:line="336" w:lineRule="auto"/>
        <w:ind w:firstLine="480"/>
        <w:rPr>
          <w:rFonts w:ascii="宋体" w:hAnsi="宋体" w:cs="宋体"/>
          <w:color w:val="auto"/>
          <w:sz w:val="24"/>
        </w:rPr>
      </w:pPr>
      <w:r>
        <w:rPr>
          <w:rFonts w:hint="eastAsia" w:ascii="宋体" w:hAnsi="宋体" w:cs="宋体"/>
          <w:color w:val="auto"/>
          <w:sz w:val="24"/>
        </w:rPr>
        <w:t>项目联系方式（询问）：0574-87425380</w:t>
      </w:r>
    </w:p>
    <w:p w14:paraId="7C49391F">
      <w:pPr>
        <w:spacing w:line="336" w:lineRule="auto"/>
        <w:ind w:firstLine="480"/>
        <w:rPr>
          <w:rFonts w:ascii="宋体" w:hAnsi="宋体" w:cs="宋体"/>
          <w:color w:val="auto"/>
          <w:sz w:val="24"/>
        </w:rPr>
      </w:pPr>
      <w:r>
        <w:rPr>
          <w:rFonts w:hint="eastAsia" w:ascii="宋体" w:hAnsi="宋体" w:cs="宋体"/>
          <w:color w:val="auto"/>
          <w:sz w:val="24"/>
        </w:rPr>
        <w:t>质疑联系人：王莹巧</w:t>
      </w:r>
    </w:p>
    <w:p w14:paraId="202145B6">
      <w:pPr>
        <w:spacing w:line="336" w:lineRule="auto"/>
        <w:ind w:firstLine="480"/>
        <w:rPr>
          <w:rFonts w:ascii="宋体" w:hAnsi="宋体" w:cs="宋体"/>
          <w:color w:val="auto"/>
          <w:sz w:val="24"/>
        </w:rPr>
      </w:pPr>
      <w:r>
        <w:rPr>
          <w:rFonts w:hint="eastAsia" w:ascii="宋体" w:hAnsi="宋体" w:cs="宋体"/>
          <w:color w:val="auto"/>
          <w:sz w:val="24"/>
        </w:rPr>
        <w:t>质疑联系方式：0574-87425583</w:t>
      </w:r>
    </w:p>
    <w:p w14:paraId="377C1CE0">
      <w:pPr>
        <w:spacing w:line="336" w:lineRule="auto"/>
        <w:ind w:firstLine="480"/>
        <w:rPr>
          <w:rFonts w:ascii="宋体" w:hAnsi="宋体" w:cs="宋体"/>
          <w:color w:val="auto"/>
          <w:sz w:val="24"/>
        </w:rPr>
      </w:pPr>
    </w:p>
    <w:p w14:paraId="2F6C9B56">
      <w:pPr>
        <w:spacing w:line="336" w:lineRule="auto"/>
        <w:ind w:firstLine="480"/>
        <w:rPr>
          <w:rFonts w:ascii="宋体" w:hAnsi="宋体" w:cs="宋体"/>
          <w:color w:val="auto"/>
          <w:sz w:val="24"/>
        </w:rPr>
      </w:pPr>
      <w:r>
        <w:rPr>
          <w:rFonts w:hint="eastAsia" w:ascii="宋体" w:hAnsi="宋体" w:cs="宋体"/>
          <w:color w:val="auto"/>
          <w:sz w:val="24"/>
        </w:rPr>
        <w:t>3.同级政府采购监督管理部门：</w:t>
      </w:r>
    </w:p>
    <w:p w14:paraId="74900389">
      <w:pPr>
        <w:spacing w:line="336" w:lineRule="auto"/>
        <w:ind w:firstLine="480"/>
        <w:rPr>
          <w:rFonts w:ascii="宋体" w:hAnsi="宋体" w:cs="宋体"/>
          <w:color w:val="auto"/>
          <w:sz w:val="24"/>
        </w:rPr>
      </w:pPr>
      <w:r>
        <w:rPr>
          <w:rFonts w:hint="eastAsia" w:ascii="宋体" w:hAnsi="宋体" w:cs="宋体"/>
          <w:color w:val="auto"/>
          <w:sz w:val="24"/>
        </w:rPr>
        <w:t xml:space="preserve">名    称：宁波市财政局政府采购监管处             </w:t>
      </w:r>
    </w:p>
    <w:p w14:paraId="53E4A20B">
      <w:pPr>
        <w:spacing w:line="336" w:lineRule="auto"/>
        <w:ind w:firstLine="480"/>
        <w:rPr>
          <w:rFonts w:ascii="宋体" w:hAnsi="宋体" w:cs="宋体"/>
          <w:color w:val="auto"/>
          <w:sz w:val="24"/>
        </w:rPr>
      </w:pPr>
      <w:r>
        <w:rPr>
          <w:rFonts w:hint="eastAsia" w:ascii="宋体" w:hAnsi="宋体" w:cs="宋体"/>
          <w:color w:val="auto"/>
          <w:sz w:val="24"/>
        </w:rPr>
        <w:t xml:space="preserve">地    址：宁波市海曙区中山西路19号            </w:t>
      </w:r>
    </w:p>
    <w:p w14:paraId="052962D5">
      <w:pPr>
        <w:spacing w:line="336" w:lineRule="auto"/>
        <w:ind w:firstLine="480"/>
        <w:rPr>
          <w:rFonts w:ascii="宋体" w:hAnsi="宋体" w:cs="宋体"/>
          <w:color w:val="auto"/>
          <w:sz w:val="24"/>
        </w:rPr>
      </w:pPr>
      <w:r>
        <w:rPr>
          <w:rFonts w:hint="eastAsia" w:ascii="宋体" w:hAnsi="宋体" w:cs="宋体"/>
          <w:color w:val="auto"/>
          <w:sz w:val="24"/>
        </w:rPr>
        <w:t xml:space="preserve">传    真：/           </w:t>
      </w:r>
    </w:p>
    <w:p w14:paraId="1FC128E6">
      <w:pPr>
        <w:spacing w:line="336" w:lineRule="auto"/>
        <w:ind w:firstLine="480"/>
        <w:rPr>
          <w:rFonts w:ascii="宋体" w:hAnsi="宋体" w:cs="宋体"/>
          <w:color w:val="auto"/>
          <w:sz w:val="24"/>
        </w:rPr>
      </w:pPr>
      <w:r>
        <w:rPr>
          <w:rFonts w:hint="eastAsia" w:ascii="宋体" w:hAnsi="宋体" w:cs="宋体"/>
          <w:color w:val="auto"/>
          <w:sz w:val="24"/>
        </w:rPr>
        <w:t>联系人：李老师</w:t>
      </w:r>
    </w:p>
    <w:p w14:paraId="504AB6C7">
      <w:pPr>
        <w:spacing w:line="336" w:lineRule="auto"/>
        <w:ind w:firstLine="480"/>
        <w:rPr>
          <w:rFonts w:ascii="宋体" w:hAnsi="宋体" w:cs="宋体"/>
          <w:color w:val="auto"/>
          <w:sz w:val="24"/>
        </w:rPr>
      </w:pPr>
      <w:r>
        <w:rPr>
          <w:rFonts w:hint="eastAsia" w:ascii="宋体" w:hAnsi="宋体" w:cs="宋体"/>
          <w:color w:val="auto"/>
          <w:sz w:val="24"/>
        </w:rPr>
        <w:t xml:space="preserve">投诉电话：0574-89388042 </w:t>
      </w:r>
    </w:p>
    <w:p w14:paraId="5D52C51C">
      <w:pPr>
        <w:spacing w:line="336" w:lineRule="auto"/>
        <w:ind w:firstLine="480"/>
        <w:rPr>
          <w:rFonts w:ascii="宋体" w:hAnsi="宋体" w:cs="宋体"/>
          <w:color w:val="auto"/>
          <w:sz w:val="24"/>
        </w:rPr>
      </w:pPr>
    </w:p>
    <w:p w14:paraId="4B60B4B0">
      <w:pPr>
        <w:spacing w:line="336" w:lineRule="auto"/>
        <w:ind w:firstLine="480"/>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若对项目采购电子交易系统操作有疑问，可登录政采云（https：//www.zcygov.cn/），点击右侧咨询小采，获取采小蜜智能服务管家帮助，或拨打政采云服务热线“95763”获取热线服务帮助。</w:t>
      </w:r>
    </w:p>
    <w:p w14:paraId="5800A4E5">
      <w:pPr>
        <w:spacing w:line="336" w:lineRule="auto"/>
        <w:ind w:firstLine="480" w:firstLineChars="200"/>
        <w:rPr>
          <w:rFonts w:ascii="宋体" w:hAnsi="宋体" w:cs="宋体"/>
          <w:color w:val="auto"/>
          <w:sz w:val="24"/>
        </w:rPr>
      </w:pPr>
      <w:r>
        <w:rPr>
          <w:rFonts w:hint="eastAsia" w:ascii="宋体" w:hAnsi="宋体" w:cs="宋体"/>
          <w:color w:val="auto"/>
          <w:sz w:val="24"/>
        </w:rPr>
        <w:t>CA问题联系电话（人工）：汇信CA 400-888-4636；天谷CA 400-087-8198。</w:t>
      </w:r>
    </w:p>
    <w:p w14:paraId="2BC2C0AE">
      <w:pPr>
        <w:pStyle w:val="33"/>
        <w:spacing w:line="360" w:lineRule="auto"/>
        <w:rPr>
          <w:rFonts w:hAnsi="宋体" w:cs="宋体"/>
          <w:b/>
          <w:color w:val="auto"/>
          <w:sz w:val="36"/>
          <w:szCs w:val="20"/>
        </w:rPr>
      </w:pPr>
    </w:p>
    <w:p w14:paraId="6966A4BB">
      <w:pPr>
        <w:tabs>
          <w:tab w:val="left" w:pos="432"/>
        </w:tabs>
        <w:rPr>
          <w:rFonts w:ascii="宋体"/>
          <w:snapToGrid w:val="0"/>
          <w:color w:val="auto"/>
        </w:rPr>
      </w:pPr>
      <w:r>
        <w:rPr>
          <w:color w:val="auto"/>
        </w:rPr>
        <w:br w:type="page"/>
      </w:r>
    </w:p>
    <w:p w14:paraId="21CA8BC0">
      <w:pPr>
        <w:adjustRightInd/>
        <w:spacing w:line="360" w:lineRule="auto"/>
        <w:jc w:val="center"/>
        <w:outlineLvl w:val="0"/>
        <w:rPr>
          <w:rFonts w:ascii="宋体" w:hAnsi="宋体" w:cs="宋体"/>
          <w:b/>
          <w:color w:val="auto"/>
          <w:sz w:val="36"/>
          <w:szCs w:val="20"/>
        </w:rPr>
      </w:pPr>
      <w:bookmarkStart w:id="13" w:name="_Toc29691"/>
      <w:r>
        <w:rPr>
          <w:rFonts w:hint="eastAsia" w:ascii="宋体" w:hAnsi="宋体" w:cs="宋体"/>
          <w:b/>
          <w:color w:val="auto"/>
          <w:sz w:val="36"/>
          <w:szCs w:val="20"/>
        </w:rPr>
        <w:t>第二部分</w:t>
      </w:r>
      <w:bookmarkEnd w:id="7"/>
      <w:r>
        <w:rPr>
          <w:rFonts w:hint="eastAsia" w:ascii="宋体" w:hAnsi="宋体" w:cs="宋体"/>
          <w:b/>
          <w:color w:val="auto"/>
          <w:sz w:val="36"/>
          <w:szCs w:val="20"/>
        </w:rPr>
        <w:t xml:space="preserve"> 投标人须知</w:t>
      </w:r>
      <w:bookmarkEnd w:id="8"/>
      <w:bookmarkEnd w:id="13"/>
    </w:p>
    <w:p w14:paraId="72601B37">
      <w:pPr>
        <w:adjustRightInd/>
        <w:spacing w:line="360" w:lineRule="auto"/>
        <w:ind w:firstLine="3845" w:firstLineChars="1197"/>
        <w:rPr>
          <w:rFonts w:ascii="宋体" w:hAnsi="宋体" w:cs="宋体"/>
          <w:b/>
          <w:color w:val="auto"/>
          <w:sz w:val="32"/>
          <w:szCs w:val="20"/>
        </w:rPr>
      </w:pPr>
      <w:r>
        <w:rPr>
          <w:rFonts w:hint="eastAsia" w:ascii="宋体" w:hAnsi="宋体" w:cs="宋体"/>
          <w:b/>
          <w:color w:val="auto"/>
          <w:sz w:val="32"/>
          <w:szCs w:val="20"/>
        </w:rPr>
        <w:t>前附表</w:t>
      </w:r>
    </w:p>
    <w:tbl>
      <w:tblPr>
        <w:tblStyle w:val="62"/>
        <w:tblW w:w="90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2799"/>
        <w:gridCol w:w="5640"/>
      </w:tblGrid>
      <w:tr w14:paraId="377F7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14:paraId="6C00FE58">
            <w:pPr>
              <w:snapToGrid w:val="0"/>
              <w:jc w:val="center"/>
              <w:rPr>
                <w:rFonts w:ascii="宋体" w:hAnsi="宋体" w:cs="宋体"/>
                <w:b/>
                <w:color w:val="auto"/>
                <w:sz w:val="24"/>
              </w:rPr>
            </w:pPr>
            <w:r>
              <w:rPr>
                <w:rFonts w:hint="eastAsia" w:ascii="宋体" w:hAnsi="宋体" w:cs="宋体"/>
                <w:b/>
                <w:color w:val="auto"/>
                <w:sz w:val="24"/>
              </w:rPr>
              <w:t>序号</w:t>
            </w:r>
          </w:p>
        </w:tc>
        <w:tc>
          <w:tcPr>
            <w:tcW w:w="2799" w:type="dxa"/>
            <w:vAlign w:val="center"/>
          </w:tcPr>
          <w:p w14:paraId="7D2A6F6D">
            <w:pPr>
              <w:snapToGrid w:val="0"/>
              <w:jc w:val="center"/>
              <w:rPr>
                <w:rFonts w:ascii="宋体" w:hAnsi="宋体" w:cs="宋体"/>
                <w:b/>
                <w:color w:val="auto"/>
                <w:sz w:val="24"/>
              </w:rPr>
            </w:pPr>
            <w:r>
              <w:rPr>
                <w:rFonts w:hint="eastAsia" w:ascii="宋体" w:hAnsi="宋体" w:cs="宋体"/>
                <w:b/>
                <w:color w:val="auto"/>
                <w:sz w:val="24"/>
              </w:rPr>
              <w:t>事项</w:t>
            </w:r>
          </w:p>
        </w:tc>
        <w:tc>
          <w:tcPr>
            <w:tcW w:w="5640" w:type="dxa"/>
            <w:vAlign w:val="center"/>
          </w:tcPr>
          <w:p w14:paraId="6001935E">
            <w:pPr>
              <w:snapToGrid w:val="0"/>
              <w:jc w:val="center"/>
              <w:rPr>
                <w:rFonts w:ascii="宋体" w:hAnsi="宋体" w:cs="宋体"/>
                <w:b/>
                <w:color w:val="auto"/>
                <w:sz w:val="24"/>
              </w:rPr>
            </w:pPr>
            <w:r>
              <w:rPr>
                <w:rFonts w:hint="eastAsia" w:ascii="宋体" w:hAnsi="宋体" w:cs="宋体"/>
                <w:b/>
                <w:color w:val="auto"/>
                <w:sz w:val="24"/>
              </w:rPr>
              <w:t>本项目的特别规定</w:t>
            </w:r>
          </w:p>
        </w:tc>
      </w:tr>
      <w:tr w14:paraId="6393D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14:paraId="300D01F9">
            <w:pPr>
              <w:snapToGrid w:val="0"/>
              <w:jc w:val="center"/>
              <w:rPr>
                <w:rFonts w:ascii="宋体" w:hAnsi="宋体" w:cs="宋体"/>
                <w:b/>
                <w:color w:val="auto"/>
                <w:sz w:val="24"/>
              </w:rPr>
            </w:pPr>
            <w:r>
              <w:rPr>
                <w:rFonts w:hint="eastAsia" w:ascii="宋体" w:hAnsi="宋体" w:cs="宋体"/>
                <w:b/>
                <w:color w:val="auto"/>
                <w:sz w:val="24"/>
              </w:rPr>
              <w:t>1</w:t>
            </w:r>
          </w:p>
        </w:tc>
        <w:tc>
          <w:tcPr>
            <w:tcW w:w="2799" w:type="dxa"/>
            <w:vAlign w:val="center"/>
          </w:tcPr>
          <w:p w14:paraId="7E117F80">
            <w:pPr>
              <w:snapToGrid w:val="0"/>
              <w:jc w:val="center"/>
              <w:rPr>
                <w:rFonts w:ascii="宋体" w:hAnsi="宋体" w:cs="宋体"/>
                <w:b/>
                <w:color w:val="auto"/>
                <w:sz w:val="24"/>
              </w:rPr>
            </w:pPr>
            <w:r>
              <w:rPr>
                <w:rFonts w:hint="eastAsia" w:ascii="宋体" w:hAnsi="宋体" w:cs="宋体"/>
                <w:b/>
                <w:color w:val="auto"/>
                <w:sz w:val="24"/>
              </w:rPr>
              <w:t>项目属性</w:t>
            </w:r>
          </w:p>
        </w:tc>
        <w:tc>
          <w:tcPr>
            <w:tcW w:w="5640" w:type="dxa"/>
            <w:vAlign w:val="center"/>
          </w:tcPr>
          <w:p w14:paraId="00554DBC">
            <w:pPr>
              <w:rPr>
                <w:rFonts w:ascii="宋体" w:hAnsi="宋体" w:cs="宋体"/>
                <w:color w:val="auto"/>
                <w:sz w:val="24"/>
              </w:rPr>
            </w:pPr>
            <w:r>
              <w:rPr>
                <w:rFonts w:hint="eastAsia" w:ascii="宋体" w:hAnsi="宋体" w:cs="宋体"/>
                <w:color w:val="auto"/>
                <w:sz w:val="24"/>
              </w:rPr>
              <w:t>服务类。</w:t>
            </w:r>
          </w:p>
        </w:tc>
      </w:tr>
      <w:tr w14:paraId="77CB2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14:paraId="3AE16ABE">
            <w:pPr>
              <w:snapToGrid w:val="0"/>
              <w:jc w:val="center"/>
              <w:rPr>
                <w:rFonts w:ascii="宋体" w:hAnsi="宋体" w:cs="宋体"/>
                <w:b/>
                <w:color w:val="auto"/>
                <w:sz w:val="24"/>
              </w:rPr>
            </w:pPr>
            <w:r>
              <w:rPr>
                <w:rFonts w:hint="eastAsia" w:ascii="宋体" w:hAnsi="宋体" w:cs="宋体"/>
                <w:b/>
                <w:color w:val="auto"/>
                <w:sz w:val="24"/>
              </w:rPr>
              <w:t>2</w:t>
            </w:r>
          </w:p>
        </w:tc>
        <w:tc>
          <w:tcPr>
            <w:tcW w:w="2799" w:type="dxa"/>
            <w:vAlign w:val="center"/>
          </w:tcPr>
          <w:p w14:paraId="74C8BB89">
            <w:pPr>
              <w:snapToGrid w:val="0"/>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5640" w:type="dxa"/>
            <w:vAlign w:val="center"/>
          </w:tcPr>
          <w:p w14:paraId="53CF5FAB">
            <w:pPr>
              <w:snapToGrid w:val="0"/>
              <w:rPr>
                <w:rFonts w:ascii="宋体" w:hAnsi="宋体" w:cs="宋体"/>
                <w:color w:val="auto"/>
                <w:kern w:val="0"/>
                <w:sz w:val="24"/>
              </w:rPr>
            </w:pPr>
            <w:r>
              <w:rPr>
                <w:rFonts w:hint="eastAsia" w:ascii="宋体" w:hAnsi="宋体" w:cs="宋体"/>
                <w:color w:val="auto"/>
                <w:kern w:val="0"/>
                <w:sz w:val="24"/>
              </w:rPr>
              <w:t>（1）标的：</w:t>
            </w:r>
            <w:r>
              <w:rPr>
                <w:rFonts w:hint="eastAsia" w:ascii="宋体" w:hAnsi="宋体" w:cs="宋体"/>
                <w:color w:val="auto"/>
                <w:kern w:val="0"/>
                <w:sz w:val="24"/>
                <w:u w:val="single"/>
              </w:rPr>
              <w:t xml:space="preserve"> 临床数据库科研平台建设 </w:t>
            </w:r>
            <w:r>
              <w:rPr>
                <w:rFonts w:hint="eastAsia" w:ascii="宋体" w:hAnsi="宋体" w:cs="宋体"/>
                <w:color w:val="auto"/>
                <w:kern w:val="0"/>
                <w:sz w:val="24"/>
              </w:rPr>
              <w:t>，属于</w:t>
            </w:r>
            <w:r>
              <w:rPr>
                <w:rFonts w:hint="eastAsia" w:ascii="宋体" w:hAnsi="宋体" w:cs="宋体"/>
                <w:color w:val="auto"/>
                <w:kern w:val="0"/>
                <w:sz w:val="24"/>
                <w:u w:val="single"/>
              </w:rPr>
              <w:t xml:space="preserve"> 软件和信息技术服务业 </w:t>
            </w:r>
            <w:r>
              <w:rPr>
                <w:rFonts w:hint="eastAsia" w:ascii="宋体" w:hAnsi="宋体" w:cs="宋体"/>
                <w:color w:val="auto"/>
                <w:kern w:val="0"/>
                <w:sz w:val="24"/>
              </w:rPr>
              <w:t>。</w:t>
            </w:r>
          </w:p>
          <w:p w14:paraId="55960859">
            <w:pPr>
              <w:snapToGrid w:val="0"/>
              <w:rPr>
                <w:rFonts w:ascii="宋体" w:hAnsi="宋体" w:cs="宋体"/>
                <w:color w:val="auto"/>
                <w:kern w:val="0"/>
                <w:sz w:val="24"/>
              </w:rPr>
            </w:pPr>
            <w:r>
              <w:rPr>
                <w:rFonts w:hint="eastAsia" w:ascii="宋体" w:hAnsi="宋体" w:cs="宋体"/>
                <w:color w:val="auto"/>
                <w:kern w:val="0"/>
                <w:sz w:val="24"/>
              </w:rPr>
              <w:t>（2）本项目专门面向中小企业。</w:t>
            </w:r>
          </w:p>
        </w:tc>
      </w:tr>
      <w:tr w14:paraId="706D0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14:paraId="47B2A767">
            <w:pPr>
              <w:snapToGrid w:val="0"/>
              <w:jc w:val="center"/>
              <w:rPr>
                <w:rFonts w:ascii="宋体" w:hAnsi="宋体" w:cs="宋体"/>
                <w:b/>
                <w:color w:val="auto"/>
                <w:sz w:val="24"/>
              </w:rPr>
            </w:pPr>
            <w:r>
              <w:rPr>
                <w:rFonts w:hint="eastAsia" w:ascii="宋体" w:hAnsi="宋体" w:cs="宋体"/>
                <w:b/>
                <w:color w:val="auto"/>
                <w:sz w:val="24"/>
              </w:rPr>
              <w:t>3</w:t>
            </w:r>
          </w:p>
        </w:tc>
        <w:tc>
          <w:tcPr>
            <w:tcW w:w="2799" w:type="dxa"/>
            <w:vAlign w:val="center"/>
          </w:tcPr>
          <w:p w14:paraId="2BCCFB4D">
            <w:pPr>
              <w:snapToGrid w:val="0"/>
              <w:jc w:val="center"/>
              <w:rPr>
                <w:rFonts w:ascii="宋体" w:hAnsi="宋体" w:cs="宋体"/>
                <w:b/>
                <w:color w:val="auto"/>
                <w:sz w:val="24"/>
              </w:rPr>
            </w:pPr>
            <w:r>
              <w:rPr>
                <w:rFonts w:hint="eastAsia" w:ascii="宋体" w:hAnsi="宋体" w:cs="宋体"/>
                <w:b/>
                <w:color w:val="auto"/>
                <w:sz w:val="24"/>
              </w:rPr>
              <w:t>是否允许采购进口产品</w:t>
            </w:r>
          </w:p>
        </w:tc>
        <w:tc>
          <w:tcPr>
            <w:tcW w:w="5640" w:type="dxa"/>
            <w:vAlign w:val="center"/>
          </w:tcPr>
          <w:p w14:paraId="71D18D7D">
            <w:pPr>
              <w:rPr>
                <w:rFonts w:ascii="宋体" w:hAnsi="宋体" w:cs="宋体"/>
                <w:color w:val="auto"/>
                <w:kern w:val="0"/>
                <w:sz w:val="24"/>
              </w:rPr>
            </w:pPr>
            <w:sdt>
              <w:sdtPr>
                <w:rPr>
                  <w:rFonts w:hint="eastAsia" w:ascii="宋体" w:hAnsi="宋体" w:cs="宋体"/>
                  <w:color w:val="auto"/>
                  <w:kern w:val="0"/>
                  <w:sz w:val="24"/>
                </w:rPr>
                <w:id w:val="147464411"/>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本项目不允许采购进口产品。</w:t>
            </w:r>
          </w:p>
          <w:p w14:paraId="0F2DF06B">
            <w:pPr>
              <w:rPr>
                <w:rFonts w:ascii="宋体" w:hAnsi="宋体" w:cs="宋体"/>
                <w:color w:val="auto"/>
              </w:rPr>
            </w:pPr>
            <w:sdt>
              <w:sdtPr>
                <w:rPr>
                  <w:rFonts w:hint="eastAsia" w:ascii="宋体" w:hAnsi="宋体" w:cs="宋体"/>
                  <w:color w:val="auto"/>
                  <w:kern w:val="0"/>
                  <w:sz w:val="24"/>
                </w:rPr>
                <w:id w:val="147472806"/>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cs="宋体"/>
                    <w:color w:val="auto"/>
                    <w:kern w:val="0"/>
                    <w:sz w:val="24"/>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14:paraId="12155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14:paraId="21403B24">
            <w:pPr>
              <w:snapToGrid w:val="0"/>
              <w:jc w:val="center"/>
              <w:rPr>
                <w:rFonts w:ascii="宋体" w:hAnsi="宋体" w:cs="宋体"/>
                <w:b/>
                <w:color w:val="auto"/>
                <w:sz w:val="24"/>
              </w:rPr>
            </w:pPr>
            <w:r>
              <w:rPr>
                <w:rFonts w:hint="eastAsia" w:ascii="宋体" w:hAnsi="宋体" w:cs="宋体"/>
                <w:b/>
                <w:color w:val="auto"/>
                <w:sz w:val="24"/>
              </w:rPr>
              <w:t>4</w:t>
            </w:r>
          </w:p>
        </w:tc>
        <w:tc>
          <w:tcPr>
            <w:tcW w:w="2799" w:type="dxa"/>
            <w:vAlign w:val="center"/>
          </w:tcPr>
          <w:p w14:paraId="3829895A">
            <w:pPr>
              <w:snapToGrid w:val="0"/>
              <w:jc w:val="center"/>
              <w:rPr>
                <w:rFonts w:ascii="宋体" w:hAnsi="宋体" w:cs="宋体"/>
                <w:b/>
                <w:color w:val="auto"/>
                <w:sz w:val="24"/>
              </w:rPr>
            </w:pPr>
            <w:r>
              <w:rPr>
                <w:rFonts w:hint="eastAsia" w:ascii="宋体" w:hAnsi="宋体" w:cs="宋体"/>
                <w:b/>
                <w:color w:val="auto"/>
                <w:sz w:val="24"/>
              </w:rPr>
              <w:t>分包</w:t>
            </w:r>
          </w:p>
        </w:tc>
        <w:tc>
          <w:tcPr>
            <w:tcW w:w="5640" w:type="dxa"/>
            <w:vAlign w:val="center"/>
          </w:tcPr>
          <w:p w14:paraId="2C872128">
            <w:pPr>
              <w:rPr>
                <w:rFonts w:ascii="宋体" w:hAnsi="宋体" w:cs="宋体"/>
                <w:color w:val="auto"/>
                <w:sz w:val="24"/>
              </w:rPr>
            </w:pPr>
            <w:sdt>
              <w:sdtPr>
                <w:rPr>
                  <w:rFonts w:hint="eastAsia" w:ascii="宋体" w:hAnsi="宋体" w:cs="宋体"/>
                  <w:color w:val="auto"/>
                  <w:kern w:val="0"/>
                  <w:sz w:val="24"/>
                </w:rPr>
                <w:id w:val="147457072"/>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ascii="MS Gothic" w:hAnsi="MS Gothic" w:cs="宋体"/>
                    <w:color w:val="auto"/>
                    <w:kern w:val="0"/>
                    <w:sz w:val="24"/>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rPr>
              <w:t>工作分包。</w:t>
            </w:r>
          </w:p>
          <w:p w14:paraId="570FBEBE">
            <w:pPr>
              <w:rPr>
                <w:rFonts w:ascii="宋体" w:hAnsi="宋体" w:cs="宋体"/>
                <w:color w:val="auto"/>
                <w:sz w:val="24"/>
              </w:rPr>
            </w:pPr>
            <w:sdt>
              <w:sdtPr>
                <w:rPr>
                  <w:rFonts w:hint="eastAsia" w:ascii="宋体" w:hAnsi="宋体" w:cs="宋体"/>
                  <w:color w:val="auto"/>
                  <w:kern w:val="0"/>
                  <w:sz w:val="24"/>
                </w:rPr>
                <w:id w:val="14746012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tc>
      </w:tr>
      <w:tr w14:paraId="659C5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14:paraId="579A4C7B">
            <w:pPr>
              <w:snapToGrid w:val="0"/>
              <w:jc w:val="center"/>
              <w:rPr>
                <w:rFonts w:ascii="宋体" w:hAnsi="宋体" w:cs="宋体"/>
                <w:b/>
                <w:color w:val="auto"/>
                <w:sz w:val="24"/>
              </w:rPr>
            </w:pPr>
            <w:r>
              <w:rPr>
                <w:rFonts w:hint="eastAsia" w:ascii="宋体" w:hAnsi="宋体" w:cs="宋体"/>
                <w:b/>
                <w:color w:val="auto"/>
                <w:sz w:val="24"/>
              </w:rPr>
              <w:t>5</w:t>
            </w:r>
          </w:p>
        </w:tc>
        <w:tc>
          <w:tcPr>
            <w:tcW w:w="2799" w:type="dxa"/>
            <w:vAlign w:val="center"/>
          </w:tcPr>
          <w:p w14:paraId="55750138">
            <w:pPr>
              <w:snapToGrid w:val="0"/>
              <w:jc w:val="center"/>
              <w:rPr>
                <w:rFonts w:ascii="宋体" w:hAnsi="宋体" w:cs="宋体"/>
                <w:b/>
                <w:color w:val="auto"/>
                <w:sz w:val="24"/>
              </w:rPr>
            </w:pPr>
            <w:r>
              <w:rPr>
                <w:rFonts w:hint="eastAsia" w:ascii="宋体" w:hAnsi="宋体" w:cs="宋体"/>
                <w:b/>
                <w:color w:val="auto"/>
                <w:sz w:val="24"/>
              </w:rPr>
              <w:t>开标前答疑会或现场考察</w:t>
            </w:r>
          </w:p>
        </w:tc>
        <w:tc>
          <w:tcPr>
            <w:tcW w:w="5640" w:type="dxa"/>
            <w:vAlign w:val="center"/>
          </w:tcPr>
          <w:p w14:paraId="04BCA8D3">
            <w:pPr>
              <w:rPr>
                <w:rFonts w:ascii="宋体" w:hAnsi="宋体" w:cs="宋体"/>
                <w:color w:val="auto"/>
                <w:sz w:val="24"/>
              </w:rPr>
            </w:pPr>
            <w:sdt>
              <w:sdtPr>
                <w:rPr>
                  <w:rFonts w:hint="eastAsia" w:ascii="宋体" w:hAnsi="宋体" w:cs="宋体"/>
                  <w:color w:val="auto"/>
                  <w:kern w:val="0"/>
                  <w:sz w:val="24"/>
                </w:rPr>
                <w:id w:val="147483332"/>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eastAsia="MS Gothic" w:cs="宋体"/>
                    <w:color w:val="auto"/>
                    <w:kern w:val="0"/>
                    <w:sz w:val="24"/>
                  </w:rPr>
                  <w:t></w:t>
                </w:r>
              </w:sdtContent>
            </w:sdt>
            <w:r>
              <w:rPr>
                <w:rFonts w:hint="eastAsia" w:ascii="宋体" w:hAnsi="宋体" w:cs="宋体"/>
                <w:color w:val="auto"/>
                <w:kern w:val="0"/>
                <w:sz w:val="24"/>
              </w:rPr>
              <w:t>A</w:t>
            </w:r>
            <w:r>
              <w:rPr>
                <w:rFonts w:hint="eastAsia" w:ascii="宋体" w:hAnsi="宋体" w:cs="宋体"/>
                <w:color w:val="auto"/>
                <w:sz w:val="24"/>
              </w:rPr>
              <w:t>不组织。</w:t>
            </w:r>
          </w:p>
          <w:p w14:paraId="54A55435">
            <w:pPr>
              <w:rPr>
                <w:rFonts w:ascii="宋体" w:hAnsi="宋体" w:cs="宋体"/>
                <w:color w:val="auto"/>
                <w:sz w:val="24"/>
                <w:szCs w:val="20"/>
              </w:rPr>
            </w:pPr>
            <w:sdt>
              <w:sdtPr>
                <w:rPr>
                  <w:rFonts w:hint="eastAsia" w:ascii="宋体" w:hAnsi="宋体" w:cs="宋体"/>
                  <w:color w:val="auto"/>
                  <w:kern w:val="0"/>
                  <w:sz w:val="24"/>
                </w:rPr>
                <w:id w:val="14746939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r>
              <w:rPr>
                <w:rFonts w:hint="eastAsia" w:ascii="宋体" w:hAnsi="宋体" w:cs="宋体"/>
                <w:color w:val="auto"/>
                <w:sz w:val="24"/>
              </w:rPr>
              <w:t>时间：</w:t>
            </w:r>
            <w:r>
              <w:rPr>
                <w:rFonts w:hint="eastAsia" w:ascii="宋体" w:hAnsi="宋体" w:cs="宋体"/>
                <w:color w:val="auto"/>
                <w:sz w:val="24"/>
                <w:u w:val="single"/>
              </w:rPr>
              <w:t xml:space="preserve">      </w:t>
            </w:r>
            <w:r>
              <w:rPr>
                <w:rFonts w:hint="eastAsia" w:ascii="宋体" w:hAnsi="宋体" w:cs="宋体"/>
                <w:color w:val="auto"/>
                <w:sz w:val="24"/>
              </w:rPr>
              <w:t>,地点：</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hint="eastAsia" w:ascii="宋体" w:hAnsi="宋体" w:cs="宋体"/>
                <w:color w:val="auto"/>
                <w:sz w:val="24"/>
                <w:szCs w:val="20"/>
              </w:rPr>
              <w:t>。</w:t>
            </w:r>
          </w:p>
        </w:tc>
      </w:tr>
      <w:tr w14:paraId="37851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14:paraId="3B17006C">
            <w:pPr>
              <w:snapToGrid w:val="0"/>
              <w:jc w:val="center"/>
              <w:rPr>
                <w:rFonts w:ascii="宋体" w:hAnsi="宋体" w:cs="宋体"/>
                <w:b/>
                <w:color w:val="auto"/>
                <w:sz w:val="24"/>
              </w:rPr>
            </w:pPr>
            <w:r>
              <w:rPr>
                <w:rFonts w:hint="eastAsia" w:ascii="宋体" w:hAnsi="宋体" w:cs="宋体"/>
                <w:b/>
                <w:color w:val="auto"/>
                <w:sz w:val="24"/>
              </w:rPr>
              <w:t>6</w:t>
            </w:r>
          </w:p>
        </w:tc>
        <w:tc>
          <w:tcPr>
            <w:tcW w:w="2799" w:type="dxa"/>
            <w:vAlign w:val="center"/>
          </w:tcPr>
          <w:p w14:paraId="7C780639">
            <w:pPr>
              <w:snapToGrid w:val="0"/>
              <w:jc w:val="center"/>
              <w:rPr>
                <w:rFonts w:ascii="宋体" w:hAnsi="宋体" w:cs="宋体"/>
                <w:b/>
                <w:color w:val="auto"/>
                <w:sz w:val="24"/>
              </w:rPr>
            </w:pPr>
            <w:r>
              <w:rPr>
                <w:rFonts w:hint="eastAsia" w:ascii="宋体" w:hAnsi="宋体" w:cs="宋体"/>
                <w:b/>
                <w:color w:val="auto"/>
                <w:sz w:val="24"/>
              </w:rPr>
              <w:t>样品提供</w:t>
            </w:r>
          </w:p>
        </w:tc>
        <w:tc>
          <w:tcPr>
            <w:tcW w:w="5640" w:type="dxa"/>
            <w:vAlign w:val="center"/>
          </w:tcPr>
          <w:p w14:paraId="2393B47E">
            <w:pPr>
              <w:rPr>
                <w:rFonts w:ascii="宋体" w:hAnsi="宋体" w:cs="宋体"/>
                <w:color w:val="auto"/>
                <w:sz w:val="24"/>
              </w:rPr>
            </w:pPr>
            <w:sdt>
              <w:sdtPr>
                <w:rPr>
                  <w:rFonts w:hint="eastAsia" w:ascii="宋体" w:hAnsi="宋体" w:cs="宋体"/>
                  <w:color w:val="auto"/>
                  <w:kern w:val="0"/>
                  <w:sz w:val="24"/>
                </w:rPr>
                <w:id w:val="147459238"/>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A</w:t>
            </w:r>
            <w:r>
              <w:rPr>
                <w:rFonts w:hint="eastAsia" w:ascii="宋体" w:hAnsi="宋体" w:cs="宋体"/>
                <w:color w:val="auto"/>
                <w:sz w:val="24"/>
              </w:rPr>
              <w:t>不要求提供。</w:t>
            </w:r>
          </w:p>
          <w:p w14:paraId="747FFBF2">
            <w:pPr>
              <w:rPr>
                <w:rFonts w:ascii="宋体" w:hAnsi="宋体" w:cs="宋体"/>
                <w:color w:val="auto"/>
                <w:kern w:val="0"/>
                <w:sz w:val="24"/>
              </w:rPr>
            </w:pPr>
            <w:sdt>
              <w:sdtPr>
                <w:rPr>
                  <w:rFonts w:hint="eastAsia" w:ascii="宋体" w:hAnsi="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B要求提供，</w:t>
            </w:r>
          </w:p>
          <w:p w14:paraId="6CF15944">
            <w:pPr>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 xml:space="preserve">    </w:t>
            </w:r>
            <w:r>
              <w:rPr>
                <w:rFonts w:hint="eastAsia" w:ascii="宋体" w:hAnsi="宋体" w:cs="宋体"/>
                <w:color w:val="auto"/>
                <w:kern w:val="0"/>
                <w:sz w:val="24"/>
              </w:rPr>
              <w:t>；</w:t>
            </w:r>
          </w:p>
          <w:p w14:paraId="01FA6457">
            <w:pPr>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w:t>
            </w:r>
            <w:r>
              <w:rPr>
                <w:rFonts w:hint="eastAsia" w:ascii="宋体" w:hAnsi="宋体" w:cs="宋体"/>
                <w:color w:val="auto"/>
                <w:kern w:val="0"/>
                <w:sz w:val="24"/>
              </w:rPr>
              <w:t>；</w:t>
            </w:r>
          </w:p>
          <w:p w14:paraId="7DE820F6">
            <w:pPr>
              <w:rPr>
                <w:rFonts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rPr>
              <w:t>评标办法</w:t>
            </w:r>
            <w:r>
              <w:rPr>
                <w:rFonts w:hint="eastAsia" w:ascii="宋体" w:hAnsi="宋体" w:cs="宋体"/>
                <w:color w:val="auto"/>
                <w:kern w:val="0"/>
                <w:sz w:val="24"/>
              </w:rPr>
              <w:t>；</w:t>
            </w:r>
          </w:p>
          <w:p w14:paraId="4D4588E3">
            <w:pPr>
              <w:rPr>
                <w:rFonts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14:paraId="7FA13F42">
            <w:pPr>
              <w:rPr>
                <w:rFonts w:ascii="宋体" w:hAnsi="宋体" w:cs="宋体"/>
                <w:color w:val="auto"/>
                <w:sz w:val="24"/>
              </w:rPr>
            </w:pPr>
            <w:r>
              <w:rPr>
                <w:rFonts w:hint="eastAsia" w:ascii="宋体" w:hAnsi="宋体" w:cs="宋体"/>
                <w:color w:val="auto"/>
                <w:sz w:val="24"/>
              </w:rPr>
              <w:t>（5）提供样品的时间：</w:t>
            </w:r>
            <w:r>
              <w:rPr>
                <w:rFonts w:hint="eastAsia" w:ascii="宋体" w:hAnsi="宋体" w:cs="宋体"/>
                <w:color w:val="auto"/>
                <w:sz w:val="24"/>
                <w:u w:val="single"/>
              </w:rPr>
              <w:t xml:space="preserve">    </w:t>
            </w:r>
            <w:r>
              <w:rPr>
                <w:rFonts w:hint="eastAsia" w:ascii="宋体" w:hAnsi="宋体" w:cs="宋体"/>
                <w:color w:val="auto"/>
                <w:kern w:val="0"/>
                <w:sz w:val="24"/>
              </w:rPr>
              <w:t>；地点：</w:t>
            </w:r>
            <w:r>
              <w:rPr>
                <w:rFonts w:hint="eastAsia" w:ascii="宋体" w:hAnsi="宋体" w:cs="宋体"/>
                <w:color w:val="auto"/>
                <w:sz w:val="24"/>
                <w:u w:val="single"/>
              </w:rPr>
              <w:t xml:space="preserve">    </w:t>
            </w:r>
            <w:r>
              <w:rPr>
                <w:rFonts w:hint="eastAsia" w:ascii="宋体" w:hAnsi="宋体" w:cs="宋体"/>
                <w:color w:val="auto"/>
                <w:kern w:val="0"/>
                <w:sz w:val="24"/>
              </w:rPr>
              <w:t>；联系人</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sz w:val="24"/>
                <w:u w:val="single"/>
              </w:rPr>
              <w:t xml:space="preserve">    </w:t>
            </w:r>
            <w:r>
              <w:rPr>
                <w:rFonts w:hint="eastAsia" w:ascii="宋体" w:hAnsi="宋体" w:cs="宋体"/>
                <w:color w:val="auto"/>
                <w:sz w:val="24"/>
              </w:rPr>
              <w:t>。请投标人在上述时间内提供样品并按规定位置安装完毕。超过截止时间的，采购人或采购代理机构将不予接收，并将清场并封闭样品现场。</w:t>
            </w:r>
          </w:p>
          <w:p w14:paraId="6804BC2A">
            <w:pPr>
              <w:rPr>
                <w:rFonts w:ascii="宋体" w:hAnsi="宋体" w:cs="宋体"/>
                <w:color w:val="auto"/>
                <w:sz w:val="24"/>
              </w:rPr>
            </w:pPr>
            <w:r>
              <w:rPr>
                <w:rFonts w:hint="eastAsia" w:ascii="宋体" w:hAnsi="宋体" w:cs="宋体"/>
                <w:color w:val="auto"/>
                <w:sz w:val="24"/>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8B37465">
            <w:pPr>
              <w:rPr>
                <w:rFonts w:ascii="宋体" w:hAnsi="宋体" w:cs="宋体"/>
                <w:b/>
                <w:color w:val="auto"/>
                <w:sz w:val="24"/>
              </w:rPr>
            </w:pPr>
            <w:r>
              <w:rPr>
                <w:rFonts w:hint="eastAsia" w:ascii="宋体" w:hAnsi="宋体" w:cs="宋体"/>
                <w:color w:val="auto"/>
                <w:sz w:val="24"/>
              </w:rPr>
              <w:t>（7）制作、运输、安装和保管样品所发生的一切费用由投标人自理。</w:t>
            </w:r>
          </w:p>
        </w:tc>
      </w:tr>
      <w:tr w14:paraId="6A46C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center"/>
          </w:tcPr>
          <w:p w14:paraId="07F901B2">
            <w:pPr>
              <w:snapToGrid w:val="0"/>
              <w:jc w:val="center"/>
              <w:rPr>
                <w:rFonts w:ascii="宋体" w:hAnsi="宋体" w:cs="宋体"/>
                <w:b/>
                <w:color w:val="auto"/>
                <w:sz w:val="24"/>
              </w:rPr>
            </w:pPr>
            <w:r>
              <w:rPr>
                <w:rFonts w:hint="eastAsia" w:ascii="宋体" w:hAnsi="宋体" w:cs="宋体"/>
                <w:b/>
                <w:color w:val="auto"/>
                <w:sz w:val="24"/>
              </w:rPr>
              <w:t>7</w:t>
            </w:r>
          </w:p>
        </w:tc>
        <w:tc>
          <w:tcPr>
            <w:tcW w:w="2799" w:type="dxa"/>
            <w:vAlign w:val="center"/>
          </w:tcPr>
          <w:p w14:paraId="76C2C202">
            <w:pPr>
              <w:snapToGrid w:val="0"/>
              <w:jc w:val="center"/>
              <w:rPr>
                <w:rFonts w:ascii="宋体" w:hAnsi="宋体" w:cs="宋体"/>
                <w:bCs/>
                <w:color w:val="auto"/>
                <w:sz w:val="24"/>
              </w:rPr>
            </w:pPr>
            <w:r>
              <w:rPr>
                <w:rFonts w:hint="eastAsia" w:ascii="宋体" w:hAnsi="宋体" w:cs="宋体"/>
                <w:b/>
                <w:color w:val="auto"/>
                <w:sz w:val="24"/>
              </w:rPr>
              <w:t>方案讲解演示</w:t>
            </w:r>
          </w:p>
        </w:tc>
        <w:tc>
          <w:tcPr>
            <w:tcW w:w="5640" w:type="dxa"/>
            <w:vAlign w:val="center"/>
          </w:tcPr>
          <w:p w14:paraId="2899B758">
            <w:pPr>
              <w:rPr>
                <w:rFonts w:ascii="宋体" w:hAnsi="宋体" w:cs="宋体"/>
                <w:color w:val="auto"/>
                <w:sz w:val="24"/>
              </w:rPr>
            </w:pPr>
            <w:sdt>
              <w:sdtPr>
                <w:rPr>
                  <w:rFonts w:hint="eastAsia" w:ascii="宋体" w:hAnsi="宋体" w:cs="宋体"/>
                  <w:color w:val="auto"/>
                  <w:kern w:val="0"/>
                  <w:sz w:val="24"/>
                </w:rPr>
                <w:id w:val="14748056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ascii="MS Gothic" w:hAnsi="MS Gothic" w:eastAsia="MS Gothic" w:cs="宋体"/>
                    <w:color w:val="auto"/>
                    <w:kern w:val="0"/>
                    <w:sz w:val="24"/>
                  </w:rPr>
                  <w:t>☐</w:t>
                </w:r>
              </w:sdtContent>
            </w:sdt>
            <w:r>
              <w:rPr>
                <w:rFonts w:hint="eastAsia" w:ascii="宋体" w:hAnsi="宋体" w:cs="宋体"/>
                <w:color w:val="auto"/>
                <w:kern w:val="0"/>
                <w:sz w:val="24"/>
              </w:rPr>
              <w:t>A</w:t>
            </w:r>
            <w:r>
              <w:rPr>
                <w:rFonts w:hint="eastAsia" w:ascii="宋体" w:hAnsi="宋体" w:cs="宋体"/>
                <w:color w:val="auto"/>
                <w:sz w:val="24"/>
              </w:rPr>
              <w:t>不组织。</w:t>
            </w:r>
          </w:p>
          <w:p w14:paraId="2C1B851C">
            <w:pPr>
              <w:rPr>
                <w:rFonts w:ascii="宋体" w:hAnsi="宋体" w:cs="宋体"/>
                <w:color w:val="auto"/>
                <w:kern w:val="0"/>
                <w:sz w:val="24"/>
              </w:rPr>
            </w:pPr>
            <w:sdt>
              <w:sdtPr>
                <w:rPr>
                  <w:rFonts w:hint="eastAsia" w:ascii="宋体" w:hAnsi="宋体" w:cs="宋体"/>
                  <w:color w:val="auto"/>
                  <w:kern w:val="0"/>
                  <w:sz w:val="24"/>
                </w:rPr>
                <w:id w:val="117407171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cs="宋体"/>
                    <w:color w:val="auto"/>
                    <w:kern w:val="0"/>
                    <w:sz w:val="24"/>
                  </w:rPr>
                  <w:t>þ</w:t>
                </w:r>
              </w:sdtContent>
            </w:sdt>
            <w:r>
              <w:rPr>
                <w:rFonts w:hint="eastAsia" w:ascii="宋体" w:hAnsi="宋体" w:cs="宋体"/>
                <w:color w:val="auto"/>
                <w:kern w:val="0"/>
                <w:sz w:val="24"/>
              </w:rPr>
              <w:t>B组织。</w:t>
            </w:r>
          </w:p>
          <w:p w14:paraId="36CE4A5B">
            <w:pPr>
              <w:snapToGrid w:val="0"/>
              <w:rPr>
                <w:rFonts w:ascii="宋体" w:hAnsi="宋体" w:cs="宋体"/>
                <w:b/>
                <w:bCs/>
                <w:color w:val="auto"/>
                <w:sz w:val="24"/>
              </w:rPr>
            </w:pPr>
            <w:r>
              <w:rPr>
                <w:rFonts w:hint="eastAsia" w:ascii="宋体" w:hAnsi="宋体" w:cs="宋体"/>
                <w:b/>
                <w:bCs/>
                <w:color w:val="auto"/>
                <w:sz w:val="24"/>
              </w:rPr>
              <w:t>1）</w:t>
            </w:r>
            <w:r>
              <w:rPr>
                <w:rFonts w:hint="eastAsia" w:ascii="宋体" w:hAnsi="宋体" w:cs="宋体"/>
                <w:b/>
                <w:bCs/>
                <w:color w:val="auto"/>
                <w:sz w:val="24"/>
                <w:lang w:val="zh-CN"/>
              </w:rPr>
              <w:t>投标人可选择通过现场演示，现场演示所用到的设备及配件由投标人自行准备，</w:t>
            </w:r>
            <w:r>
              <w:rPr>
                <w:rFonts w:hint="eastAsia" w:ascii="宋体" w:hAnsi="宋体" w:cs="宋体"/>
                <w:b/>
                <w:bCs/>
                <w:color w:val="auto"/>
                <w:sz w:val="24"/>
              </w:rPr>
              <w:t>每家单位演示时间不超过12分钟。</w:t>
            </w:r>
          </w:p>
          <w:p w14:paraId="23074DF7">
            <w:pPr>
              <w:snapToGrid w:val="0"/>
              <w:rPr>
                <w:rFonts w:ascii="宋体" w:hAnsi="宋体" w:cs="宋体"/>
                <w:color w:val="auto"/>
                <w:sz w:val="24"/>
              </w:rPr>
            </w:pPr>
            <w:r>
              <w:rPr>
                <w:rFonts w:hint="eastAsia" w:ascii="宋体" w:hAnsi="宋体" w:cs="宋体"/>
                <w:b/>
                <w:bCs/>
                <w:color w:val="auto"/>
                <w:sz w:val="24"/>
              </w:rPr>
              <w:t>2）投标人可选择将演示视频（视频时间不超过12分钟）存入U盘后，在投标文件提交（上传）截止时间前，将U盘邮寄至宁波市鄞州区天童南路666号中基大厦19楼业务六部 朱工 0574-87425380；</w:t>
            </w:r>
            <w:r>
              <w:rPr>
                <w:rFonts w:hint="eastAsia" w:ascii="宋体" w:hAnsi="宋体" w:cs="宋体"/>
                <w:b/>
                <w:bCs/>
                <w:color w:val="auto"/>
                <w:sz w:val="24"/>
              </w:rPr>
              <w:br w:type="textWrapping"/>
            </w:r>
            <w:r>
              <w:rPr>
                <w:rFonts w:hint="eastAsia" w:ascii="宋体" w:hAnsi="宋体" w:cs="宋体"/>
                <w:b/>
                <w:bCs/>
                <w:color w:val="auto"/>
                <w:sz w:val="24"/>
              </w:rPr>
              <w:t>3)演示评审详见 招标文件 “第四部分  评标办法”。</w:t>
            </w:r>
          </w:p>
        </w:tc>
      </w:tr>
      <w:tr w14:paraId="01D28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Merge w:val="restart"/>
            <w:vAlign w:val="center"/>
          </w:tcPr>
          <w:p w14:paraId="391E622C">
            <w:pPr>
              <w:snapToGrid w:val="0"/>
              <w:jc w:val="center"/>
              <w:rPr>
                <w:rFonts w:ascii="宋体" w:hAnsi="宋体" w:cs="宋体"/>
                <w:b/>
                <w:color w:val="auto"/>
                <w:sz w:val="24"/>
              </w:rPr>
            </w:pPr>
            <w:r>
              <w:rPr>
                <w:rFonts w:hint="eastAsia" w:ascii="宋体" w:hAnsi="宋体" w:cs="宋体"/>
                <w:b/>
                <w:color w:val="auto"/>
                <w:sz w:val="24"/>
              </w:rPr>
              <w:t>8</w:t>
            </w:r>
          </w:p>
        </w:tc>
        <w:tc>
          <w:tcPr>
            <w:tcW w:w="2799" w:type="dxa"/>
            <w:vMerge w:val="restart"/>
            <w:vAlign w:val="center"/>
          </w:tcPr>
          <w:p w14:paraId="5DA8F844">
            <w:pPr>
              <w:snapToGrid w:val="0"/>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5640" w:type="dxa"/>
            <w:vAlign w:val="center"/>
          </w:tcPr>
          <w:p w14:paraId="36493114">
            <w:pPr>
              <w:rPr>
                <w:rFonts w:ascii="宋体" w:hAnsi="宋体" w:cs="宋体"/>
                <w:color w:val="auto"/>
                <w:sz w:val="24"/>
              </w:rPr>
            </w:pPr>
            <w:r>
              <w:rPr>
                <w:rFonts w:hint="eastAsia" w:ascii="宋体" w:hAnsi="宋体" w:cs="宋体"/>
                <w:color w:val="auto"/>
                <w:sz w:val="24"/>
              </w:rPr>
              <w:t>（1）资格证明文件：见招标文件第二部分11.1。</w:t>
            </w:r>
          </w:p>
          <w:p w14:paraId="30ECA714">
            <w:pPr>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14:paraId="646B1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Merge w:val="continue"/>
            <w:vAlign w:val="center"/>
          </w:tcPr>
          <w:p w14:paraId="04FD47A8">
            <w:pPr>
              <w:snapToGrid w:val="0"/>
              <w:jc w:val="center"/>
              <w:rPr>
                <w:rFonts w:ascii="宋体" w:hAnsi="宋体" w:cs="宋体"/>
                <w:b/>
                <w:color w:val="auto"/>
                <w:sz w:val="24"/>
              </w:rPr>
            </w:pPr>
          </w:p>
        </w:tc>
        <w:tc>
          <w:tcPr>
            <w:tcW w:w="2799" w:type="dxa"/>
            <w:vMerge w:val="continue"/>
            <w:vAlign w:val="center"/>
          </w:tcPr>
          <w:p w14:paraId="03B2A4C5">
            <w:pPr>
              <w:snapToGrid w:val="0"/>
              <w:jc w:val="center"/>
              <w:rPr>
                <w:rFonts w:ascii="宋体" w:hAnsi="宋体" w:cs="宋体"/>
                <w:b/>
                <w:color w:val="auto"/>
                <w:sz w:val="24"/>
              </w:rPr>
            </w:pPr>
          </w:p>
        </w:tc>
        <w:tc>
          <w:tcPr>
            <w:tcW w:w="5640" w:type="dxa"/>
            <w:vAlign w:val="center"/>
          </w:tcPr>
          <w:p w14:paraId="7767CE87">
            <w:pPr>
              <w:rPr>
                <w:rFonts w:ascii="宋体" w:hAnsi="宋体" w:cs="宋体"/>
                <w:color w:val="auto"/>
                <w:sz w:val="24"/>
              </w:rPr>
            </w:pPr>
            <w:r>
              <w:rPr>
                <w:rFonts w:hint="eastAsia" w:ascii="宋体" w:hAnsi="宋体" w:cs="宋体"/>
                <w:color w:val="auto"/>
                <w:sz w:val="24"/>
              </w:rPr>
              <w:t>（2）资信证明文件：根据招标文件第四部分评标标准提供。</w:t>
            </w:r>
          </w:p>
        </w:tc>
      </w:tr>
      <w:tr w14:paraId="1E292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14:paraId="7AA2222B">
            <w:pPr>
              <w:snapToGrid w:val="0"/>
              <w:jc w:val="center"/>
              <w:rPr>
                <w:rFonts w:ascii="宋体" w:hAnsi="宋体" w:cs="宋体"/>
                <w:b/>
                <w:color w:val="auto"/>
                <w:sz w:val="24"/>
              </w:rPr>
            </w:pPr>
            <w:r>
              <w:rPr>
                <w:rFonts w:hint="eastAsia" w:ascii="宋体" w:hAnsi="宋体" w:cs="宋体"/>
                <w:b/>
                <w:color w:val="auto"/>
                <w:sz w:val="24"/>
              </w:rPr>
              <w:t>9</w:t>
            </w:r>
          </w:p>
        </w:tc>
        <w:tc>
          <w:tcPr>
            <w:tcW w:w="2799" w:type="dxa"/>
            <w:vAlign w:val="center"/>
          </w:tcPr>
          <w:p w14:paraId="3905CAB3">
            <w:pPr>
              <w:snapToGrid w:val="0"/>
              <w:jc w:val="center"/>
              <w:rPr>
                <w:rFonts w:ascii="宋体" w:hAnsi="宋体" w:cs="宋体"/>
                <w:b/>
                <w:color w:val="auto"/>
                <w:sz w:val="24"/>
              </w:rPr>
            </w:pPr>
            <w:r>
              <w:rPr>
                <w:rFonts w:hint="eastAsia" w:ascii="宋体" w:hAnsi="宋体" w:cs="宋体"/>
                <w:b/>
                <w:color w:val="auto"/>
                <w:sz w:val="24"/>
              </w:rPr>
              <w:t>节能产品、环境标志产品</w:t>
            </w:r>
          </w:p>
        </w:tc>
        <w:tc>
          <w:tcPr>
            <w:tcW w:w="5640" w:type="dxa"/>
            <w:vAlign w:val="center"/>
          </w:tcPr>
          <w:p w14:paraId="2E3E1144">
            <w:pPr>
              <w:snapToGrid w:val="0"/>
              <w:rPr>
                <w:rFonts w:ascii="宋体" w:hAnsi="宋体" w:cs="宋体"/>
                <w:color w:val="auto"/>
              </w:rPr>
            </w:pPr>
            <w:r>
              <w:rPr>
                <w:rFonts w:hint="eastAsia" w:ascii="宋体" w:hAnsi="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EC06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14:paraId="2BF75BAE">
            <w:pPr>
              <w:snapToGrid w:val="0"/>
              <w:jc w:val="center"/>
              <w:rPr>
                <w:rFonts w:ascii="宋体" w:hAnsi="宋体" w:cs="宋体"/>
                <w:b/>
                <w:color w:val="auto"/>
                <w:sz w:val="24"/>
              </w:rPr>
            </w:pPr>
            <w:r>
              <w:rPr>
                <w:rFonts w:hint="eastAsia" w:ascii="宋体" w:hAnsi="宋体" w:cs="宋体"/>
                <w:b/>
                <w:color w:val="auto"/>
                <w:sz w:val="24"/>
              </w:rPr>
              <w:t>10</w:t>
            </w:r>
          </w:p>
        </w:tc>
        <w:tc>
          <w:tcPr>
            <w:tcW w:w="2799" w:type="dxa"/>
            <w:vAlign w:val="center"/>
          </w:tcPr>
          <w:p w14:paraId="4B84FC6D">
            <w:pPr>
              <w:snapToGrid w:val="0"/>
              <w:jc w:val="center"/>
              <w:rPr>
                <w:rFonts w:ascii="宋体" w:hAnsi="宋体" w:cs="宋体"/>
                <w:b/>
                <w:color w:val="auto"/>
                <w:sz w:val="24"/>
              </w:rPr>
            </w:pPr>
            <w:r>
              <w:rPr>
                <w:rFonts w:hint="eastAsia" w:ascii="宋体" w:hAnsi="宋体" w:cs="宋体"/>
                <w:b/>
                <w:color w:val="auto"/>
                <w:sz w:val="24"/>
              </w:rPr>
              <w:t>报价要求</w:t>
            </w:r>
          </w:p>
        </w:tc>
        <w:tc>
          <w:tcPr>
            <w:tcW w:w="5640" w:type="dxa"/>
            <w:vAlign w:val="center"/>
          </w:tcPr>
          <w:p w14:paraId="47D4AFBF">
            <w:pPr>
              <w:snapToGrid w:val="0"/>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招标文件未列明，而投标人认为必需的费用也需列入报价。</w:t>
            </w:r>
          </w:p>
          <w:p w14:paraId="45671D89">
            <w:pPr>
              <w:snapToGrid w:val="0"/>
              <w:ind w:firstLine="241" w:firstLineChars="100"/>
              <w:jc w:val="left"/>
              <w:rPr>
                <w:rFonts w:ascii="宋体" w:hAnsi="宋体" w:cs="宋体"/>
                <w:b/>
                <w:color w:val="auto"/>
                <w:kern w:val="0"/>
                <w:sz w:val="24"/>
                <w:lang w:val="zh-CN"/>
              </w:rPr>
            </w:pPr>
            <w:r>
              <w:rPr>
                <w:rFonts w:hint="eastAsia" w:ascii="宋体" w:hAnsi="宋体" w:cs="宋体"/>
                <w:b/>
                <w:color w:val="auto"/>
                <w:kern w:val="0"/>
                <w:sz w:val="24"/>
              </w:rPr>
              <w:t>本项目</w:t>
            </w:r>
            <w:r>
              <w:rPr>
                <w:rFonts w:hint="eastAsia" w:ascii="宋体" w:hAnsi="宋体" w:cs="宋体"/>
                <w:b/>
                <w:color w:val="auto"/>
                <w:kern w:val="0"/>
                <w:sz w:val="24"/>
                <w:lang w:val="zh-CN"/>
              </w:rPr>
              <w:t>采用</w:t>
            </w:r>
            <w:r>
              <w:rPr>
                <w:rFonts w:hint="eastAsia" w:ascii="宋体" w:hAnsi="宋体" w:cs="宋体"/>
                <w:b/>
                <w:color w:val="auto"/>
                <w:kern w:val="0"/>
                <w:sz w:val="24"/>
              </w:rPr>
              <w:t>人民币</w:t>
            </w:r>
            <w:r>
              <w:rPr>
                <w:rFonts w:hint="eastAsia" w:ascii="宋体" w:hAnsi="宋体" w:cs="宋体"/>
                <w:b/>
                <w:color w:val="auto"/>
                <w:kern w:val="0"/>
                <w:sz w:val="24"/>
                <w:lang w:val="zh-CN"/>
              </w:rPr>
              <w:t>报价。</w:t>
            </w:r>
          </w:p>
          <w:p w14:paraId="1FE4E0DF">
            <w:pPr>
              <w:snapToGrid w:val="0"/>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本项目投标报价须是完成本项目的所有费用，包括完成用户当前环境下</w:t>
            </w:r>
            <w:r>
              <w:rPr>
                <w:rFonts w:hint="eastAsia" w:ascii="宋体" w:hAnsi="宋体" w:cs="宋体"/>
                <w:b/>
                <w:color w:val="auto"/>
                <w:kern w:val="0"/>
                <w:sz w:val="24"/>
              </w:rPr>
              <w:t>平台</w:t>
            </w:r>
            <w:r>
              <w:rPr>
                <w:rFonts w:hint="eastAsia" w:ascii="宋体" w:hAnsi="宋体" w:cs="宋体"/>
                <w:b/>
                <w:color w:val="auto"/>
                <w:kern w:val="0"/>
                <w:sz w:val="24"/>
                <w:lang w:val="zh-CN"/>
              </w:rPr>
              <w:t>正常运行所需的</w:t>
            </w:r>
            <w:r>
              <w:rPr>
                <w:rFonts w:hint="eastAsia" w:ascii="宋体" w:hAnsi="宋体" w:cs="宋体"/>
                <w:b/>
                <w:color w:val="auto"/>
                <w:kern w:val="0"/>
                <w:sz w:val="24"/>
              </w:rPr>
              <w:t>系统</w:t>
            </w:r>
            <w:r>
              <w:rPr>
                <w:rFonts w:hint="eastAsia" w:ascii="宋体" w:hAnsi="宋体" w:cs="宋体"/>
                <w:b/>
                <w:color w:val="auto"/>
                <w:kern w:val="0"/>
                <w:sz w:val="24"/>
                <w:lang w:val="zh-CN"/>
              </w:rPr>
              <w:t>开发、系统对接、测试、运输、安装调试、验收、培训、免费质保期的售后服务等全部费用。</w:t>
            </w:r>
          </w:p>
          <w:p w14:paraId="2A938528">
            <w:pPr>
              <w:snapToGrid w:val="0"/>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不论投标结果如何，投标人均应自行承担所有与投标有关的全部费用。</w:t>
            </w:r>
          </w:p>
          <w:p w14:paraId="78682792">
            <w:pPr>
              <w:snapToGrid w:val="0"/>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14:paraId="4EC2F649">
            <w:pPr>
              <w:snapToGrid w:val="0"/>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14:paraId="286F3E3D">
            <w:pPr>
              <w:snapToGrid w:val="0"/>
              <w:ind w:firstLine="241" w:firstLineChars="100"/>
              <w:jc w:val="left"/>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14:paraId="4EB37D54">
            <w:pPr>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报价明显低于其他通过符合性审查投标人的报价（低于项目预算50%的），有可能影响产品质量或者不能诚信履约的，未能按要求提供书面说明或者提交相关证明材料，不能证明其报价合理性的</w:t>
            </w:r>
            <w:r>
              <w:rPr>
                <w:rFonts w:hint="eastAsia" w:ascii="宋体" w:hAnsi="宋体" w:cs="宋体"/>
                <w:b/>
                <w:color w:val="auto"/>
                <w:sz w:val="24"/>
                <w:szCs w:val="21"/>
              </w:rPr>
              <w:t>；</w:t>
            </w:r>
          </w:p>
          <w:p w14:paraId="56DBF12E">
            <w:pPr>
              <w:ind w:firstLine="241" w:firstLineChars="100"/>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14:paraId="00641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14:paraId="4546ED8E">
            <w:pPr>
              <w:snapToGrid w:val="0"/>
              <w:jc w:val="center"/>
              <w:rPr>
                <w:rFonts w:ascii="宋体" w:hAnsi="宋体" w:cs="宋体"/>
                <w:b/>
                <w:color w:val="auto"/>
                <w:sz w:val="24"/>
              </w:rPr>
            </w:pPr>
            <w:r>
              <w:rPr>
                <w:rFonts w:hint="eastAsia" w:ascii="宋体" w:hAnsi="宋体" w:cs="宋体"/>
                <w:b/>
                <w:color w:val="auto"/>
                <w:sz w:val="24"/>
              </w:rPr>
              <w:t>11</w:t>
            </w:r>
          </w:p>
        </w:tc>
        <w:tc>
          <w:tcPr>
            <w:tcW w:w="2799" w:type="dxa"/>
            <w:vAlign w:val="center"/>
          </w:tcPr>
          <w:p w14:paraId="4D1432DB">
            <w:pPr>
              <w:snapToGrid w:val="0"/>
              <w:jc w:val="center"/>
              <w:rPr>
                <w:rFonts w:ascii="宋体" w:hAnsi="宋体" w:cs="宋体"/>
                <w:b/>
                <w:color w:val="auto"/>
                <w:sz w:val="24"/>
              </w:rPr>
            </w:pPr>
            <w:r>
              <w:rPr>
                <w:rFonts w:hint="eastAsia" w:ascii="宋体" w:hAnsi="宋体" w:cs="宋体"/>
                <w:b/>
                <w:color w:val="auto"/>
                <w:sz w:val="24"/>
              </w:rPr>
              <w:t>中小企业信用融资</w:t>
            </w:r>
          </w:p>
        </w:tc>
        <w:tc>
          <w:tcPr>
            <w:tcW w:w="5640" w:type="dxa"/>
            <w:vAlign w:val="center"/>
          </w:tcPr>
          <w:p w14:paraId="1AEFE656">
            <w:pPr>
              <w:ind w:firstLine="480" w:firstLineChars="200"/>
              <w:rPr>
                <w:rFonts w:ascii="宋体" w:hAnsi="宋体" w:cs="宋体"/>
                <w:color w:val="auto"/>
                <w:sz w:val="24"/>
              </w:rPr>
            </w:pPr>
            <w:r>
              <w:rPr>
                <w:rFonts w:hint="eastAsia" w:ascii="宋体" w:hAnsi="宋体" w:cs="宋体"/>
                <w:snapToGrid w:val="0"/>
                <w:color w:val="auto"/>
                <w:kern w:val="28"/>
                <w:sz w:val="24"/>
              </w:rPr>
              <w:t>投标人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14:paraId="3C288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14:paraId="1BF2E341">
            <w:pPr>
              <w:snapToGrid w:val="0"/>
              <w:jc w:val="center"/>
              <w:rPr>
                <w:rFonts w:ascii="宋体" w:hAnsi="宋体" w:cs="宋体"/>
                <w:b/>
                <w:color w:val="auto"/>
                <w:sz w:val="24"/>
              </w:rPr>
            </w:pPr>
            <w:r>
              <w:rPr>
                <w:rFonts w:hint="eastAsia" w:ascii="宋体" w:hAnsi="宋体" w:cs="宋体"/>
                <w:b/>
                <w:color w:val="auto"/>
                <w:sz w:val="24"/>
              </w:rPr>
              <w:t>12</w:t>
            </w:r>
          </w:p>
        </w:tc>
        <w:tc>
          <w:tcPr>
            <w:tcW w:w="2799" w:type="dxa"/>
            <w:vAlign w:val="center"/>
          </w:tcPr>
          <w:p w14:paraId="5004E46B">
            <w:pPr>
              <w:snapToGrid w:val="0"/>
              <w:jc w:val="center"/>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5640" w:type="dxa"/>
            <w:vAlign w:val="center"/>
          </w:tcPr>
          <w:p w14:paraId="66BBC0C0">
            <w:pPr>
              <w:pStyle w:val="33"/>
              <w:rPr>
                <w:rFonts w:cs="宋体" w:asciiTheme="minorEastAsia" w:hAnsiTheme="minorEastAsia" w:eastAsiaTheme="minorEastAsia"/>
                <w:color w:val="auto"/>
                <w:kern w:val="28"/>
                <w:sz w:val="24"/>
                <w:szCs w:val="24"/>
              </w:rPr>
            </w:pPr>
            <w:r>
              <w:rPr>
                <w:rFonts w:hint="eastAsia" w:cs="宋体" w:asciiTheme="minorEastAsia" w:hAnsiTheme="minorEastAsia" w:eastAsiaTheme="minorEastAsia"/>
                <w:color w:val="auto"/>
                <w:kern w:val="28"/>
                <w:sz w:val="24"/>
                <w:szCs w:val="24"/>
              </w:rPr>
              <w:t>投标人可以准备U盘存储的电子备份投标文件1份，按政府采购云平台要求制作的电子备份投标文件，以用于异常情况处理。</w:t>
            </w:r>
          </w:p>
          <w:p w14:paraId="4BDE6475">
            <w:pPr>
              <w:pStyle w:val="33"/>
              <w:rPr>
                <w:rFonts w:cs="宋体" w:asciiTheme="minorEastAsia" w:hAnsiTheme="minorEastAsia" w:eastAsiaTheme="minorEastAsia"/>
                <w:color w:val="auto"/>
                <w:kern w:val="28"/>
                <w:sz w:val="24"/>
                <w:szCs w:val="24"/>
              </w:rPr>
            </w:pPr>
            <w:r>
              <w:rPr>
                <w:rFonts w:hint="eastAsia" w:cs="宋体" w:asciiTheme="minorEastAsia" w:hAnsiTheme="minorEastAsia" w:eastAsiaTheme="minorEastAsia"/>
                <w:color w:val="auto"/>
                <w:kern w:val="28"/>
                <w:sz w:val="24"/>
                <w:szCs w:val="24"/>
              </w:rPr>
              <w:t>如提供备份投标文件的，应于投标文件提交（上传）截止时间前，将以U盘存储的电子备份投标文件密封，递交至</w:t>
            </w:r>
            <w:r>
              <w:rPr>
                <w:rFonts w:hint="eastAsia" w:cs="宋体" w:asciiTheme="minorEastAsia" w:hAnsiTheme="minorEastAsia" w:eastAsiaTheme="minorEastAsia"/>
                <w:color w:val="auto"/>
                <w:kern w:val="28"/>
                <w:sz w:val="24"/>
                <w:szCs w:val="24"/>
                <w:u w:val="single"/>
              </w:rPr>
              <w:t>中基招标会议中心开标室（宁波市鄞州区天童南路666号中基大厦1楼）</w:t>
            </w:r>
            <w:r>
              <w:rPr>
                <w:rFonts w:hint="eastAsia" w:cs="宋体" w:asciiTheme="minorEastAsia" w:hAnsiTheme="minorEastAsia" w:eastAsiaTheme="minorEastAsia"/>
                <w:color w:val="auto"/>
                <w:kern w:val="28"/>
                <w:sz w:val="24"/>
                <w:szCs w:val="24"/>
              </w:rPr>
              <w:t>，逾期送达或未密封将予以拒收。</w:t>
            </w:r>
          </w:p>
          <w:p w14:paraId="2DC0CD1F">
            <w:pPr>
              <w:pStyle w:val="33"/>
              <w:rPr>
                <w:rFonts w:cs="宋体" w:asciiTheme="minorEastAsia" w:hAnsiTheme="minorEastAsia" w:eastAsiaTheme="minorEastAsia"/>
                <w:b/>
                <w:bCs/>
                <w:color w:val="auto"/>
                <w:kern w:val="28"/>
                <w:sz w:val="24"/>
                <w:szCs w:val="24"/>
              </w:rPr>
            </w:pPr>
            <w:r>
              <w:rPr>
                <w:rFonts w:hint="eastAsia" w:cs="宋体" w:asciiTheme="minorEastAsia" w:hAnsiTheme="minorEastAsia" w:eastAsiaTheme="minorEastAsia"/>
                <w:b/>
                <w:bCs/>
                <w:color w:val="auto"/>
                <w:kern w:val="28"/>
                <w:sz w:val="24"/>
                <w:szCs w:val="24"/>
              </w:rPr>
              <w:t>投标人可采用邮寄（含快递）方式递交备份投标文件。</w:t>
            </w:r>
          </w:p>
          <w:p w14:paraId="5889F853">
            <w:pPr>
              <w:pStyle w:val="33"/>
              <w:rPr>
                <w:rFonts w:cs="宋体" w:asciiTheme="minorEastAsia" w:hAnsiTheme="minorEastAsia" w:eastAsiaTheme="minorEastAsia"/>
                <w:color w:val="auto"/>
                <w:kern w:val="28"/>
                <w:sz w:val="24"/>
                <w:szCs w:val="24"/>
              </w:rPr>
            </w:pPr>
            <w:r>
              <w:rPr>
                <w:rFonts w:hint="eastAsia" w:cs="宋体" w:asciiTheme="minorEastAsia" w:hAnsiTheme="minorEastAsia" w:eastAsiaTheme="minorEastAsia"/>
                <w:color w:val="auto"/>
                <w:kern w:val="28"/>
                <w:sz w:val="24"/>
                <w:szCs w:val="24"/>
              </w:rPr>
              <w:t>各投标人在规定时间前将备份投标文件邮寄至规定地点，由采购代理工作人员进行签收，各投标人自行考虑邮寄在途时间，邮寄过程中无论何种因素导致备份投标文件未按时递交的后果，均由投标人自行负责。备份投标文件递交时间以</w:t>
            </w:r>
            <w:bookmarkStart w:id="526" w:name="_GoBack"/>
            <w:bookmarkEnd w:id="526"/>
            <w:r>
              <w:rPr>
                <w:rFonts w:hint="eastAsia" w:cs="宋体" w:asciiTheme="minorEastAsia" w:hAnsiTheme="minorEastAsia" w:eastAsiaTheme="minorEastAsia"/>
                <w:color w:val="auto"/>
                <w:kern w:val="28"/>
                <w:sz w:val="24"/>
                <w:szCs w:val="24"/>
              </w:rPr>
              <w:t>采购代理实际收到备份投标文件的时间为准。</w:t>
            </w:r>
          </w:p>
          <w:p w14:paraId="40086EBB">
            <w:pPr>
              <w:pStyle w:val="33"/>
              <w:rPr>
                <w:rFonts w:cs="宋体" w:asciiTheme="minorEastAsia" w:hAnsiTheme="minorEastAsia" w:eastAsiaTheme="minorEastAsia"/>
                <w:color w:val="auto"/>
                <w:kern w:val="28"/>
                <w:sz w:val="24"/>
                <w:szCs w:val="24"/>
              </w:rPr>
            </w:pPr>
            <w:r>
              <w:rPr>
                <w:rFonts w:hint="eastAsia" w:cs="宋体" w:asciiTheme="minorEastAsia" w:hAnsiTheme="minorEastAsia" w:eastAsiaTheme="minorEastAsia"/>
                <w:color w:val="auto"/>
                <w:kern w:val="28"/>
                <w:sz w:val="24"/>
                <w:szCs w:val="24"/>
              </w:rPr>
              <w:t>拟在2024年</w:t>
            </w:r>
            <w:r>
              <w:rPr>
                <w:rFonts w:hint="eastAsia" w:cs="宋体" w:asciiTheme="minorEastAsia" w:hAnsiTheme="minorEastAsia" w:eastAsiaTheme="minorEastAsia"/>
                <w:color w:val="auto"/>
                <w:kern w:val="28"/>
                <w:sz w:val="24"/>
                <w:szCs w:val="24"/>
                <w:lang w:val="en-US" w:eastAsia="zh-CN"/>
              </w:rPr>
              <w:t>12</w:t>
            </w:r>
            <w:r>
              <w:rPr>
                <w:rFonts w:hint="eastAsia" w:cs="宋体" w:asciiTheme="minorEastAsia" w:hAnsiTheme="minorEastAsia" w:eastAsiaTheme="minorEastAsia"/>
                <w:color w:val="auto"/>
                <w:kern w:val="28"/>
                <w:sz w:val="24"/>
                <w:szCs w:val="24"/>
              </w:rPr>
              <w:t>月</w:t>
            </w:r>
            <w:r>
              <w:rPr>
                <w:rFonts w:hint="eastAsia" w:cs="宋体" w:asciiTheme="minorEastAsia" w:hAnsiTheme="minorEastAsia" w:eastAsiaTheme="minorEastAsia"/>
                <w:color w:val="auto"/>
                <w:kern w:val="28"/>
                <w:sz w:val="24"/>
                <w:szCs w:val="24"/>
                <w:lang w:val="en-US" w:eastAsia="zh-CN"/>
              </w:rPr>
              <w:t>31</w:t>
            </w:r>
            <w:r>
              <w:rPr>
                <w:rFonts w:hint="eastAsia" w:cs="宋体" w:asciiTheme="minorEastAsia" w:hAnsiTheme="minorEastAsia" w:eastAsiaTheme="minorEastAsia"/>
                <w:color w:val="auto"/>
                <w:kern w:val="28"/>
                <w:sz w:val="24"/>
                <w:szCs w:val="24"/>
              </w:rPr>
              <w:t>日（含）16：00前到件的邮寄地址为：宁波市鄞州区天童南路666号中基大厦19楼业务六部；</w:t>
            </w:r>
          </w:p>
          <w:p w14:paraId="1E8CC8F6">
            <w:pPr>
              <w:pStyle w:val="33"/>
              <w:rPr>
                <w:rFonts w:cs="宋体" w:asciiTheme="minorEastAsia" w:hAnsiTheme="minorEastAsia" w:eastAsiaTheme="minorEastAsia"/>
                <w:color w:val="auto"/>
                <w:kern w:val="28"/>
                <w:sz w:val="24"/>
                <w:szCs w:val="24"/>
              </w:rPr>
            </w:pPr>
            <w:r>
              <w:rPr>
                <w:rFonts w:hint="eastAsia" w:cs="宋体" w:asciiTheme="minorEastAsia" w:hAnsiTheme="minorEastAsia" w:eastAsiaTheme="minorEastAsia"/>
                <w:color w:val="auto"/>
                <w:kern w:val="28"/>
                <w:sz w:val="24"/>
                <w:szCs w:val="24"/>
              </w:rPr>
              <w:t>收件人：朱工   联系方式：0574-87425380</w:t>
            </w:r>
          </w:p>
          <w:p w14:paraId="1A0654B8">
            <w:pPr>
              <w:pStyle w:val="33"/>
              <w:rPr>
                <w:rFonts w:cs="宋体" w:asciiTheme="minorEastAsia" w:hAnsiTheme="minorEastAsia" w:eastAsiaTheme="minorEastAsia"/>
                <w:color w:val="auto"/>
                <w:kern w:val="28"/>
                <w:sz w:val="24"/>
                <w:szCs w:val="24"/>
              </w:rPr>
            </w:pPr>
            <w:r>
              <w:rPr>
                <w:rFonts w:hint="eastAsia" w:cs="宋体" w:asciiTheme="minorEastAsia" w:hAnsiTheme="minorEastAsia" w:eastAsiaTheme="minorEastAsia"/>
                <w:color w:val="auto"/>
                <w:kern w:val="28"/>
                <w:sz w:val="24"/>
                <w:szCs w:val="24"/>
              </w:rPr>
              <w:t>请各投标人确保密封包装在邮寄过程密封包装完好，因邮寄过程的密封破损造成不符合开标要求的，本采购代理及采购人概不负责。</w:t>
            </w:r>
          </w:p>
          <w:p w14:paraId="7FECD807">
            <w:pPr>
              <w:pStyle w:val="33"/>
              <w:rPr>
                <w:rFonts w:hAnsi="宋体" w:cs="宋体"/>
                <w:color w:val="auto"/>
                <w:kern w:val="28"/>
                <w:sz w:val="24"/>
              </w:rPr>
            </w:pPr>
            <w:r>
              <w:rPr>
                <w:rFonts w:hint="eastAsia" w:cs="宋体" w:asciiTheme="minorEastAsia" w:hAnsiTheme="minorEastAsia" w:eastAsiaTheme="minorEastAsia"/>
                <w:b/>
                <w:color w:val="auto"/>
                <w:sz w:val="24"/>
                <w:szCs w:val="24"/>
              </w:rPr>
              <w:t>采购人、采购代理机构不强制或变相强制投标人提交备份投标文件。</w:t>
            </w:r>
          </w:p>
        </w:tc>
      </w:tr>
      <w:tr w14:paraId="4A499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Merge w:val="restart"/>
            <w:vAlign w:val="center"/>
          </w:tcPr>
          <w:p w14:paraId="79A1A352">
            <w:pPr>
              <w:snapToGrid w:val="0"/>
              <w:jc w:val="center"/>
              <w:rPr>
                <w:rFonts w:ascii="宋体" w:hAnsi="宋体" w:cs="宋体"/>
                <w:b/>
                <w:color w:val="auto"/>
                <w:sz w:val="24"/>
              </w:rPr>
            </w:pPr>
            <w:r>
              <w:rPr>
                <w:rFonts w:hint="eastAsia" w:ascii="宋体" w:hAnsi="宋体" w:cs="宋体"/>
                <w:b/>
                <w:color w:val="auto"/>
                <w:sz w:val="24"/>
              </w:rPr>
              <w:t>13</w:t>
            </w:r>
          </w:p>
        </w:tc>
        <w:tc>
          <w:tcPr>
            <w:tcW w:w="2799" w:type="dxa"/>
            <w:vMerge w:val="restart"/>
            <w:vAlign w:val="center"/>
          </w:tcPr>
          <w:p w14:paraId="4903742E">
            <w:pPr>
              <w:snapToGrid w:val="0"/>
              <w:jc w:val="center"/>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5640" w:type="dxa"/>
            <w:vAlign w:val="center"/>
          </w:tcPr>
          <w:p w14:paraId="248CD810">
            <w:pPr>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758FA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Merge w:val="continue"/>
          </w:tcPr>
          <w:p w14:paraId="05659DE4">
            <w:pPr>
              <w:snapToGrid w:val="0"/>
              <w:jc w:val="center"/>
              <w:rPr>
                <w:rFonts w:ascii="宋体" w:hAnsi="宋体" w:cs="宋体"/>
                <w:color w:val="auto"/>
                <w:sz w:val="24"/>
              </w:rPr>
            </w:pPr>
          </w:p>
        </w:tc>
        <w:tc>
          <w:tcPr>
            <w:tcW w:w="2799" w:type="dxa"/>
            <w:vMerge w:val="continue"/>
            <w:vAlign w:val="center"/>
          </w:tcPr>
          <w:p w14:paraId="2666F3F8">
            <w:pPr>
              <w:snapToGrid w:val="0"/>
              <w:jc w:val="center"/>
              <w:rPr>
                <w:rFonts w:ascii="宋体" w:hAnsi="宋体" w:cs="宋体"/>
                <w:b/>
                <w:color w:val="auto"/>
                <w:sz w:val="24"/>
              </w:rPr>
            </w:pPr>
          </w:p>
        </w:tc>
        <w:tc>
          <w:tcPr>
            <w:tcW w:w="5640" w:type="dxa"/>
            <w:vAlign w:val="center"/>
          </w:tcPr>
          <w:p w14:paraId="56AA3727">
            <w:pPr>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47464039"/>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14:paraId="5B12A6A3">
            <w:pPr>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ascii="Wingdings" w:hAnsi="Wingdings" w:cs="Arial" w:eastAsiaTheme="minorEastAsia"/>
                    <w:color w:val="auto"/>
                    <w:kern w:val="0"/>
                    <w:sz w:val="24"/>
                  </w:rPr>
                  <w:t></w:t>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14:paraId="13BFD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14:paraId="2255B4BD">
            <w:pPr>
              <w:snapToGrid w:val="0"/>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14</w:t>
            </w:r>
          </w:p>
        </w:tc>
        <w:tc>
          <w:tcPr>
            <w:tcW w:w="2799" w:type="dxa"/>
            <w:vAlign w:val="center"/>
          </w:tcPr>
          <w:p w14:paraId="4D038B67">
            <w:pPr>
              <w:snapToGrid w:val="0"/>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其他说明</w:t>
            </w:r>
          </w:p>
        </w:tc>
        <w:tc>
          <w:tcPr>
            <w:tcW w:w="5640" w:type="dxa"/>
            <w:vAlign w:val="center"/>
          </w:tcPr>
          <w:p w14:paraId="1C07D8F8">
            <w:pPr>
              <w:pStyle w:val="21"/>
              <w:adjustRightInd/>
              <w:spacing w:line="300" w:lineRule="auto"/>
              <w:rPr>
                <w:rFonts w:cs="Arial" w:asciiTheme="minorEastAsia" w:hAnsiTheme="minorEastAsia" w:eastAsiaTheme="minorEastAsia"/>
                <w:color w:val="auto"/>
                <w:kern w:val="0"/>
                <w:sz w:val="24"/>
              </w:rPr>
            </w:pPr>
            <w:r>
              <w:rPr>
                <w:rFonts w:hint="eastAsia" w:cs="Arial" w:asciiTheme="minorEastAsia" w:hAnsiTheme="minorEastAsia" w:eastAsiaTheme="minorEastAsia"/>
                <w:color w:val="auto"/>
                <w:kern w:val="0"/>
                <w:sz w:val="24"/>
              </w:rPr>
              <w:t>招标代理服务费的收取标准：代理机构按下表中服务招标标准的80%（按差额定率累进法计算），根据中标价，向中标人收取招标代理服务费。</w:t>
            </w:r>
          </w:p>
          <w:tbl>
            <w:tblPr>
              <w:tblStyle w:val="62"/>
              <w:tblW w:w="5478" w:type="dxa"/>
              <w:jc w:val="center"/>
              <w:tblLayout w:type="fixed"/>
              <w:tblCellMar>
                <w:top w:w="15" w:type="dxa"/>
                <w:left w:w="15" w:type="dxa"/>
                <w:bottom w:w="15" w:type="dxa"/>
                <w:right w:w="15" w:type="dxa"/>
              </w:tblCellMar>
            </w:tblPr>
            <w:tblGrid>
              <w:gridCol w:w="1572"/>
              <w:gridCol w:w="1359"/>
              <w:gridCol w:w="1288"/>
              <w:gridCol w:w="1259"/>
            </w:tblGrid>
            <w:tr w14:paraId="14AE58E1">
              <w:tblPrEx>
                <w:tblCellMar>
                  <w:top w:w="15" w:type="dxa"/>
                  <w:left w:w="15" w:type="dxa"/>
                  <w:bottom w:w="15" w:type="dxa"/>
                  <w:right w:w="15" w:type="dxa"/>
                </w:tblCellMar>
              </w:tblPrEx>
              <w:trPr>
                <w:trHeight w:val="774" w:hRule="atLeast"/>
                <w:jc w:val="center"/>
              </w:trPr>
              <w:tc>
                <w:tcPr>
                  <w:tcW w:w="1572" w:type="dxa"/>
                  <w:tcBorders>
                    <w:top w:val="single" w:color="auto" w:sz="4" w:space="0"/>
                    <w:left w:val="single" w:color="auto" w:sz="6" w:space="0"/>
                    <w:bottom w:val="single" w:color="auto" w:sz="4" w:space="0"/>
                    <w:right w:val="single" w:color="auto" w:sz="4" w:space="0"/>
                    <w:tl2br w:val="single" w:color="auto" w:sz="4" w:space="0"/>
                  </w:tcBorders>
                  <w:tcMar>
                    <w:top w:w="30" w:type="dxa"/>
                    <w:left w:w="150" w:type="dxa"/>
                    <w:bottom w:w="30" w:type="dxa"/>
                    <w:right w:w="150" w:type="dxa"/>
                  </w:tcMar>
                  <w:vAlign w:val="center"/>
                </w:tcPr>
                <w:p w14:paraId="741B60CE">
                  <w:pPr>
                    <w:widowControl/>
                    <w:adjustRightInd/>
                    <w:spacing w:line="300" w:lineRule="auto"/>
                    <w:jc w:val="right"/>
                    <w:rPr>
                      <w:rFonts w:ascii="宋体" w:hAnsi="宋体" w:cs="宋体"/>
                      <w:color w:val="auto"/>
                    </w:rPr>
                  </w:pPr>
                  <w:r>
                    <w:rPr>
                      <w:rFonts w:hint="eastAsia" w:ascii="宋体" w:hAnsi="宋体" w:cs="宋体"/>
                      <w:color w:val="auto"/>
                    </w:rPr>
                    <w:t>服费类型</w:t>
                  </w:r>
                </w:p>
                <w:p w14:paraId="595DC050">
                  <w:pPr>
                    <w:widowControl/>
                    <w:adjustRightInd/>
                    <w:spacing w:line="300" w:lineRule="auto"/>
                    <w:jc w:val="left"/>
                    <w:rPr>
                      <w:rFonts w:ascii="宋体" w:hAnsi="宋体" w:cs="宋体"/>
                      <w:color w:val="auto"/>
                    </w:rPr>
                  </w:pPr>
                  <w:r>
                    <w:rPr>
                      <w:rFonts w:hint="eastAsia" w:ascii="宋体" w:hAnsi="宋体" w:cs="宋体"/>
                      <w:color w:val="auto"/>
                    </w:rPr>
                    <w:t>金额（万元）</w:t>
                  </w:r>
                </w:p>
              </w:tc>
              <w:tc>
                <w:tcPr>
                  <w:tcW w:w="135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CA7921A">
                  <w:pPr>
                    <w:widowControl/>
                    <w:adjustRightInd/>
                    <w:spacing w:line="300" w:lineRule="auto"/>
                    <w:jc w:val="left"/>
                    <w:rPr>
                      <w:rFonts w:ascii="宋体" w:hAnsi="宋体" w:cs="宋体"/>
                      <w:color w:val="auto"/>
                    </w:rPr>
                  </w:pPr>
                  <w:r>
                    <w:rPr>
                      <w:rFonts w:hint="eastAsia" w:ascii="宋体" w:hAnsi="宋体" w:cs="宋体"/>
                      <w:color w:val="auto"/>
                    </w:rPr>
                    <w:t>货物招标</w:t>
                  </w:r>
                </w:p>
              </w:tc>
              <w:tc>
                <w:tcPr>
                  <w:tcW w:w="128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39CF5DE">
                  <w:pPr>
                    <w:widowControl/>
                    <w:adjustRightInd/>
                    <w:spacing w:line="300" w:lineRule="auto"/>
                    <w:jc w:val="left"/>
                    <w:rPr>
                      <w:rFonts w:ascii="宋体" w:hAnsi="宋体" w:cs="宋体"/>
                      <w:color w:val="auto"/>
                    </w:rPr>
                  </w:pPr>
                  <w:r>
                    <w:rPr>
                      <w:rFonts w:hint="eastAsia" w:ascii="宋体" w:hAnsi="宋体" w:cs="宋体"/>
                      <w:color w:val="auto"/>
                    </w:rPr>
                    <w:t>服务招标</w:t>
                  </w:r>
                </w:p>
              </w:tc>
              <w:tc>
                <w:tcPr>
                  <w:tcW w:w="125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7911A64">
                  <w:pPr>
                    <w:widowControl/>
                    <w:adjustRightInd/>
                    <w:spacing w:line="300" w:lineRule="auto"/>
                    <w:jc w:val="left"/>
                    <w:rPr>
                      <w:rFonts w:ascii="宋体" w:hAnsi="宋体" w:cs="宋体"/>
                      <w:color w:val="auto"/>
                    </w:rPr>
                  </w:pPr>
                  <w:r>
                    <w:rPr>
                      <w:rFonts w:hint="eastAsia" w:ascii="宋体" w:hAnsi="宋体" w:cs="宋体"/>
                      <w:color w:val="auto"/>
                    </w:rPr>
                    <w:t>工程招标</w:t>
                  </w:r>
                </w:p>
              </w:tc>
            </w:tr>
            <w:tr w14:paraId="72D40356">
              <w:tblPrEx>
                <w:tblCellMar>
                  <w:top w:w="15" w:type="dxa"/>
                  <w:left w:w="15" w:type="dxa"/>
                  <w:bottom w:w="15" w:type="dxa"/>
                  <w:right w:w="15" w:type="dxa"/>
                </w:tblCellMar>
              </w:tblPrEx>
              <w:trPr>
                <w:trHeight w:val="454" w:hRule="atLeast"/>
                <w:jc w:val="center"/>
              </w:trPr>
              <w:tc>
                <w:tcPr>
                  <w:tcW w:w="1572"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F946E99">
                  <w:pPr>
                    <w:widowControl/>
                    <w:adjustRightInd/>
                    <w:spacing w:line="300" w:lineRule="auto"/>
                    <w:jc w:val="left"/>
                    <w:rPr>
                      <w:rFonts w:ascii="宋体" w:hAnsi="宋体" w:cs="宋体"/>
                      <w:color w:val="auto"/>
                    </w:rPr>
                  </w:pPr>
                  <w:r>
                    <w:rPr>
                      <w:rFonts w:hint="eastAsia" w:ascii="宋体" w:hAnsi="宋体" w:cs="宋体"/>
                      <w:color w:val="auto"/>
                    </w:rPr>
                    <w:t>100以下</w:t>
                  </w:r>
                </w:p>
              </w:tc>
              <w:tc>
                <w:tcPr>
                  <w:tcW w:w="135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C63F2FE">
                  <w:pPr>
                    <w:widowControl/>
                    <w:adjustRightInd/>
                    <w:spacing w:line="300" w:lineRule="auto"/>
                    <w:jc w:val="left"/>
                    <w:rPr>
                      <w:rFonts w:ascii="宋体" w:hAnsi="宋体" w:cs="宋体"/>
                      <w:color w:val="auto"/>
                    </w:rPr>
                  </w:pPr>
                  <w:r>
                    <w:rPr>
                      <w:rFonts w:hint="eastAsia" w:ascii="宋体" w:hAnsi="宋体" w:cs="宋体"/>
                      <w:color w:val="auto"/>
                    </w:rPr>
                    <w:t>1.5%</w:t>
                  </w:r>
                </w:p>
              </w:tc>
              <w:tc>
                <w:tcPr>
                  <w:tcW w:w="128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16DED97">
                  <w:pPr>
                    <w:widowControl/>
                    <w:adjustRightInd/>
                    <w:spacing w:line="300" w:lineRule="auto"/>
                    <w:jc w:val="left"/>
                    <w:rPr>
                      <w:rFonts w:ascii="宋体" w:hAnsi="宋体" w:cs="宋体"/>
                      <w:color w:val="auto"/>
                    </w:rPr>
                  </w:pPr>
                  <w:r>
                    <w:rPr>
                      <w:rFonts w:hint="eastAsia" w:ascii="宋体" w:hAnsi="宋体" w:cs="宋体"/>
                      <w:color w:val="auto"/>
                    </w:rPr>
                    <w:t>1.5%</w:t>
                  </w:r>
                </w:p>
              </w:tc>
              <w:tc>
                <w:tcPr>
                  <w:tcW w:w="125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11408250">
                  <w:pPr>
                    <w:widowControl/>
                    <w:adjustRightInd/>
                    <w:spacing w:line="300" w:lineRule="auto"/>
                    <w:jc w:val="left"/>
                    <w:rPr>
                      <w:rFonts w:ascii="宋体" w:hAnsi="宋体" w:cs="宋体"/>
                      <w:color w:val="auto"/>
                    </w:rPr>
                  </w:pPr>
                  <w:r>
                    <w:rPr>
                      <w:rFonts w:hint="eastAsia" w:ascii="宋体" w:hAnsi="宋体" w:cs="宋体"/>
                      <w:color w:val="auto"/>
                    </w:rPr>
                    <w:t>1.0%</w:t>
                  </w:r>
                </w:p>
              </w:tc>
            </w:tr>
            <w:tr w14:paraId="5F1A40FF">
              <w:tblPrEx>
                <w:tblCellMar>
                  <w:top w:w="15" w:type="dxa"/>
                  <w:left w:w="15" w:type="dxa"/>
                  <w:bottom w:w="15" w:type="dxa"/>
                  <w:right w:w="15" w:type="dxa"/>
                </w:tblCellMar>
              </w:tblPrEx>
              <w:trPr>
                <w:trHeight w:val="454" w:hRule="atLeast"/>
                <w:jc w:val="center"/>
              </w:trPr>
              <w:tc>
                <w:tcPr>
                  <w:tcW w:w="1572"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A90F6FF">
                  <w:pPr>
                    <w:widowControl/>
                    <w:adjustRightInd/>
                    <w:spacing w:line="300" w:lineRule="auto"/>
                    <w:jc w:val="left"/>
                    <w:rPr>
                      <w:rFonts w:ascii="宋体" w:hAnsi="宋体" w:cs="宋体"/>
                      <w:color w:val="auto"/>
                    </w:rPr>
                  </w:pPr>
                  <w:r>
                    <w:rPr>
                      <w:rFonts w:hint="eastAsia" w:ascii="宋体" w:hAnsi="宋体" w:cs="宋体"/>
                      <w:color w:val="auto"/>
                    </w:rPr>
                    <w:t>100-500</w:t>
                  </w:r>
                </w:p>
              </w:tc>
              <w:tc>
                <w:tcPr>
                  <w:tcW w:w="135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6607F1C">
                  <w:pPr>
                    <w:widowControl/>
                    <w:adjustRightInd/>
                    <w:spacing w:line="300" w:lineRule="auto"/>
                    <w:jc w:val="left"/>
                    <w:rPr>
                      <w:rFonts w:ascii="宋体" w:hAnsi="宋体" w:cs="宋体"/>
                      <w:color w:val="auto"/>
                    </w:rPr>
                  </w:pPr>
                  <w:r>
                    <w:rPr>
                      <w:rFonts w:hint="eastAsia" w:ascii="宋体" w:hAnsi="宋体" w:cs="宋体"/>
                      <w:color w:val="auto"/>
                    </w:rPr>
                    <w:t>1.1%</w:t>
                  </w:r>
                </w:p>
              </w:tc>
              <w:tc>
                <w:tcPr>
                  <w:tcW w:w="128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EF93348">
                  <w:pPr>
                    <w:widowControl/>
                    <w:adjustRightInd/>
                    <w:spacing w:line="300" w:lineRule="auto"/>
                    <w:jc w:val="left"/>
                    <w:rPr>
                      <w:rFonts w:ascii="宋体" w:hAnsi="宋体" w:cs="宋体"/>
                      <w:color w:val="auto"/>
                    </w:rPr>
                  </w:pPr>
                  <w:r>
                    <w:rPr>
                      <w:rFonts w:hint="eastAsia" w:ascii="宋体" w:hAnsi="宋体" w:cs="宋体"/>
                      <w:color w:val="auto"/>
                    </w:rPr>
                    <w:t>0.8%</w:t>
                  </w:r>
                </w:p>
              </w:tc>
              <w:tc>
                <w:tcPr>
                  <w:tcW w:w="125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9313064">
                  <w:pPr>
                    <w:widowControl/>
                    <w:adjustRightInd/>
                    <w:spacing w:line="300" w:lineRule="auto"/>
                    <w:jc w:val="left"/>
                    <w:rPr>
                      <w:rFonts w:ascii="宋体" w:hAnsi="宋体" w:cs="宋体"/>
                      <w:color w:val="auto"/>
                    </w:rPr>
                  </w:pPr>
                  <w:r>
                    <w:rPr>
                      <w:rFonts w:hint="eastAsia" w:ascii="宋体" w:hAnsi="宋体" w:cs="宋体"/>
                      <w:color w:val="auto"/>
                    </w:rPr>
                    <w:t>0.7%</w:t>
                  </w:r>
                </w:p>
              </w:tc>
            </w:tr>
            <w:tr w14:paraId="4CE07645">
              <w:tblPrEx>
                <w:tblCellMar>
                  <w:top w:w="15" w:type="dxa"/>
                  <w:left w:w="15" w:type="dxa"/>
                  <w:bottom w:w="15" w:type="dxa"/>
                  <w:right w:w="15" w:type="dxa"/>
                </w:tblCellMar>
              </w:tblPrEx>
              <w:trPr>
                <w:trHeight w:val="454" w:hRule="atLeast"/>
                <w:jc w:val="center"/>
              </w:trPr>
              <w:tc>
                <w:tcPr>
                  <w:tcW w:w="1572"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0D3C5A38">
                  <w:pPr>
                    <w:widowControl/>
                    <w:adjustRightInd/>
                    <w:spacing w:line="300" w:lineRule="auto"/>
                    <w:jc w:val="left"/>
                    <w:rPr>
                      <w:rFonts w:ascii="宋体" w:hAnsi="宋体" w:cs="宋体"/>
                      <w:color w:val="auto"/>
                    </w:rPr>
                  </w:pPr>
                  <w:r>
                    <w:rPr>
                      <w:rFonts w:hint="eastAsia" w:ascii="宋体" w:hAnsi="宋体" w:cs="宋体"/>
                      <w:color w:val="auto"/>
                    </w:rPr>
                    <w:t>500-1000</w:t>
                  </w:r>
                </w:p>
              </w:tc>
              <w:tc>
                <w:tcPr>
                  <w:tcW w:w="135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5F5DD92E">
                  <w:pPr>
                    <w:widowControl/>
                    <w:adjustRightInd/>
                    <w:spacing w:line="300" w:lineRule="auto"/>
                    <w:jc w:val="left"/>
                    <w:rPr>
                      <w:rFonts w:ascii="宋体" w:hAnsi="宋体" w:cs="宋体"/>
                      <w:color w:val="auto"/>
                    </w:rPr>
                  </w:pPr>
                  <w:r>
                    <w:rPr>
                      <w:rFonts w:hint="eastAsia" w:ascii="宋体" w:hAnsi="宋体" w:cs="宋体"/>
                      <w:color w:val="auto"/>
                    </w:rPr>
                    <w:t>0.8%</w:t>
                  </w:r>
                </w:p>
              </w:tc>
              <w:tc>
                <w:tcPr>
                  <w:tcW w:w="128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E619473">
                  <w:pPr>
                    <w:widowControl/>
                    <w:adjustRightInd/>
                    <w:spacing w:line="300" w:lineRule="auto"/>
                    <w:jc w:val="left"/>
                    <w:rPr>
                      <w:rFonts w:ascii="宋体" w:hAnsi="宋体" w:cs="宋体"/>
                      <w:color w:val="auto"/>
                    </w:rPr>
                  </w:pPr>
                  <w:r>
                    <w:rPr>
                      <w:rFonts w:hint="eastAsia" w:ascii="宋体" w:hAnsi="宋体" w:cs="宋体"/>
                      <w:color w:val="auto"/>
                    </w:rPr>
                    <w:t>0.45%</w:t>
                  </w:r>
                </w:p>
              </w:tc>
              <w:tc>
                <w:tcPr>
                  <w:tcW w:w="125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088D857">
                  <w:pPr>
                    <w:widowControl/>
                    <w:adjustRightInd/>
                    <w:spacing w:line="300" w:lineRule="auto"/>
                    <w:jc w:val="left"/>
                    <w:rPr>
                      <w:rFonts w:ascii="宋体" w:hAnsi="宋体" w:cs="宋体"/>
                      <w:color w:val="auto"/>
                    </w:rPr>
                  </w:pPr>
                  <w:r>
                    <w:rPr>
                      <w:rFonts w:hint="eastAsia" w:ascii="宋体" w:hAnsi="宋体" w:cs="宋体"/>
                      <w:color w:val="auto"/>
                    </w:rPr>
                    <w:t>0.55%</w:t>
                  </w:r>
                </w:p>
              </w:tc>
            </w:tr>
            <w:tr w14:paraId="2B56CB0F">
              <w:tblPrEx>
                <w:tblCellMar>
                  <w:top w:w="15" w:type="dxa"/>
                  <w:left w:w="15" w:type="dxa"/>
                  <w:bottom w:w="15" w:type="dxa"/>
                  <w:right w:w="15" w:type="dxa"/>
                </w:tblCellMar>
              </w:tblPrEx>
              <w:trPr>
                <w:trHeight w:val="454" w:hRule="atLeast"/>
                <w:jc w:val="center"/>
              </w:trPr>
              <w:tc>
                <w:tcPr>
                  <w:tcW w:w="1572"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5A2607DC">
                  <w:pPr>
                    <w:widowControl/>
                    <w:adjustRightInd/>
                    <w:spacing w:line="300" w:lineRule="auto"/>
                    <w:jc w:val="left"/>
                    <w:rPr>
                      <w:rFonts w:ascii="宋体" w:hAnsi="宋体" w:cs="宋体"/>
                      <w:color w:val="auto"/>
                    </w:rPr>
                  </w:pPr>
                  <w:r>
                    <w:rPr>
                      <w:rFonts w:hint="eastAsia" w:ascii="宋体" w:hAnsi="宋体" w:cs="宋体"/>
                      <w:color w:val="auto"/>
                    </w:rPr>
                    <w:t>1000-5000</w:t>
                  </w:r>
                </w:p>
              </w:tc>
              <w:tc>
                <w:tcPr>
                  <w:tcW w:w="135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0008781D">
                  <w:pPr>
                    <w:widowControl/>
                    <w:adjustRightInd/>
                    <w:spacing w:line="300" w:lineRule="auto"/>
                    <w:jc w:val="left"/>
                    <w:rPr>
                      <w:rFonts w:ascii="宋体" w:hAnsi="宋体" w:cs="宋体"/>
                      <w:color w:val="auto"/>
                    </w:rPr>
                  </w:pPr>
                  <w:r>
                    <w:rPr>
                      <w:rFonts w:hint="eastAsia" w:ascii="宋体" w:hAnsi="宋体" w:cs="宋体"/>
                      <w:color w:val="auto"/>
                    </w:rPr>
                    <w:t>0.5%</w:t>
                  </w:r>
                </w:p>
              </w:tc>
              <w:tc>
                <w:tcPr>
                  <w:tcW w:w="128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5FF4A74E">
                  <w:pPr>
                    <w:widowControl/>
                    <w:adjustRightInd/>
                    <w:spacing w:line="300" w:lineRule="auto"/>
                    <w:jc w:val="left"/>
                    <w:rPr>
                      <w:rFonts w:ascii="宋体" w:hAnsi="宋体" w:cs="宋体"/>
                      <w:color w:val="auto"/>
                    </w:rPr>
                  </w:pPr>
                  <w:r>
                    <w:rPr>
                      <w:rFonts w:hint="eastAsia" w:ascii="宋体" w:hAnsi="宋体" w:cs="宋体"/>
                      <w:color w:val="auto"/>
                    </w:rPr>
                    <w:t>0.25%</w:t>
                  </w:r>
                </w:p>
              </w:tc>
              <w:tc>
                <w:tcPr>
                  <w:tcW w:w="125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7C35313">
                  <w:pPr>
                    <w:widowControl/>
                    <w:adjustRightInd/>
                    <w:spacing w:line="300" w:lineRule="auto"/>
                    <w:jc w:val="left"/>
                    <w:rPr>
                      <w:rFonts w:ascii="宋体" w:hAnsi="宋体" w:cs="宋体"/>
                      <w:color w:val="auto"/>
                    </w:rPr>
                  </w:pPr>
                  <w:r>
                    <w:rPr>
                      <w:rFonts w:hint="eastAsia" w:ascii="宋体" w:hAnsi="宋体" w:cs="宋体"/>
                      <w:color w:val="auto"/>
                    </w:rPr>
                    <w:t>0.35%</w:t>
                  </w:r>
                </w:p>
              </w:tc>
            </w:tr>
            <w:tr w14:paraId="1383D83E">
              <w:tblPrEx>
                <w:tblCellMar>
                  <w:top w:w="15" w:type="dxa"/>
                  <w:left w:w="15" w:type="dxa"/>
                  <w:bottom w:w="15" w:type="dxa"/>
                  <w:right w:w="15" w:type="dxa"/>
                </w:tblCellMar>
              </w:tblPrEx>
              <w:trPr>
                <w:trHeight w:val="454" w:hRule="atLeast"/>
                <w:jc w:val="center"/>
              </w:trPr>
              <w:tc>
                <w:tcPr>
                  <w:tcW w:w="1572"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BB8B90B">
                  <w:pPr>
                    <w:widowControl/>
                    <w:adjustRightInd/>
                    <w:spacing w:line="300" w:lineRule="auto"/>
                    <w:jc w:val="left"/>
                    <w:rPr>
                      <w:rFonts w:ascii="宋体" w:hAnsi="宋体" w:cs="宋体"/>
                      <w:color w:val="auto"/>
                    </w:rPr>
                  </w:pPr>
                  <w:r>
                    <w:rPr>
                      <w:rFonts w:hint="eastAsia" w:ascii="宋体" w:hAnsi="宋体" w:cs="宋体"/>
                      <w:color w:val="auto"/>
                    </w:rPr>
                    <w:t>5000-10000</w:t>
                  </w:r>
                </w:p>
              </w:tc>
              <w:tc>
                <w:tcPr>
                  <w:tcW w:w="135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89FB67C">
                  <w:pPr>
                    <w:widowControl/>
                    <w:adjustRightInd/>
                    <w:spacing w:line="300" w:lineRule="auto"/>
                    <w:jc w:val="left"/>
                    <w:rPr>
                      <w:rFonts w:ascii="宋体" w:hAnsi="宋体" w:cs="宋体"/>
                      <w:color w:val="auto"/>
                    </w:rPr>
                  </w:pPr>
                  <w:r>
                    <w:rPr>
                      <w:rFonts w:hint="eastAsia" w:ascii="宋体" w:hAnsi="宋体" w:cs="宋体"/>
                      <w:color w:val="auto"/>
                    </w:rPr>
                    <w:t>0.25%</w:t>
                  </w:r>
                </w:p>
              </w:tc>
              <w:tc>
                <w:tcPr>
                  <w:tcW w:w="128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62288491">
                  <w:pPr>
                    <w:widowControl/>
                    <w:adjustRightInd/>
                    <w:spacing w:line="300" w:lineRule="auto"/>
                    <w:jc w:val="left"/>
                    <w:rPr>
                      <w:rFonts w:ascii="宋体" w:hAnsi="宋体" w:cs="宋体"/>
                      <w:color w:val="auto"/>
                    </w:rPr>
                  </w:pPr>
                  <w:r>
                    <w:rPr>
                      <w:rFonts w:hint="eastAsia" w:ascii="宋体" w:hAnsi="宋体" w:cs="宋体"/>
                      <w:color w:val="auto"/>
                    </w:rPr>
                    <w:t>0.1%</w:t>
                  </w:r>
                </w:p>
              </w:tc>
              <w:tc>
                <w:tcPr>
                  <w:tcW w:w="125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772A07E">
                  <w:pPr>
                    <w:widowControl/>
                    <w:adjustRightInd/>
                    <w:spacing w:line="300" w:lineRule="auto"/>
                    <w:jc w:val="left"/>
                    <w:rPr>
                      <w:rFonts w:ascii="宋体" w:hAnsi="宋体" w:cs="宋体"/>
                      <w:color w:val="auto"/>
                    </w:rPr>
                  </w:pPr>
                  <w:r>
                    <w:rPr>
                      <w:rFonts w:hint="eastAsia" w:ascii="宋体" w:hAnsi="宋体" w:cs="宋体"/>
                      <w:color w:val="auto"/>
                    </w:rPr>
                    <w:t>0.2%</w:t>
                  </w:r>
                </w:p>
              </w:tc>
            </w:tr>
            <w:tr w14:paraId="2B71CE90">
              <w:tblPrEx>
                <w:tblCellMar>
                  <w:top w:w="15" w:type="dxa"/>
                  <w:left w:w="15" w:type="dxa"/>
                  <w:bottom w:w="15" w:type="dxa"/>
                  <w:right w:w="15" w:type="dxa"/>
                </w:tblCellMar>
              </w:tblPrEx>
              <w:trPr>
                <w:trHeight w:val="473" w:hRule="atLeast"/>
                <w:jc w:val="center"/>
              </w:trPr>
              <w:tc>
                <w:tcPr>
                  <w:tcW w:w="1572"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40B8D87">
                  <w:pPr>
                    <w:widowControl/>
                    <w:adjustRightInd/>
                    <w:spacing w:line="300" w:lineRule="auto"/>
                    <w:jc w:val="left"/>
                    <w:rPr>
                      <w:rFonts w:ascii="宋体" w:hAnsi="宋体" w:cs="宋体"/>
                      <w:color w:val="auto"/>
                    </w:rPr>
                  </w:pPr>
                  <w:r>
                    <w:rPr>
                      <w:rFonts w:hint="eastAsia" w:ascii="宋体" w:hAnsi="宋体" w:cs="宋体"/>
                      <w:color w:val="auto"/>
                    </w:rPr>
                    <w:t>1亿～5亿</w:t>
                  </w:r>
                </w:p>
              </w:tc>
              <w:tc>
                <w:tcPr>
                  <w:tcW w:w="135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0A414711">
                  <w:pPr>
                    <w:widowControl/>
                    <w:adjustRightInd/>
                    <w:spacing w:line="300" w:lineRule="auto"/>
                    <w:jc w:val="left"/>
                    <w:rPr>
                      <w:rFonts w:ascii="宋体" w:hAnsi="宋体" w:cs="宋体"/>
                      <w:color w:val="auto"/>
                    </w:rPr>
                  </w:pPr>
                  <w:r>
                    <w:rPr>
                      <w:rFonts w:hint="eastAsia" w:ascii="宋体" w:hAnsi="宋体" w:cs="宋体"/>
                      <w:color w:val="auto"/>
                    </w:rPr>
                    <w:t>0.05%</w:t>
                  </w:r>
                </w:p>
              </w:tc>
              <w:tc>
                <w:tcPr>
                  <w:tcW w:w="128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0550148C">
                  <w:pPr>
                    <w:widowControl/>
                    <w:adjustRightInd/>
                    <w:spacing w:line="300" w:lineRule="auto"/>
                    <w:jc w:val="left"/>
                    <w:rPr>
                      <w:rFonts w:ascii="宋体" w:hAnsi="宋体" w:cs="宋体"/>
                      <w:color w:val="auto"/>
                    </w:rPr>
                  </w:pPr>
                  <w:r>
                    <w:rPr>
                      <w:rFonts w:hint="eastAsia" w:ascii="宋体" w:hAnsi="宋体" w:cs="宋体"/>
                      <w:color w:val="auto"/>
                    </w:rPr>
                    <w:t>0.05%</w:t>
                  </w:r>
                </w:p>
              </w:tc>
              <w:tc>
                <w:tcPr>
                  <w:tcW w:w="125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6C30E944">
                  <w:pPr>
                    <w:widowControl/>
                    <w:adjustRightInd/>
                    <w:spacing w:line="300" w:lineRule="auto"/>
                    <w:jc w:val="left"/>
                    <w:rPr>
                      <w:rFonts w:ascii="宋体" w:hAnsi="宋体" w:cs="宋体"/>
                      <w:color w:val="auto"/>
                    </w:rPr>
                  </w:pPr>
                  <w:r>
                    <w:rPr>
                      <w:rFonts w:hint="eastAsia" w:ascii="宋体" w:hAnsi="宋体" w:cs="宋体"/>
                      <w:color w:val="auto"/>
                    </w:rPr>
                    <w:t>0.05%</w:t>
                  </w:r>
                </w:p>
              </w:tc>
            </w:tr>
          </w:tbl>
          <w:p w14:paraId="480E43B4">
            <w:pPr>
              <w:rPr>
                <w:rFonts w:cs="Arial" w:asciiTheme="minorEastAsia" w:hAnsiTheme="minorEastAsia" w:eastAsiaTheme="minorEastAsia"/>
                <w:color w:val="auto"/>
                <w:kern w:val="0"/>
                <w:sz w:val="24"/>
              </w:rPr>
            </w:pPr>
            <w:r>
              <w:rPr>
                <w:rFonts w:hint="eastAsia" w:cs="Arial" w:asciiTheme="minorEastAsia" w:hAnsiTheme="minorEastAsia" w:eastAsiaTheme="minorEastAsia"/>
                <w:color w:val="auto"/>
                <w:kern w:val="0"/>
                <w:sz w:val="24"/>
              </w:rPr>
              <w:t>关于本次采购的服务费汇入以下账户：</w:t>
            </w:r>
          </w:p>
          <w:p w14:paraId="66481E9D">
            <w:pPr>
              <w:rPr>
                <w:rFonts w:cs="Arial" w:asciiTheme="minorEastAsia" w:hAnsiTheme="minorEastAsia" w:eastAsiaTheme="minorEastAsia"/>
                <w:color w:val="auto"/>
                <w:kern w:val="0"/>
                <w:sz w:val="24"/>
              </w:rPr>
            </w:pPr>
            <w:r>
              <w:rPr>
                <w:rFonts w:hint="eastAsia" w:cs="Arial" w:asciiTheme="minorEastAsia" w:hAnsiTheme="minorEastAsia" w:eastAsiaTheme="minorEastAsia"/>
                <w:color w:val="auto"/>
                <w:kern w:val="0"/>
                <w:sz w:val="24"/>
              </w:rPr>
              <w:t>开户银行： 宁波银行科技支行</w:t>
            </w:r>
          </w:p>
          <w:p w14:paraId="77CB5F26">
            <w:pPr>
              <w:rPr>
                <w:rFonts w:cs="Arial" w:asciiTheme="minorEastAsia" w:hAnsiTheme="minorEastAsia" w:eastAsiaTheme="minorEastAsia"/>
                <w:color w:val="auto"/>
                <w:kern w:val="0"/>
                <w:sz w:val="24"/>
              </w:rPr>
            </w:pPr>
            <w:r>
              <w:rPr>
                <w:rFonts w:hint="eastAsia" w:cs="Arial" w:asciiTheme="minorEastAsia" w:hAnsiTheme="minorEastAsia" w:eastAsiaTheme="minorEastAsia"/>
                <w:color w:val="auto"/>
                <w:kern w:val="0"/>
                <w:sz w:val="24"/>
              </w:rPr>
              <w:t>账    号： 31010122000005488</w:t>
            </w:r>
          </w:p>
          <w:p w14:paraId="500E2725">
            <w:pPr>
              <w:rPr>
                <w:rFonts w:cs="Arial" w:asciiTheme="minorEastAsia" w:hAnsiTheme="minorEastAsia" w:eastAsiaTheme="minorEastAsia"/>
                <w:color w:val="auto"/>
                <w:kern w:val="0"/>
                <w:sz w:val="24"/>
              </w:rPr>
            </w:pPr>
            <w:r>
              <w:rPr>
                <w:rFonts w:hint="eastAsia" w:cs="Arial" w:asciiTheme="minorEastAsia" w:hAnsiTheme="minorEastAsia" w:eastAsiaTheme="minorEastAsia"/>
                <w:color w:val="auto"/>
                <w:kern w:val="0"/>
                <w:sz w:val="24"/>
              </w:rPr>
              <w:t>户    名： 宁波中基国际招标有限公司</w:t>
            </w:r>
          </w:p>
          <w:p w14:paraId="4A009779">
            <w:pPr>
              <w:rPr>
                <w:rFonts w:cs="Arial" w:asciiTheme="minorEastAsia" w:hAnsiTheme="minorEastAsia" w:eastAsiaTheme="minorEastAsia"/>
                <w:color w:val="auto"/>
                <w:kern w:val="0"/>
                <w:sz w:val="24"/>
              </w:rPr>
            </w:pPr>
            <w:r>
              <w:rPr>
                <w:rFonts w:hint="eastAsia" w:cs="Arial" w:asciiTheme="minorEastAsia" w:hAnsiTheme="minorEastAsia" w:eastAsiaTheme="minorEastAsia"/>
                <w:color w:val="auto"/>
                <w:kern w:val="0"/>
                <w:sz w:val="24"/>
              </w:rPr>
              <w:t>注：中标人接到本公司通知后5个工作日内向本采购代理机构领取中标通知书（根据中标人需求可采用邮寄或到采购代理机构现场领取）。</w:t>
            </w:r>
          </w:p>
        </w:tc>
      </w:tr>
      <w:bookmarkEnd w:id="9"/>
    </w:tbl>
    <w:p w14:paraId="42EAB2E9">
      <w:pPr>
        <w:rPr>
          <w:rFonts w:ascii="宋体" w:hAnsi="宋体" w:cs="宋体"/>
          <w:b/>
          <w:color w:val="auto"/>
          <w:sz w:val="32"/>
          <w:szCs w:val="20"/>
        </w:rPr>
      </w:pPr>
      <w:bookmarkStart w:id="14" w:name="_Toc164416483"/>
      <w:bookmarkStart w:id="15" w:name="第三部分"/>
      <w:r>
        <w:rPr>
          <w:rFonts w:hint="eastAsia" w:ascii="宋体" w:hAnsi="宋体" w:cs="宋体"/>
          <w:b/>
          <w:color w:val="auto"/>
          <w:sz w:val="32"/>
          <w:szCs w:val="20"/>
        </w:rPr>
        <w:br w:type="page"/>
      </w:r>
    </w:p>
    <w:p w14:paraId="40DE6079">
      <w:pPr>
        <w:adjustRightInd/>
        <w:spacing w:line="348" w:lineRule="auto"/>
        <w:ind w:firstLine="3845" w:firstLineChars="1197"/>
        <w:rPr>
          <w:rFonts w:ascii="宋体" w:hAnsi="宋体" w:cs="宋体"/>
          <w:b/>
          <w:color w:val="auto"/>
          <w:sz w:val="32"/>
          <w:szCs w:val="20"/>
        </w:rPr>
      </w:pPr>
      <w:r>
        <w:rPr>
          <w:rFonts w:hint="eastAsia" w:ascii="宋体" w:hAnsi="宋体" w:cs="宋体"/>
          <w:b/>
          <w:color w:val="auto"/>
          <w:sz w:val="32"/>
          <w:szCs w:val="20"/>
        </w:rPr>
        <w:t>一、总则</w:t>
      </w:r>
    </w:p>
    <w:p w14:paraId="2E27D4E7">
      <w:pPr>
        <w:snapToGrid w:val="0"/>
        <w:spacing w:line="348" w:lineRule="auto"/>
        <w:ind w:firstLine="361" w:firstLineChars="150"/>
        <w:jc w:val="left"/>
        <w:rPr>
          <w:rFonts w:ascii="宋体" w:hAnsi="宋体" w:cs="宋体"/>
          <w:b/>
          <w:color w:val="auto"/>
          <w:sz w:val="24"/>
        </w:rPr>
      </w:pPr>
      <w:r>
        <w:rPr>
          <w:rFonts w:hint="eastAsia" w:ascii="宋体" w:hAnsi="宋体" w:cs="宋体"/>
          <w:b/>
          <w:color w:val="auto"/>
          <w:sz w:val="24"/>
        </w:rPr>
        <w:t>1. 适用范围</w:t>
      </w:r>
    </w:p>
    <w:p w14:paraId="491F7EAE">
      <w:pPr>
        <w:snapToGrid w:val="0"/>
        <w:spacing w:line="348"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14:paraId="584BAE1B">
      <w:pPr>
        <w:adjustRightInd/>
        <w:spacing w:line="348" w:lineRule="auto"/>
        <w:rPr>
          <w:rFonts w:ascii="宋体" w:hAnsi="宋体" w:cs="宋体"/>
          <w:b/>
          <w:color w:val="auto"/>
          <w:sz w:val="24"/>
        </w:rPr>
      </w:pPr>
      <w:r>
        <w:rPr>
          <w:rFonts w:hint="eastAsia" w:ascii="宋体" w:hAnsi="宋体" w:cs="宋体"/>
          <w:b/>
          <w:color w:val="auto"/>
          <w:sz w:val="24"/>
        </w:rPr>
        <w:t xml:space="preserve">   2.定义</w:t>
      </w:r>
    </w:p>
    <w:p w14:paraId="6A6313EE">
      <w:pPr>
        <w:spacing w:line="348"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14:paraId="76006E4B">
      <w:pPr>
        <w:spacing w:line="348" w:lineRule="auto"/>
        <w:ind w:firstLine="480" w:firstLineChars="200"/>
        <w:rPr>
          <w:rFonts w:ascii="宋体" w:hAnsi="宋体" w:cs="宋体"/>
          <w:color w:val="auto"/>
          <w:sz w:val="24"/>
        </w:rPr>
      </w:pPr>
      <w:r>
        <w:rPr>
          <w:rFonts w:hint="eastAsia" w:ascii="宋体" w:hAnsi="宋体" w:cs="宋体"/>
          <w:color w:val="auto"/>
          <w:sz w:val="24"/>
        </w:rPr>
        <w:t>2.2 “采购代理机构”系指招标公告中载明的本项目的采购代理机构。</w:t>
      </w:r>
    </w:p>
    <w:p w14:paraId="0994357A">
      <w:pPr>
        <w:spacing w:line="348"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14:paraId="15D4311C">
      <w:pPr>
        <w:spacing w:line="348"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086CC3F6">
      <w:pPr>
        <w:spacing w:line="348"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3）。</w:t>
      </w:r>
    </w:p>
    <w:p w14:paraId="4FA65E1A">
      <w:pPr>
        <w:spacing w:line="348" w:lineRule="auto"/>
        <w:ind w:firstLine="480" w:firstLineChars="200"/>
        <w:rPr>
          <w:rFonts w:ascii="宋体" w:hAnsi="宋体" w:cs="宋体"/>
          <w:color w:val="auto"/>
          <w:sz w:val="24"/>
        </w:rPr>
      </w:pPr>
      <w:r>
        <w:rPr>
          <w:rFonts w:hint="eastAsia" w:ascii="宋体" w:hAnsi="宋体" w:cs="宋体"/>
          <w:color w:val="auto"/>
          <w:sz w:val="24"/>
        </w:rPr>
        <w:t>2.6“电子交易平台”系指本项目政府采购活动所依托的政府采购云平台（https：//www.zcygov.cn/）。</w:t>
      </w:r>
    </w:p>
    <w:p w14:paraId="3C74EBF4">
      <w:pPr>
        <w:spacing w:line="348"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14:paraId="6C8CC7AE">
      <w:pPr>
        <w:spacing w:line="348"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6FD54875">
      <w:pPr>
        <w:spacing w:line="348"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rPr>
        <w:t>优先采购向我国企业转让技术、与我国企业签订消化吸收再创新方案的投标人的进口产品</w:t>
      </w:r>
      <w:r>
        <w:rPr>
          <w:rFonts w:hint="eastAsia" w:ascii="宋体" w:hAnsi="宋体" w:cs="宋体"/>
          <w:color w:val="auto"/>
          <w:sz w:val="24"/>
        </w:rPr>
        <w:t>。</w:t>
      </w:r>
    </w:p>
    <w:p w14:paraId="6449A038">
      <w:pPr>
        <w:spacing w:line="348" w:lineRule="auto"/>
        <w:ind w:firstLine="240" w:firstLineChars="100"/>
        <w:rPr>
          <w:rFonts w:ascii="宋体" w:hAnsi="宋体" w:cs="宋体"/>
          <w:color w:val="auto"/>
          <w:sz w:val="24"/>
        </w:rPr>
      </w:pPr>
      <w:r>
        <w:rPr>
          <w:rFonts w:hint="eastAsia" w:ascii="宋体" w:hAnsi="宋体" w:cs="宋体"/>
          <w:color w:val="auto"/>
          <w:sz w:val="24"/>
        </w:rPr>
        <w:t>3.2 支持绿色发展</w:t>
      </w:r>
    </w:p>
    <w:p w14:paraId="77947DF3">
      <w:pPr>
        <w:spacing w:line="348"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16B0CBEA">
      <w:pPr>
        <w:spacing w:line="348" w:lineRule="auto"/>
        <w:ind w:firstLine="480" w:firstLineChars="200"/>
        <w:rPr>
          <w:rFonts w:ascii="宋体" w:hAnsi="宋体" w:cs="宋体"/>
          <w:color w:val="auto"/>
          <w:sz w:val="24"/>
        </w:rPr>
      </w:pPr>
      <w:r>
        <w:rPr>
          <w:rFonts w:hint="eastAsia" w:ascii="宋体" w:hAnsi="宋体" w:cs="宋体"/>
          <w:color w:val="auto"/>
          <w:sz w:val="24"/>
        </w:rPr>
        <w:t>3.2.2纳入政府采购管理的修缮、装修类项目采购建材的，鼓励采购单位将绿色建材性能、指标等作为实质性条件纳入招标文件和合同，具体性能指标要求参考相关绿色建材政府采购需求标准。</w:t>
      </w:r>
    </w:p>
    <w:p w14:paraId="178B9492">
      <w:pPr>
        <w:spacing w:line="348"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投标人提供产品及相关快递服务的具体包装要求要参考《商品包装政府采购需求标准（试行）》、《快递包装政府采购需求标准（试行）》。</w:t>
      </w:r>
      <w:bookmarkStart w:id="16" w:name="_Hlk107568539"/>
      <w:r>
        <w:rPr>
          <w:rFonts w:hint="eastAsia" w:ascii="宋体" w:hAnsi="宋体" w:cs="宋体"/>
          <w:color w:val="auto"/>
          <w:sz w:val="24"/>
        </w:rPr>
        <w:t>鼓励采购单位优先采购秸秆环保板材等资源综合利用产品。鼓励采购单位优先采购绿色物流配送服务、提供新能源交通工具的租赁服务。</w:t>
      </w:r>
    </w:p>
    <w:p w14:paraId="60CF603B">
      <w:pPr>
        <w:spacing w:line="348" w:lineRule="auto"/>
        <w:ind w:firstLine="480" w:firstLineChars="200"/>
        <w:rPr>
          <w:rFonts w:ascii="宋体" w:hAnsi="宋体" w:cs="宋体"/>
          <w:color w:val="auto"/>
          <w:sz w:val="24"/>
        </w:rPr>
      </w:pPr>
      <w:r>
        <w:rPr>
          <w:rFonts w:hint="eastAsia" w:ascii="宋体" w:hAnsi="宋体" w:cs="宋体"/>
          <w:color w:val="auto"/>
          <w:sz w:val="24"/>
        </w:rPr>
        <w:t>3.2.4鼓励投标人在参加政府采购过程中开展绿色设计、选择绿色材料、打造绿色制造工艺、开展绿色运输、做好废弃产品回收处理，实现产品全周期的绿色环保。鼓励采购单位对其提高预付款比例、免收履约保证金。</w:t>
      </w:r>
      <w:bookmarkEnd w:id="16"/>
    </w:p>
    <w:p w14:paraId="0EABA44F">
      <w:pPr>
        <w:spacing w:line="348" w:lineRule="auto"/>
        <w:ind w:firstLine="240" w:firstLineChars="100"/>
        <w:rPr>
          <w:rFonts w:ascii="宋体" w:hAnsi="宋体" w:cs="宋体"/>
          <w:color w:val="auto"/>
          <w:sz w:val="24"/>
        </w:rPr>
      </w:pPr>
      <w:r>
        <w:rPr>
          <w:rFonts w:hint="eastAsia" w:ascii="宋体" w:hAnsi="宋体" w:cs="宋体"/>
          <w:color w:val="auto"/>
          <w:sz w:val="24"/>
        </w:rPr>
        <w:t>3.3支持中小企业发展</w:t>
      </w:r>
    </w:p>
    <w:p w14:paraId="69CB1B40">
      <w:pPr>
        <w:spacing w:line="348"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FE15B11">
      <w:pPr>
        <w:spacing w:line="348"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736F5578">
      <w:pPr>
        <w:widowControl/>
        <w:spacing w:line="348"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112EC293">
      <w:pPr>
        <w:widowControl/>
        <w:spacing w:line="348"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49EB3D1F">
      <w:pPr>
        <w:spacing w:line="348"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7" w:name="_Hlk101132181"/>
      <w:r>
        <w:rPr>
          <w:rFonts w:hint="eastAsia" w:ascii="宋体" w:hAnsi="宋体" w:cs="宋体"/>
          <w:color w:val="auto"/>
          <w:sz w:val="24"/>
        </w:rPr>
        <w:t>联合协议或者分包意向协议约定小微企业的合同份额占到合同总金额30%以上的</w:t>
      </w:r>
      <w:bookmarkEnd w:id="17"/>
      <w:r>
        <w:rPr>
          <w:rFonts w:hint="eastAsia" w:ascii="宋体" w:hAnsi="宋体" w:cs="宋体"/>
          <w:color w:val="auto"/>
          <w:sz w:val="24"/>
        </w:rPr>
        <w:t>，对联合体或者大中型企业的报价给予4%的扣除，用扣除后的价格参加评审。组成联合体或者接受分包的小微企业与联合体内其他企业、分包企业之间存在直接控股、管理关系的，不享受价格扣除优惠政策。</w:t>
      </w:r>
    </w:p>
    <w:p w14:paraId="60949F2F">
      <w:pPr>
        <w:spacing w:line="348"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3.3.4符合《关于促进残疾人就业政府采购政策的通知》（财库〔2017〕141号）规定的条件并提供《残疾人福利性单位声明函》的残疾人福利性单位视同小型、微型企业；</w:t>
      </w:r>
    </w:p>
    <w:p w14:paraId="40ABAE82">
      <w:pPr>
        <w:spacing w:line="348"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552824D">
      <w:pPr>
        <w:spacing w:line="348"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95D8BFB">
      <w:pPr>
        <w:spacing w:line="348"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34CFE504">
      <w:pPr>
        <w:spacing w:line="348"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14:paraId="26919336">
      <w:pPr>
        <w:spacing w:line="348" w:lineRule="auto"/>
        <w:ind w:firstLine="480" w:firstLineChars="200"/>
        <w:rPr>
          <w:rFonts w:ascii="宋体" w:hAnsi="宋体" w:cs="宋体"/>
          <w:color w:val="auto"/>
          <w:sz w:val="24"/>
        </w:rPr>
      </w:pPr>
      <w:r>
        <w:rPr>
          <w:rFonts w:hint="eastAsia" w:ascii="宋体" w:hAnsi="宋体" w:cs="宋体"/>
          <w:color w:val="auto"/>
          <w:sz w:val="24"/>
        </w:rPr>
        <w:t>对省级以上主管部门认定的首台套产品，自纳入《省推广应用指导目录》起三年内参加政府采购活动，视同已具备相应销售业绩，业绩分为满分。</w:t>
      </w:r>
    </w:p>
    <w:p w14:paraId="39C94068">
      <w:pPr>
        <w:spacing w:line="348" w:lineRule="auto"/>
        <w:ind w:firstLine="240" w:firstLineChars="100"/>
        <w:rPr>
          <w:rFonts w:ascii="宋体" w:hAnsi="宋体" w:cs="宋体"/>
          <w:color w:val="auto"/>
          <w:sz w:val="24"/>
        </w:rPr>
      </w:pPr>
      <w:r>
        <w:rPr>
          <w:rFonts w:hint="eastAsia" w:ascii="宋体" w:hAnsi="宋体" w:cs="宋体"/>
          <w:color w:val="auto"/>
          <w:sz w:val="24"/>
        </w:rPr>
        <w:t>3.5平等对待内外资企业和符合条件的破产重整企业</w:t>
      </w:r>
    </w:p>
    <w:p w14:paraId="78B89BB0">
      <w:pPr>
        <w:spacing w:line="348" w:lineRule="auto"/>
        <w:ind w:firstLine="480" w:firstLineChars="200"/>
        <w:rPr>
          <w:b/>
          <w:color w:val="auto"/>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询问、质疑、投诉</w:t>
      </w:r>
    </w:p>
    <w:p w14:paraId="5D399AD5">
      <w:pPr>
        <w:pStyle w:val="886"/>
        <w:snapToGrid w:val="0"/>
        <w:spacing w:before="0" w:beforeAutospacing="0" w:after="0" w:afterAutospacing="0" w:line="348" w:lineRule="auto"/>
        <w:ind w:firstLine="400"/>
        <w:contextualSpacing/>
        <w:rPr>
          <w:color w:val="auto"/>
          <w:lang w:val="zh-CN"/>
        </w:rPr>
      </w:pPr>
      <w:r>
        <w:rPr>
          <w:rFonts w:hint="eastAsia"/>
          <w:color w:val="auto"/>
          <w:lang w:val="zh-CN"/>
        </w:rPr>
        <w:t>4.1在线询问、质疑、投诉</w:t>
      </w:r>
    </w:p>
    <w:p w14:paraId="05F5CCCD">
      <w:pPr>
        <w:pStyle w:val="886"/>
        <w:snapToGrid w:val="0"/>
        <w:spacing w:before="0" w:beforeAutospacing="0" w:after="0" w:afterAutospacing="0" w:line="348" w:lineRule="auto"/>
        <w:ind w:firstLine="400"/>
        <w:contextualSpacing/>
        <w:rPr>
          <w:color w:val="auto"/>
          <w:lang w:val="zh-CN"/>
        </w:rPr>
      </w:pPr>
      <w:r>
        <w:rPr>
          <w:rFonts w:hint="eastAsia"/>
          <w:color w:val="auto"/>
          <w:lang w:val="zh-CN"/>
        </w:rPr>
        <w:t>根据《浙江省财政厅关于进一步促进政府采购公平竞争打造最优营商环境的通知》（浙财采监（2021）22号）文件关于“健全行政裁决机制”要求，鼓励投标人在线提起询问，路径为：政采云-项目采购-询问质疑投诉-询问列表；鼓励投标人在线提起质疑，路径为：政采云-项目采购-询问质疑投诉-质疑列表。质疑投标人对在线质疑答复不满意的，可在线提起投诉，路径为：浙江政府服务网-政府采购投诉处理-在线办理。</w:t>
      </w:r>
    </w:p>
    <w:p w14:paraId="41BE8BC5">
      <w:pPr>
        <w:autoSpaceDE w:val="0"/>
        <w:autoSpaceDN w:val="0"/>
        <w:spacing w:line="348"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4.2投标人询问</w:t>
      </w:r>
    </w:p>
    <w:p w14:paraId="4604E05B">
      <w:pPr>
        <w:autoSpaceDE w:val="0"/>
        <w:autoSpaceDN w:val="0"/>
        <w:spacing w:line="348"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投标人对政府采购活动事项有疑问的，可以提出询问，采购人或者采购代理机构应当在3个工作日内对投标人依法提出的询问作出答复，但答复的内容不得涉及商业秘密。投标人提出的询问超出采购人对采购代理机构委托授权范围的，采购代理机构应当告知投标人向采购人提出。</w:t>
      </w:r>
    </w:p>
    <w:p w14:paraId="441FCA17">
      <w:pPr>
        <w:autoSpaceDE w:val="0"/>
        <w:autoSpaceDN w:val="0"/>
        <w:spacing w:line="348"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4.3投标人质疑</w:t>
      </w:r>
    </w:p>
    <w:p w14:paraId="1298B5B1">
      <w:pPr>
        <w:pStyle w:val="33"/>
        <w:spacing w:line="348"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.1提出质疑的投标人应当是参与所质疑项目采购活动的投标人。潜在投标人已依法获取其可质疑的招标文件的，可以对该文件提出质疑。</w:t>
      </w:r>
    </w:p>
    <w:p w14:paraId="077EF8E8">
      <w:pPr>
        <w:pStyle w:val="33"/>
        <w:spacing w:line="348"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投标人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D1F9933">
      <w:pPr>
        <w:pStyle w:val="7"/>
        <w:spacing w:line="348"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4.3.2.1对招标文件提出质疑的，质疑期限为投标人获得招标文件之日或者招标文件公告期限届满之日起计算。</w:t>
      </w:r>
    </w:p>
    <w:p w14:paraId="304506DB">
      <w:pPr>
        <w:pStyle w:val="33"/>
        <w:spacing w:line="348"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14:paraId="6324C46A">
      <w:pPr>
        <w:pStyle w:val="33"/>
        <w:spacing w:line="348"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投标人提出质疑应当提交质疑函和必要的证明材料。质疑函应当包括下列内容：</w:t>
      </w:r>
    </w:p>
    <w:p w14:paraId="149013F1">
      <w:pPr>
        <w:pStyle w:val="33"/>
        <w:spacing w:line="348" w:lineRule="auto"/>
        <w:ind w:firstLine="480" w:firstLineChars="200"/>
        <w:rPr>
          <w:rFonts w:hAnsi="宋体" w:cs="宋体"/>
          <w:color w:val="auto"/>
          <w:kern w:val="0"/>
          <w:sz w:val="24"/>
          <w:lang w:val="zh-CN"/>
        </w:rPr>
      </w:pPr>
      <w:r>
        <w:rPr>
          <w:rFonts w:hint="eastAsia" w:hAnsi="宋体" w:cs="宋体"/>
          <w:color w:val="auto"/>
          <w:kern w:val="0"/>
          <w:sz w:val="24"/>
          <w:lang w:val="zh-CN"/>
        </w:rPr>
        <w:t>　　4.3.3.1投标人的姓名或者名称、地址、邮编、联系人及联系电话；</w:t>
      </w:r>
    </w:p>
    <w:p w14:paraId="7659BA92">
      <w:pPr>
        <w:pStyle w:val="33"/>
        <w:spacing w:line="348"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14:paraId="6B5771D1">
      <w:pPr>
        <w:pStyle w:val="33"/>
        <w:spacing w:line="348"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14:paraId="14B645A8">
      <w:pPr>
        <w:pStyle w:val="33"/>
        <w:spacing w:line="348"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14:paraId="2F9AF2B5">
      <w:pPr>
        <w:pStyle w:val="33"/>
        <w:spacing w:line="348"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14:paraId="665DD7D4">
      <w:pPr>
        <w:pStyle w:val="33"/>
        <w:spacing w:line="348"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14:paraId="392DC432">
      <w:pPr>
        <w:pStyle w:val="886"/>
        <w:snapToGrid w:val="0"/>
        <w:spacing w:before="0" w:beforeAutospacing="0" w:after="0" w:afterAutospacing="0" w:line="348" w:lineRule="auto"/>
        <w:ind w:firstLine="400"/>
        <w:contextualSpacing/>
        <w:rPr>
          <w:color w:val="auto"/>
        </w:rPr>
      </w:pPr>
      <w:r>
        <w:rPr>
          <w:rFonts w:hint="eastAsia"/>
          <w:color w:val="auto"/>
        </w:rPr>
        <w:t>投标人提交的质疑函需一式三份。投标人为自然人的，应当由本人签字；投标人为法人或者其他组织的，应当由法定代表人、主要负责人，或者其授权代表签字或者盖章，并加盖公章。</w:t>
      </w:r>
    </w:p>
    <w:p w14:paraId="2BCC8663">
      <w:pPr>
        <w:pStyle w:val="886"/>
        <w:snapToGrid w:val="0"/>
        <w:spacing w:before="0" w:beforeAutospacing="0" w:after="0" w:afterAutospacing="0" w:line="348" w:lineRule="auto"/>
        <w:ind w:firstLine="400"/>
        <w:contextualSpacing/>
        <w:rPr>
          <w:color w:val="auto"/>
        </w:rPr>
      </w:pPr>
      <w:r>
        <w:rPr>
          <w:rFonts w:hint="eastAsia"/>
          <w:color w:val="auto"/>
        </w:rPr>
        <w:t>质疑函范本及制作说明详见附件1。</w:t>
      </w:r>
    </w:p>
    <w:p w14:paraId="604C3DBC">
      <w:pPr>
        <w:pStyle w:val="886"/>
        <w:snapToGrid w:val="0"/>
        <w:spacing w:before="0" w:beforeAutospacing="0" w:after="0" w:afterAutospacing="0" w:line="348" w:lineRule="auto"/>
        <w:ind w:firstLine="400"/>
        <w:contextualSpacing/>
        <w:rPr>
          <w:color w:val="auto"/>
        </w:rPr>
      </w:pPr>
      <w:r>
        <w:rPr>
          <w:rFonts w:hint="eastAsia"/>
          <w:color w:val="auto"/>
        </w:rPr>
        <w:t>4.3.4对同一采购程序环节的质疑，投标人须在法定质疑期内一次性提出。</w:t>
      </w:r>
    </w:p>
    <w:p w14:paraId="67E930DB">
      <w:pPr>
        <w:pStyle w:val="886"/>
        <w:snapToGrid w:val="0"/>
        <w:spacing w:before="0" w:beforeAutospacing="0" w:after="0" w:afterAutospacing="0" w:line="348" w:lineRule="auto"/>
        <w:ind w:firstLine="400"/>
        <w:contextualSpacing/>
        <w:rPr>
          <w:color w:val="auto"/>
        </w:rPr>
      </w:pPr>
      <w:r>
        <w:rPr>
          <w:rFonts w:hint="eastAsia"/>
          <w:color w:val="auto"/>
          <w:lang w:val="zh-CN"/>
        </w:rPr>
        <w:t>4.3</w:t>
      </w:r>
      <w:r>
        <w:rPr>
          <w:rFonts w:hint="eastAsia"/>
          <w:color w:val="auto"/>
        </w:rPr>
        <w:t>.5采购人或者采购代理机构应当在收到投标人的书面质疑后七个工作日内作出答复，并以书面形式通知质疑投标人和其他与质疑处理结果有利害关系的政府采购当事人，但答复的内容不得涉及商业秘密。</w:t>
      </w:r>
      <w:r>
        <w:rPr>
          <w:rFonts w:hint="eastAsia" w:asciiTheme="minorEastAsia" w:hAnsiTheme="minorEastAsia" w:eastAsiaTheme="minorEastAsia"/>
          <w:color w:val="auto"/>
        </w:rPr>
        <w:t>根据《浙江省财政厅关于进一步加强政府采购公平竞争打造最优营商环境的通知》（浙财采监〔</w:t>
      </w:r>
      <w:r>
        <w:rPr>
          <w:rFonts w:asciiTheme="minorEastAsia" w:hAnsiTheme="minorEastAsia" w:eastAsiaTheme="minorEastAsia"/>
          <w:color w:val="auto"/>
        </w:rPr>
        <w:t>2021〕</w:t>
      </w:r>
      <w:r>
        <w:rPr>
          <w:rFonts w:hint="eastAsia" w:asciiTheme="minorEastAsia" w:hAnsiTheme="minorEastAsia" w:eastAsiaTheme="minorEastAsia"/>
          <w:color w:val="auto"/>
        </w:rPr>
        <w:t>22</w:t>
      </w:r>
      <w:r>
        <w:rPr>
          <w:rFonts w:asciiTheme="minorEastAsia" w:hAnsiTheme="minorEastAsia" w:eastAsiaTheme="minorEastAsia"/>
          <w:color w:val="auto"/>
        </w:rPr>
        <w:t>号）</w:t>
      </w:r>
      <w:r>
        <w:rPr>
          <w:rFonts w:hint="eastAsia"/>
          <w:color w:val="auto"/>
        </w:rPr>
        <w:t>,采购人或者采购代理机构在质疑回复后5个工作日内，在浙江政府采购网的“其他公告”栏目公开质疑答复，答复内容应当完整。质疑函作为附件上传。</w:t>
      </w:r>
    </w:p>
    <w:p w14:paraId="78044069">
      <w:pPr>
        <w:pStyle w:val="886"/>
        <w:snapToGrid w:val="0"/>
        <w:spacing w:before="0" w:beforeAutospacing="0" w:after="0" w:afterAutospacing="0" w:line="348"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14:paraId="5627E9D7">
      <w:pPr>
        <w:pStyle w:val="886"/>
        <w:snapToGrid w:val="0"/>
        <w:spacing w:before="0" w:beforeAutospacing="0" w:after="0" w:afterAutospacing="0" w:line="348" w:lineRule="auto"/>
        <w:ind w:firstLine="480" w:firstLineChars="200"/>
        <w:contextualSpacing/>
        <w:rPr>
          <w:color w:val="auto"/>
          <w:lang w:val="zh-CN"/>
        </w:rPr>
      </w:pPr>
      <w:r>
        <w:rPr>
          <w:rFonts w:hint="eastAsia"/>
          <w:color w:val="auto"/>
          <w:lang w:val="zh-CN"/>
        </w:rPr>
        <w:t>4.4投标人投诉</w:t>
      </w:r>
    </w:p>
    <w:p w14:paraId="5442B3F2">
      <w:pPr>
        <w:pStyle w:val="886"/>
        <w:snapToGrid w:val="0"/>
        <w:spacing w:before="0" w:beforeAutospacing="0" w:after="0" w:afterAutospacing="0" w:line="348" w:lineRule="auto"/>
        <w:ind w:firstLine="400"/>
        <w:contextualSpacing/>
        <w:rPr>
          <w:color w:val="auto"/>
        </w:rPr>
      </w:pPr>
      <w:r>
        <w:rPr>
          <w:rFonts w:hint="eastAsia"/>
          <w:color w:val="auto"/>
        </w:rPr>
        <w:t>4.4.1质疑投标人对采购人、采购代理机构的答复不满意或者采购人、采购代理机构未在规定的时间内作出答复的，可以在答复期满后十五个工作日内向同级政府采购监督管理部门提出投诉。</w:t>
      </w:r>
    </w:p>
    <w:p w14:paraId="1DFE38C3">
      <w:pPr>
        <w:pStyle w:val="886"/>
        <w:snapToGrid w:val="0"/>
        <w:spacing w:before="0" w:beforeAutospacing="0" w:after="0" w:afterAutospacing="0" w:line="348" w:lineRule="auto"/>
        <w:ind w:firstLine="400"/>
        <w:contextualSpacing/>
        <w:rPr>
          <w:color w:val="auto"/>
        </w:rPr>
      </w:pPr>
      <w:r>
        <w:rPr>
          <w:rFonts w:hint="eastAsia"/>
          <w:color w:val="auto"/>
        </w:rPr>
        <w:t>4.4.</w:t>
      </w:r>
      <w:r>
        <w:rPr>
          <w:rFonts w:hint="eastAsia"/>
          <w:color w:val="auto"/>
          <w:lang w:val="zh-CN"/>
        </w:rPr>
        <w:t>2</w:t>
      </w:r>
      <w:r>
        <w:rPr>
          <w:rFonts w:hint="eastAsia"/>
          <w:color w:val="auto"/>
        </w:rPr>
        <w:t>投标人投诉的事项不得超出已质疑事项的范围，基于质疑答复内容提出的投诉事项除外。</w:t>
      </w:r>
    </w:p>
    <w:p w14:paraId="3CD44F41">
      <w:pPr>
        <w:pStyle w:val="886"/>
        <w:snapToGrid w:val="0"/>
        <w:spacing w:before="0" w:beforeAutospacing="0" w:after="0" w:afterAutospacing="0" w:line="348" w:lineRule="auto"/>
        <w:ind w:firstLine="400"/>
        <w:contextualSpacing/>
        <w:rPr>
          <w:color w:val="auto"/>
        </w:rPr>
      </w:pPr>
      <w:r>
        <w:rPr>
          <w:rFonts w:hint="eastAsia"/>
          <w:color w:val="auto"/>
        </w:rPr>
        <w:t>4.4.3投标人投诉应当有明确的请求和必要的证明材料。</w:t>
      </w:r>
    </w:p>
    <w:p w14:paraId="37F15638">
      <w:pPr>
        <w:pStyle w:val="886"/>
        <w:snapToGrid w:val="0"/>
        <w:spacing w:before="0" w:beforeAutospacing="0" w:after="0" w:afterAutospacing="0" w:line="348" w:lineRule="auto"/>
        <w:ind w:firstLine="400"/>
        <w:contextualSpacing/>
        <w:rPr>
          <w:color w:val="auto"/>
        </w:rPr>
      </w:pPr>
      <w:r>
        <w:rPr>
          <w:rFonts w:hint="eastAsia"/>
          <w:color w:val="auto"/>
        </w:rPr>
        <w:t>4.4.4以联合体形式参加政府采购活动的，其投诉应当由组成联合体的所有投标人共同提出。</w:t>
      </w:r>
    </w:p>
    <w:p w14:paraId="40856182">
      <w:pPr>
        <w:pStyle w:val="886"/>
        <w:snapToGrid w:val="0"/>
        <w:spacing w:before="0" w:beforeAutospacing="0" w:after="0" w:afterAutospacing="0" w:line="348" w:lineRule="auto"/>
        <w:ind w:firstLine="480" w:firstLineChars="200"/>
        <w:contextualSpacing/>
        <w:rPr>
          <w:color w:val="auto"/>
        </w:rPr>
      </w:pPr>
      <w:r>
        <w:rPr>
          <w:rFonts w:hint="eastAsia"/>
          <w:color w:val="auto"/>
        </w:rPr>
        <w:t>4.4.5投诉材料</w:t>
      </w:r>
      <w:r>
        <w:rPr>
          <w:rFonts w:hint="eastAsia" w:hAnsi="Courier New"/>
          <w:color w:val="auto"/>
        </w:rPr>
        <w:t>寄送</w:t>
      </w:r>
      <w:r>
        <w:rPr>
          <w:rFonts w:hint="eastAsia"/>
          <w:color w:val="auto"/>
        </w:rPr>
        <w:t>相关信息详见《第一部分  招标公告》。</w:t>
      </w:r>
    </w:p>
    <w:p w14:paraId="57FA96C9">
      <w:pPr>
        <w:pStyle w:val="886"/>
        <w:snapToGrid w:val="0"/>
        <w:spacing w:before="0" w:beforeAutospacing="0" w:after="0" w:afterAutospacing="0" w:line="348" w:lineRule="auto"/>
        <w:ind w:firstLine="400"/>
        <w:contextualSpacing/>
        <w:rPr>
          <w:color w:val="auto"/>
        </w:rPr>
      </w:pPr>
      <w:r>
        <w:rPr>
          <w:rFonts w:hint="eastAsia"/>
          <w:color w:val="auto"/>
        </w:rPr>
        <w:t>投诉书范本及制作说明详见附件2。</w:t>
      </w:r>
    </w:p>
    <w:p w14:paraId="43777FB3">
      <w:pPr>
        <w:adjustRightInd/>
        <w:spacing w:line="348" w:lineRule="auto"/>
        <w:jc w:val="center"/>
        <w:rPr>
          <w:rFonts w:ascii="宋体" w:hAnsi="宋体" w:cs="宋体"/>
          <w:b/>
          <w:color w:val="auto"/>
          <w:sz w:val="32"/>
          <w:szCs w:val="20"/>
        </w:rPr>
      </w:pPr>
      <w:r>
        <w:rPr>
          <w:rFonts w:hint="eastAsia" w:ascii="宋体" w:hAnsi="宋体" w:cs="宋体"/>
          <w:b/>
          <w:color w:val="auto"/>
          <w:sz w:val="32"/>
          <w:szCs w:val="20"/>
        </w:rPr>
        <w:t>二、招标文件的构成、澄清、修改</w:t>
      </w:r>
    </w:p>
    <w:p w14:paraId="5A6AD855">
      <w:pPr>
        <w:pStyle w:val="33"/>
        <w:spacing w:line="348" w:lineRule="auto"/>
        <w:rPr>
          <w:rFonts w:hAnsi="宋体" w:cs="宋体"/>
          <w:b/>
          <w:color w:val="auto"/>
          <w:sz w:val="24"/>
          <w:szCs w:val="24"/>
        </w:rPr>
      </w:pPr>
      <w:r>
        <w:rPr>
          <w:rFonts w:hint="eastAsia" w:hAnsi="宋体" w:cs="宋体"/>
          <w:b/>
          <w:color w:val="auto"/>
          <w:sz w:val="24"/>
          <w:szCs w:val="24"/>
        </w:rPr>
        <w:t>5．招标文件的构成</w:t>
      </w:r>
    </w:p>
    <w:p w14:paraId="4FFA1AB5">
      <w:pPr>
        <w:pStyle w:val="33"/>
        <w:spacing w:line="348"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14:paraId="48DF65D3">
      <w:pPr>
        <w:pStyle w:val="33"/>
        <w:tabs>
          <w:tab w:val="left" w:pos="840"/>
        </w:tabs>
        <w:spacing w:line="348" w:lineRule="auto"/>
        <w:ind w:firstLine="960" w:firstLineChars="400"/>
        <w:rPr>
          <w:rFonts w:hAnsi="宋体" w:cs="宋体"/>
          <w:color w:val="auto"/>
          <w:sz w:val="24"/>
          <w:szCs w:val="24"/>
        </w:rPr>
      </w:pPr>
      <w:r>
        <w:rPr>
          <w:rFonts w:hint="eastAsia" w:hAnsi="宋体" w:cs="宋体"/>
          <w:color w:val="auto"/>
          <w:sz w:val="24"/>
          <w:szCs w:val="24"/>
        </w:rPr>
        <w:t>5.1.1招标公告；</w:t>
      </w:r>
    </w:p>
    <w:p w14:paraId="3D5221D9">
      <w:pPr>
        <w:pStyle w:val="33"/>
        <w:tabs>
          <w:tab w:val="left" w:pos="840"/>
        </w:tabs>
        <w:spacing w:line="348" w:lineRule="auto"/>
        <w:ind w:firstLine="960" w:firstLineChars="400"/>
        <w:rPr>
          <w:rFonts w:hAnsi="宋体" w:cs="宋体"/>
          <w:color w:val="auto"/>
          <w:sz w:val="24"/>
          <w:szCs w:val="24"/>
        </w:rPr>
      </w:pPr>
      <w:r>
        <w:rPr>
          <w:rFonts w:hint="eastAsia" w:hAnsi="宋体" w:cs="宋体"/>
          <w:color w:val="auto"/>
          <w:sz w:val="24"/>
          <w:szCs w:val="24"/>
        </w:rPr>
        <w:t>5.1.2投标人须知；</w:t>
      </w:r>
    </w:p>
    <w:p w14:paraId="12E965A4">
      <w:pPr>
        <w:pStyle w:val="33"/>
        <w:tabs>
          <w:tab w:val="left" w:pos="840"/>
        </w:tabs>
        <w:spacing w:line="348" w:lineRule="auto"/>
        <w:ind w:firstLine="960" w:firstLineChars="400"/>
        <w:rPr>
          <w:rFonts w:hAnsi="宋体" w:cs="宋体"/>
          <w:color w:val="auto"/>
          <w:sz w:val="24"/>
          <w:szCs w:val="24"/>
        </w:rPr>
      </w:pPr>
      <w:r>
        <w:rPr>
          <w:rFonts w:hint="eastAsia" w:hAnsi="宋体" w:cs="宋体"/>
          <w:color w:val="auto"/>
          <w:sz w:val="24"/>
          <w:szCs w:val="24"/>
        </w:rPr>
        <w:t>5.1.3采购需求；</w:t>
      </w:r>
    </w:p>
    <w:p w14:paraId="1EECF5F5">
      <w:pPr>
        <w:pStyle w:val="33"/>
        <w:tabs>
          <w:tab w:val="left" w:pos="840"/>
        </w:tabs>
        <w:spacing w:line="348" w:lineRule="auto"/>
        <w:ind w:firstLine="960" w:firstLineChars="400"/>
        <w:rPr>
          <w:rFonts w:hAnsi="宋体" w:cs="宋体"/>
          <w:color w:val="auto"/>
          <w:sz w:val="24"/>
          <w:szCs w:val="24"/>
        </w:rPr>
      </w:pPr>
      <w:r>
        <w:rPr>
          <w:rFonts w:hint="eastAsia" w:hAnsi="宋体" w:cs="宋体"/>
          <w:color w:val="auto"/>
          <w:sz w:val="24"/>
          <w:szCs w:val="24"/>
        </w:rPr>
        <w:t>5.1.4评标办法；</w:t>
      </w:r>
    </w:p>
    <w:p w14:paraId="03A48662">
      <w:pPr>
        <w:pStyle w:val="33"/>
        <w:tabs>
          <w:tab w:val="left" w:pos="840"/>
        </w:tabs>
        <w:spacing w:line="348"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59C410ED">
      <w:pPr>
        <w:pStyle w:val="33"/>
        <w:tabs>
          <w:tab w:val="left" w:pos="840"/>
        </w:tabs>
        <w:spacing w:line="348"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51CA3E32">
      <w:pPr>
        <w:spacing w:line="348"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56C0E5CB">
      <w:pPr>
        <w:pStyle w:val="33"/>
        <w:spacing w:line="348" w:lineRule="auto"/>
        <w:rPr>
          <w:rFonts w:hAnsi="宋体" w:cs="宋体"/>
          <w:b/>
          <w:color w:val="auto"/>
          <w:sz w:val="24"/>
          <w:szCs w:val="24"/>
        </w:rPr>
      </w:pPr>
      <w:r>
        <w:rPr>
          <w:rFonts w:hint="eastAsia" w:hAnsi="宋体" w:cs="宋体"/>
          <w:b/>
          <w:color w:val="auto"/>
          <w:sz w:val="24"/>
          <w:szCs w:val="24"/>
        </w:rPr>
        <w:t>6.招标文件的澄清、修改</w:t>
      </w:r>
    </w:p>
    <w:p w14:paraId="413C9096">
      <w:pPr>
        <w:pStyle w:val="132"/>
        <w:snapToGrid w:val="0"/>
        <w:spacing w:before="0" w:line="348" w:lineRule="auto"/>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6.1已获取招标文件的潜在投标人，若有问题需要澄清，应于投标截止时间前，以书面形式向采购代理机构提出。</w:t>
      </w:r>
    </w:p>
    <w:p w14:paraId="4B839D4A">
      <w:pPr>
        <w:pStyle w:val="132"/>
        <w:snapToGrid w:val="0"/>
        <w:spacing w:before="0" w:line="348" w:lineRule="auto"/>
        <w:ind w:firstLine="480"/>
        <w:rPr>
          <w:rFonts w:ascii="宋体" w:hAnsi="宋体" w:cs="宋体"/>
          <w:color w:val="auto"/>
        </w:rPr>
      </w:pPr>
      <w:r>
        <w:rPr>
          <w:rFonts w:hint="eastAsia" w:ascii="宋体" w:hAnsi="宋体" w:cs="宋体"/>
          <w:color w:val="auto"/>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335EEB6">
      <w:pPr>
        <w:adjustRightInd/>
        <w:spacing w:line="348" w:lineRule="auto"/>
        <w:jc w:val="center"/>
        <w:rPr>
          <w:rFonts w:ascii="宋体" w:hAnsi="宋体" w:cs="宋体"/>
          <w:b/>
          <w:color w:val="auto"/>
          <w:sz w:val="30"/>
          <w:szCs w:val="20"/>
        </w:rPr>
      </w:pPr>
      <w:r>
        <w:rPr>
          <w:rFonts w:hint="eastAsia" w:ascii="宋体" w:hAnsi="宋体" w:cs="宋体"/>
          <w:b/>
          <w:color w:val="auto"/>
          <w:sz w:val="30"/>
          <w:szCs w:val="20"/>
        </w:rPr>
        <w:t>三、投标</w:t>
      </w:r>
    </w:p>
    <w:p w14:paraId="171372E5">
      <w:pPr>
        <w:pStyle w:val="33"/>
        <w:spacing w:line="348" w:lineRule="auto"/>
        <w:rPr>
          <w:rFonts w:hAnsi="宋体" w:cs="宋体"/>
          <w:b/>
          <w:color w:val="auto"/>
          <w:sz w:val="24"/>
          <w:szCs w:val="24"/>
        </w:rPr>
      </w:pPr>
      <w:r>
        <w:rPr>
          <w:rFonts w:hint="eastAsia" w:hAnsi="宋体" w:cs="宋体"/>
          <w:b/>
          <w:color w:val="auto"/>
          <w:sz w:val="24"/>
          <w:szCs w:val="24"/>
        </w:rPr>
        <w:t>7.招标文件的获取</w:t>
      </w:r>
    </w:p>
    <w:p w14:paraId="602B6633">
      <w:pPr>
        <w:spacing w:line="348"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7BFC9667">
      <w:pPr>
        <w:pStyle w:val="33"/>
        <w:spacing w:line="348" w:lineRule="auto"/>
        <w:rPr>
          <w:rFonts w:hAnsi="宋体" w:cs="宋体"/>
          <w:b/>
          <w:color w:val="auto"/>
          <w:sz w:val="24"/>
          <w:szCs w:val="24"/>
        </w:rPr>
      </w:pPr>
      <w:r>
        <w:rPr>
          <w:rFonts w:hint="eastAsia" w:hAnsi="宋体" w:cs="宋体"/>
          <w:b/>
          <w:color w:val="auto"/>
          <w:sz w:val="24"/>
          <w:szCs w:val="24"/>
        </w:rPr>
        <w:t>8.开标前答疑会或现场考察</w:t>
      </w:r>
    </w:p>
    <w:p w14:paraId="2422F27E">
      <w:pPr>
        <w:pStyle w:val="33"/>
        <w:spacing w:line="348"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6BBD9606">
      <w:pPr>
        <w:pStyle w:val="33"/>
        <w:spacing w:line="348" w:lineRule="auto"/>
        <w:rPr>
          <w:rFonts w:hAnsi="宋体" w:cs="宋体"/>
          <w:b/>
          <w:color w:val="auto"/>
          <w:szCs w:val="24"/>
        </w:rPr>
      </w:pPr>
      <w:r>
        <w:rPr>
          <w:rFonts w:hint="eastAsia" w:hAnsi="宋体" w:cs="宋体"/>
          <w:b/>
          <w:color w:val="auto"/>
          <w:kern w:val="28"/>
          <w:sz w:val="24"/>
          <w:szCs w:val="24"/>
        </w:rPr>
        <w:t>9.投标保证金</w:t>
      </w:r>
    </w:p>
    <w:p w14:paraId="6331649B">
      <w:pPr>
        <w:pStyle w:val="7"/>
        <w:spacing w:line="348" w:lineRule="auto"/>
        <w:ind w:firstLine="470" w:firstLineChars="196"/>
        <w:rPr>
          <w:rFonts w:hAnsi="宋体" w:cs="宋体"/>
          <w:color w:val="auto"/>
          <w:sz w:val="24"/>
        </w:rPr>
      </w:pPr>
      <w:r>
        <w:rPr>
          <w:rFonts w:hint="eastAsia" w:hAnsi="宋体" w:cs="宋体"/>
          <w:color w:val="auto"/>
          <w:sz w:val="24"/>
        </w:rPr>
        <w:t>本项目不需缴纳投标保证金。</w:t>
      </w:r>
    </w:p>
    <w:p w14:paraId="78ED7508">
      <w:pPr>
        <w:pStyle w:val="33"/>
        <w:spacing w:line="348" w:lineRule="auto"/>
        <w:rPr>
          <w:rFonts w:hAnsi="宋体" w:cs="宋体"/>
          <w:b/>
          <w:color w:val="auto"/>
          <w:sz w:val="24"/>
          <w:szCs w:val="24"/>
        </w:rPr>
      </w:pPr>
      <w:r>
        <w:rPr>
          <w:rFonts w:hint="eastAsia" w:hAnsi="宋体" w:cs="宋体"/>
          <w:b/>
          <w:color w:val="auto"/>
          <w:sz w:val="24"/>
          <w:szCs w:val="24"/>
        </w:rPr>
        <w:t>10. 投标文件的语言</w:t>
      </w:r>
    </w:p>
    <w:p w14:paraId="48AFB53B">
      <w:pPr>
        <w:autoSpaceDE w:val="0"/>
        <w:autoSpaceDN w:val="0"/>
        <w:spacing w:line="348"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17C8860E">
      <w:pPr>
        <w:pStyle w:val="33"/>
        <w:spacing w:line="348" w:lineRule="auto"/>
        <w:rPr>
          <w:rFonts w:hAnsi="宋体" w:cs="宋体"/>
          <w:b/>
          <w:color w:val="auto"/>
          <w:sz w:val="24"/>
          <w:szCs w:val="24"/>
        </w:rPr>
      </w:pPr>
      <w:r>
        <w:rPr>
          <w:rFonts w:hint="eastAsia" w:hAnsi="宋体" w:cs="宋体"/>
          <w:b/>
          <w:color w:val="auto"/>
          <w:sz w:val="24"/>
          <w:szCs w:val="24"/>
        </w:rPr>
        <w:t>11. 投标文件的组成</w:t>
      </w:r>
    </w:p>
    <w:p w14:paraId="02CB96F7">
      <w:pPr>
        <w:snapToGrid w:val="0"/>
        <w:spacing w:line="348" w:lineRule="auto"/>
        <w:ind w:firstLine="482" w:firstLineChars="200"/>
        <w:rPr>
          <w:rFonts w:ascii="宋体" w:hAnsi="宋体" w:cs="宋体"/>
          <w:b/>
          <w:bCs/>
          <w:color w:val="auto"/>
          <w:sz w:val="24"/>
        </w:rPr>
      </w:pPr>
      <w:r>
        <w:rPr>
          <w:rFonts w:hint="eastAsia" w:ascii="宋体" w:hAnsi="宋体" w:cs="宋体"/>
          <w:b/>
          <w:bCs/>
          <w:color w:val="auto"/>
          <w:sz w:val="24"/>
        </w:rPr>
        <w:t>11.1资格文件：</w:t>
      </w:r>
    </w:p>
    <w:p w14:paraId="576B26F8">
      <w:pPr>
        <w:snapToGrid w:val="0"/>
        <w:spacing w:line="348"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44C2DC80">
      <w:pPr>
        <w:snapToGrid w:val="0"/>
        <w:spacing w:line="348"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bookmarkStart w:id="18" w:name="_Hlk101259339"/>
      <w:r>
        <w:rPr>
          <w:rFonts w:hint="eastAsia" w:ascii="宋体" w:hAnsi="宋体" w:cs="宋体"/>
          <w:snapToGrid w:val="0"/>
          <w:color w:val="auto"/>
          <w:kern w:val="28"/>
          <w:sz w:val="24"/>
          <w:szCs w:val="20"/>
        </w:rPr>
        <w:t>联合协议</w:t>
      </w:r>
      <w:bookmarkEnd w:id="18"/>
      <w:r>
        <w:rPr>
          <w:rFonts w:hint="eastAsia" w:ascii="宋体" w:hAnsi="宋体" w:cs="宋体"/>
          <w:snapToGrid w:val="0"/>
          <w:color w:val="auto"/>
          <w:kern w:val="28"/>
          <w:sz w:val="24"/>
          <w:szCs w:val="20"/>
        </w:rPr>
        <w:t>（如果有)；</w:t>
      </w:r>
    </w:p>
    <w:p w14:paraId="0291F445">
      <w:pPr>
        <w:snapToGrid w:val="0"/>
        <w:spacing w:line="348"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34549F68">
      <w:pPr>
        <w:snapToGrid w:val="0"/>
        <w:spacing w:line="348"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2D74364C">
      <w:pPr>
        <w:snapToGrid w:val="0"/>
        <w:spacing w:line="348" w:lineRule="auto"/>
        <w:ind w:firstLine="960" w:firstLineChars="400"/>
        <w:rPr>
          <w:rFonts w:ascii="宋体" w:hAnsi="宋体" w:cs="宋体"/>
          <w:color w:val="auto"/>
          <w:sz w:val="24"/>
        </w:rPr>
      </w:pPr>
      <w:r>
        <w:rPr>
          <w:rFonts w:hint="eastAsia" w:ascii="宋体" w:hAnsi="宋体" w:cs="宋体"/>
          <w:color w:val="auto"/>
          <w:sz w:val="24"/>
        </w:rPr>
        <w:t>11.1.5中小企业声明函；</w:t>
      </w:r>
    </w:p>
    <w:p w14:paraId="5E53C019">
      <w:pPr>
        <w:snapToGrid w:val="0"/>
        <w:spacing w:line="348" w:lineRule="auto"/>
        <w:ind w:firstLine="960" w:firstLineChars="400"/>
        <w:rPr>
          <w:rFonts w:ascii="宋体" w:hAnsi="宋体" w:cs="宋体"/>
          <w:color w:val="auto"/>
          <w:sz w:val="24"/>
        </w:rPr>
      </w:pPr>
      <w:r>
        <w:rPr>
          <w:rFonts w:hint="eastAsia" w:ascii="宋体" w:hAnsi="宋体" w:cs="宋体"/>
          <w:color w:val="auto"/>
          <w:sz w:val="24"/>
        </w:rPr>
        <w:t>11.1.6残疾人福利性单位声明函（如果有）。</w:t>
      </w:r>
    </w:p>
    <w:p w14:paraId="4DFD6BA7">
      <w:pPr>
        <w:snapToGrid w:val="0"/>
        <w:spacing w:line="348" w:lineRule="auto"/>
        <w:ind w:firstLine="482" w:firstLineChars="200"/>
        <w:rPr>
          <w:rFonts w:ascii="宋体" w:hAnsi="宋体" w:cs="宋体"/>
          <w:b/>
          <w:bCs/>
          <w:color w:val="auto"/>
          <w:sz w:val="24"/>
          <w:lang w:val="zh-CN"/>
        </w:rPr>
      </w:pPr>
      <w:r>
        <w:rPr>
          <w:rFonts w:hint="eastAsia" w:ascii="宋体" w:hAnsi="宋体" w:cs="宋体"/>
          <w:b/>
          <w:bCs/>
          <w:color w:val="auto"/>
          <w:sz w:val="24"/>
          <w:lang w:val="zh-CN"/>
        </w:rPr>
        <w:t>11.</w:t>
      </w:r>
      <w:r>
        <w:rPr>
          <w:rFonts w:hint="eastAsia" w:ascii="宋体" w:hAnsi="宋体" w:cs="宋体"/>
          <w:b/>
          <w:bCs/>
          <w:color w:val="auto"/>
          <w:sz w:val="24"/>
        </w:rPr>
        <w:t>2商务技术</w:t>
      </w:r>
      <w:r>
        <w:rPr>
          <w:rFonts w:hint="eastAsia" w:ascii="宋体" w:hAnsi="宋体" w:cs="宋体"/>
          <w:b/>
          <w:bCs/>
          <w:color w:val="auto"/>
          <w:sz w:val="24"/>
          <w:lang w:val="zh-CN"/>
        </w:rPr>
        <w:t>文件：</w:t>
      </w:r>
    </w:p>
    <w:p w14:paraId="0E17C714">
      <w:pPr>
        <w:snapToGrid w:val="0"/>
        <w:spacing w:line="348" w:lineRule="auto"/>
        <w:ind w:firstLine="960" w:firstLineChars="400"/>
        <w:rPr>
          <w:rFonts w:ascii="宋体" w:hAnsi="宋体" w:cs="宋体"/>
          <w:color w:val="auto"/>
          <w:sz w:val="24"/>
        </w:rPr>
      </w:pPr>
      <w:r>
        <w:rPr>
          <w:rFonts w:hint="eastAsia" w:ascii="宋体" w:hAnsi="宋体" w:cs="宋体"/>
          <w:color w:val="auto"/>
          <w:sz w:val="24"/>
        </w:rPr>
        <w:t>11.2.1投标函；</w:t>
      </w:r>
    </w:p>
    <w:p w14:paraId="413D02D6">
      <w:pPr>
        <w:snapToGrid w:val="0"/>
        <w:spacing w:line="348"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5CA2AAE6">
      <w:pPr>
        <w:snapToGrid w:val="0"/>
        <w:spacing w:line="348"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67832D9E">
      <w:pPr>
        <w:snapToGrid w:val="0"/>
        <w:spacing w:line="348"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2E79EE1A">
      <w:pPr>
        <w:snapToGrid w:val="0"/>
        <w:spacing w:line="348"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16B01DE9">
      <w:pPr>
        <w:snapToGrid w:val="0"/>
        <w:spacing w:line="348" w:lineRule="auto"/>
        <w:ind w:firstLine="960" w:firstLineChars="400"/>
        <w:rPr>
          <w:rFonts w:ascii="宋体" w:hAnsi="宋体" w:cs="宋体"/>
          <w:color w:val="auto"/>
          <w:sz w:val="24"/>
        </w:rPr>
      </w:pPr>
      <w:r>
        <w:rPr>
          <w:rFonts w:hint="eastAsia" w:ascii="宋体" w:hAnsi="宋体" w:cs="宋体"/>
          <w:color w:val="auto"/>
          <w:sz w:val="24"/>
        </w:rPr>
        <w:t>（11.2.5-1）对招标文件的技术响应；</w:t>
      </w:r>
    </w:p>
    <w:p w14:paraId="7D782B8A">
      <w:pPr>
        <w:snapToGrid w:val="0"/>
        <w:spacing w:line="348" w:lineRule="auto"/>
        <w:ind w:firstLine="960" w:firstLineChars="400"/>
        <w:rPr>
          <w:rFonts w:ascii="宋体" w:hAnsi="宋体" w:cs="宋体"/>
          <w:color w:val="auto"/>
          <w:sz w:val="24"/>
        </w:rPr>
      </w:pPr>
      <w:r>
        <w:rPr>
          <w:rFonts w:hint="eastAsia" w:ascii="宋体" w:hAnsi="宋体" w:cs="宋体"/>
          <w:color w:val="auto"/>
          <w:sz w:val="24"/>
        </w:rPr>
        <w:t>（11.2.5-2）总体建设方案；</w:t>
      </w:r>
    </w:p>
    <w:p w14:paraId="062B3A4F">
      <w:pPr>
        <w:snapToGrid w:val="0"/>
        <w:spacing w:line="348" w:lineRule="auto"/>
        <w:ind w:firstLine="960" w:firstLineChars="400"/>
        <w:rPr>
          <w:rFonts w:ascii="宋体" w:hAnsi="宋体" w:cs="宋体"/>
          <w:color w:val="auto"/>
          <w:sz w:val="24"/>
        </w:rPr>
      </w:pPr>
      <w:r>
        <w:rPr>
          <w:rFonts w:hint="eastAsia" w:ascii="宋体" w:hAnsi="宋体" w:cs="宋体"/>
          <w:color w:val="auto"/>
          <w:sz w:val="24"/>
        </w:rPr>
        <w:t>（11.2.5-3）项目建设需求调研；</w:t>
      </w:r>
    </w:p>
    <w:p w14:paraId="43688ED6">
      <w:pPr>
        <w:snapToGrid w:val="0"/>
        <w:spacing w:line="348" w:lineRule="auto"/>
        <w:ind w:firstLine="960" w:firstLineChars="400"/>
        <w:rPr>
          <w:rFonts w:ascii="宋体" w:hAnsi="宋体" w:cs="宋体"/>
          <w:color w:val="auto"/>
          <w:sz w:val="24"/>
        </w:rPr>
      </w:pPr>
      <w:r>
        <w:rPr>
          <w:rFonts w:hint="eastAsia" w:ascii="宋体" w:hAnsi="宋体" w:cs="宋体"/>
          <w:color w:val="auto"/>
          <w:sz w:val="24"/>
        </w:rPr>
        <w:t>（11.2.5-4）项目实施方案；</w:t>
      </w:r>
    </w:p>
    <w:p w14:paraId="1D3C930B">
      <w:pPr>
        <w:snapToGrid w:val="0"/>
        <w:spacing w:line="348" w:lineRule="auto"/>
        <w:ind w:firstLine="960" w:firstLineChars="400"/>
        <w:rPr>
          <w:rFonts w:ascii="宋体" w:hAnsi="宋体" w:cs="宋体"/>
          <w:color w:val="auto"/>
          <w:sz w:val="24"/>
        </w:rPr>
      </w:pPr>
      <w:r>
        <w:rPr>
          <w:rFonts w:hint="eastAsia" w:ascii="宋体" w:hAnsi="宋体" w:cs="宋体"/>
          <w:color w:val="auto"/>
          <w:sz w:val="24"/>
        </w:rPr>
        <w:t>（11.2.5-5）项目应急方案及措施；</w:t>
      </w:r>
    </w:p>
    <w:p w14:paraId="37E1C4AB">
      <w:pPr>
        <w:snapToGrid w:val="0"/>
        <w:spacing w:line="348" w:lineRule="auto"/>
        <w:ind w:firstLine="960" w:firstLineChars="400"/>
        <w:rPr>
          <w:rFonts w:ascii="宋体" w:hAnsi="宋体" w:cs="宋体"/>
          <w:color w:val="auto"/>
          <w:sz w:val="24"/>
        </w:rPr>
      </w:pPr>
      <w:r>
        <w:rPr>
          <w:rFonts w:hint="eastAsia" w:ascii="宋体" w:hAnsi="宋体" w:cs="宋体"/>
          <w:color w:val="auto"/>
          <w:sz w:val="24"/>
        </w:rPr>
        <w:t>（11.2.5-6）项目实施培训方案；</w:t>
      </w:r>
    </w:p>
    <w:p w14:paraId="6B42AC62">
      <w:pPr>
        <w:snapToGrid w:val="0"/>
        <w:spacing w:line="348" w:lineRule="auto"/>
        <w:ind w:firstLine="960" w:firstLineChars="400"/>
        <w:rPr>
          <w:rFonts w:ascii="宋体" w:hAnsi="宋体" w:cs="宋体"/>
          <w:color w:val="auto"/>
          <w:sz w:val="24"/>
        </w:rPr>
      </w:pPr>
      <w:r>
        <w:rPr>
          <w:rFonts w:hint="eastAsia" w:ascii="宋体" w:hAnsi="宋体" w:cs="宋体"/>
          <w:color w:val="auto"/>
          <w:sz w:val="24"/>
        </w:rPr>
        <w:t>（11.2.5-7）售后服务方案；</w:t>
      </w:r>
    </w:p>
    <w:p w14:paraId="77DC2AC0">
      <w:pPr>
        <w:snapToGrid w:val="0"/>
        <w:spacing w:line="348" w:lineRule="auto"/>
        <w:ind w:firstLine="960" w:firstLineChars="400"/>
        <w:rPr>
          <w:rFonts w:ascii="宋体" w:hAnsi="宋体" w:cs="宋体"/>
          <w:color w:val="auto"/>
          <w:sz w:val="24"/>
        </w:rPr>
      </w:pPr>
      <w:r>
        <w:rPr>
          <w:rFonts w:hint="eastAsia" w:ascii="宋体" w:hAnsi="宋体" w:cs="宋体"/>
          <w:color w:val="auto"/>
          <w:sz w:val="24"/>
        </w:rPr>
        <w:t>（11.2.5-8）科研服务方案；</w:t>
      </w:r>
    </w:p>
    <w:p w14:paraId="54611164">
      <w:pPr>
        <w:snapToGrid w:val="0"/>
        <w:spacing w:line="348" w:lineRule="auto"/>
        <w:ind w:firstLine="960" w:firstLineChars="400"/>
        <w:rPr>
          <w:rFonts w:ascii="宋体" w:hAnsi="宋体" w:cs="宋体"/>
          <w:color w:val="auto"/>
          <w:sz w:val="24"/>
        </w:rPr>
      </w:pPr>
      <w:r>
        <w:rPr>
          <w:rFonts w:hint="eastAsia" w:ascii="宋体" w:hAnsi="宋体" w:cs="宋体"/>
          <w:color w:val="auto"/>
          <w:sz w:val="24"/>
        </w:rPr>
        <w:t>（11.2.5-9）人员配备；</w:t>
      </w:r>
    </w:p>
    <w:p w14:paraId="2AE51D18">
      <w:pPr>
        <w:snapToGrid w:val="0"/>
        <w:spacing w:line="348" w:lineRule="auto"/>
        <w:ind w:firstLine="960" w:firstLineChars="400"/>
        <w:rPr>
          <w:rFonts w:ascii="宋体" w:hAnsi="宋体" w:cs="宋体"/>
          <w:color w:val="auto"/>
          <w:sz w:val="24"/>
        </w:rPr>
      </w:pPr>
      <w:r>
        <w:rPr>
          <w:rFonts w:hint="eastAsia" w:ascii="宋体" w:hAnsi="宋体" w:cs="宋体"/>
          <w:color w:val="auto"/>
          <w:sz w:val="24"/>
        </w:rPr>
        <w:t>（11.2.5-10）企业综合实力；</w:t>
      </w:r>
    </w:p>
    <w:p w14:paraId="3299ED8C">
      <w:pPr>
        <w:snapToGrid w:val="0"/>
        <w:spacing w:line="348" w:lineRule="auto"/>
        <w:ind w:firstLine="960" w:firstLineChars="400"/>
        <w:rPr>
          <w:rFonts w:ascii="宋体" w:hAnsi="宋体" w:cs="宋体"/>
          <w:color w:val="auto"/>
          <w:sz w:val="24"/>
        </w:rPr>
      </w:pPr>
      <w:r>
        <w:rPr>
          <w:rFonts w:hint="eastAsia" w:ascii="宋体" w:hAnsi="宋体" w:cs="宋体"/>
          <w:color w:val="auto"/>
          <w:sz w:val="24"/>
        </w:rPr>
        <w:t>（11.2.5-11）业绩；</w:t>
      </w:r>
    </w:p>
    <w:p w14:paraId="563AE6CE">
      <w:pPr>
        <w:snapToGrid w:val="0"/>
        <w:spacing w:line="348" w:lineRule="auto"/>
        <w:ind w:firstLine="960" w:firstLineChars="400"/>
        <w:rPr>
          <w:rFonts w:ascii="宋体" w:hAnsi="宋体" w:cs="宋体"/>
          <w:color w:val="auto"/>
          <w:sz w:val="24"/>
        </w:rPr>
      </w:pPr>
      <w:r>
        <w:rPr>
          <w:rFonts w:hint="eastAsia" w:ascii="宋体" w:hAnsi="宋体" w:cs="宋体"/>
          <w:color w:val="auto"/>
          <w:sz w:val="24"/>
        </w:rPr>
        <w:t>（11.2.5-12）评分标准中要求提供的其他资料；</w:t>
      </w:r>
    </w:p>
    <w:p w14:paraId="2CB54999">
      <w:pPr>
        <w:snapToGrid w:val="0"/>
        <w:spacing w:line="348" w:lineRule="auto"/>
        <w:ind w:firstLine="960" w:firstLineChars="400"/>
        <w:rPr>
          <w:rFonts w:ascii="宋体" w:hAnsi="宋体" w:cs="宋体"/>
          <w:color w:val="auto"/>
          <w:sz w:val="24"/>
        </w:rPr>
      </w:pPr>
      <w:r>
        <w:rPr>
          <w:rFonts w:hint="eastAsia" w:ascii="宋体" w:hAnsi="宋体" w:cs="宋体"/>
          <w:color w:val="auto"/>
          <w:sz w:val="24"/>
        </w:rPr>
        <w:t>（11.2.5-13）投标人认为需要提供的其他资料。</w:t>
      </w:r>
    </w:p>
    <w:p w14:paraId="41D5477A">
      <w:pPr>
        <w:snapToGrid w:val="0"/>
        <w:spacing w:line="348"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商务技术偏离表；</w:t>
      </w:r>
    </w:p>
    <w:p w14:paraId="2E23E571">
      <w:pPr>
        <w:snapToGrid w:val="0"/>
        <w:spacing w:line="348"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7</w:t>
      </w:r>
      <w:r>
        <w:rPr>
          <w:rFonts w:hint="eastAsia" w:ascii="宋体" w:hAnsi="宋体" w:cs="宋体"/>
          <w:color w:val="auto"/>
          <w:sz w:val="24"/>
          <w:lang w:val="zh-CN"/>
        </w:rPr>
        <w:t>政府采购投标人廉洁自律承诺书。</w:t>
      </w:r>
    </w:p>
    <w:p w14:paraId="3225FCE3">
      <w:pPr>
        <w:snapToGrid w:val="0"/>
        <w:spacing w:line="348" w:lineRule="auto"/>
        <w:ind w:firstLine="482" w:firstLineChars="200"/>
        <w:rPr>
          <w:rFonts w:ascii="宋体" w:hAnsi="宋体" w:cs="宋体"/>
          <w:b/>
          <w:bCs/>
          <w:color w:val="auto"/>
          <w:kern w:val="0"/>
          <w:sz w:val="24"/>
          <w:lang w:val="zh-CN"/>
        </w:rPr>
      </w:pPr>
    </w:p>
    <w:p w14:paraId="76636C53">
      <w:pPr>
        <w:snapToGrid w:val="0"/>
        <w:spacing w:line="348" w:lineRule="auto"/>
        <w:ind w:firstLine="482" w:firstLineChars="200"/>
        <w:rPr>
          <w:rFonts w:ascii="宋体" w:hAnsi="宋体" w:cs="宋体"/>
          <w:b/>
          <w:bCs/>
          <w:color w:val="auto"/>
          <w:kern w:val="0"/>
          <w:sz w:val="24"/>
          <w:lang w:val="zh-CN"/>
        </w:rPr>
      </w:pPr>
    </w:p>
    <w:p w14:paraId="5F3FA084">
      <w:pPr>
        <w:snapToGrid w:val="0"/>
        <w:spacing w:line="348" w:lineRule="auto"/>
        <w:ind w:firstLine="482" w:firstLineChars="200"/>
        <w:rPr>
          <w:rFonts w:ascii="宋体" w:hAnsi="宋体" w:cs="宋体"/>
          <w:b/>
          <w:bCs/>
          <w:color w:val="auto"/>
          <w:sz w:val="24"/>
          <w:u w:val="single"/>
          <w:lang w:val="zh-CN"/>
        </w:rPr>
      </w:pPr>
      <w:r>
        <w:rPr>
          <w:rFonts w:hint="eastAsia" w:ascii="宋体" w:hAnsi="宋体" w:cs="宋体"/>
          <w:b/>
          <w:bCs/>
          <w:color w:val="auto"/>
          <w:kern w:val="0"/>
          <w:sz w:val="24"/>
          <w:lang w:val="zh-CN"/>
        </w:rPr>
        <w:t>11.</w:t>
      </w:r>
      <w:r>
        <w:rPr>
          <w:rFonts w:hint="eastAsia" w:ascii="宋体" w:hAnsi="宋体" w:cs="宋体"/>
          <w:b/>
          <w:bCs/>
          <w:color w:val="auto"/>
          <w:kern w:val="0"/>
          <w:sz w:val="24"/>
        </w:rPr>
        <w:t>3</w:t>
      </w:r>
      <w:r>
        <w:rPr>
          <w:rFonts w:hint="eastAsia" w:ascii="宋体" w:hAnsi="宋体" w:cs="宋体"/>
          <w:b/>
          <w:bCs/>
          <w:color w:val="auto"/>
          <w:sz w:val="24"/>
        </w:rPr>
        <w:t>报价文件：</w:t>
      </w:r>
    </w:p>
    <w:p w14:paraId="26FDC53E">
      <w:pPr>
        <w:snapToGrid w:val="0"/>
        <w:spacing w:line="348"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14:paraId="70849477">
      <w:pPr>
        <w:snapToGrid w:val="0"/>
        <w:spacing w:line="348" w:lineRule="auto"/>
        <w:ind w:firstLine="960" w:firstLineChars="400"/>
        <w:rPr>
          <w:rFonts w:ascii="宋体" w:hAnsi="宋体" w:cs="宋体"/>
          <w:color w:val="auto"/>
          <w:sz w:val="24"/>
        </w:rPr>
      </w:pPr>
      <w:r>
        <w:rPr>
          <w:rFonts w:hint="eastAsia" w:ascii="宋体" w:hAnsi="宋体" w:cs="宋体"/>
          <w:color w:val="auto"/>
          <w:sz w:val="24"/>
        </w:rPr>
        <w:t>11.3.2分项报价表。</w:t>
      </w:r>
    </w:p>
    <w:p w14:paraId="29409B3C">
      <w:pPr>
        <w:spacing w:line="348" w:lineRule="auto"/>
        <w:ind w:firstLine="723" w:firstLineChars="300"/>
        <w:rPr>
          <w:rFonts w:ascii="宋体" w:hAnsi="宋体" w:cs="宋体"/>
          <w:b/>
          <w:color w:val="auto"/>
          <w:sz w:val="24"/>
          <w:szCs w:val="21"/>
        </w:rPr>
      </w:pPr>
      <w:r>
        <w:rPr>
          <w:rFonts w:hint="eastAsia" w:ascii="宋体" w:hAnsi="宋体" w:cs="宋体"/>
          <w:b/>
          <w:color w:val="auto"/>
          <w:sz w:val="24"/>
        </w:rPr>
        <w:t>报价明显低于其他通过符合性审查投标人的报价（低于项目预算50%的），有可能影响产品质量或者不能诚信履约的，未能按要求提供书面说明或者提交相关证明材料，不能证明其报价合理性的，其投标无效。</w:t>
      </w:r>
    </w:p>
    <w:p w14:paraId="2E9005F8">
      <w:pPr>
        <w:pStyle w:val="132"/>
        <w:snapToGrid w:val="0"/>
        <w:spacing w:before="0" w:line="348" w:lineRule="auto"/>
        <w:ind w:firstLine="0" w:firstLineChars="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6641C545">
      <w:pPr>
        <w:spacing w:line="348"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439E187">
      <w:pPr>
        <w:spacing w:line="348"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B8DBC61">
      <w:pPr>
        <w:spacing w:line="348"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4780A1E4">
      <w:pPr>
        <w:snapToGrid w:val="0"/>
        <w:spacing w:line="348" w:lineRule="auto"/>
        <w:rPr>
          <w:rFonts w:ascii="宋体" w:hAnsi="宋体" w:cs="宋体"/>
          <w:b/>
          <w:color w:val="auto"/>
          <w:sz w:val="24"/>
        </w:rPr>
      </w:pPr>
      <w:r>
        <w:rPr>
          <w:rFonts w:hint="eastAsia" w:ascii="宋体" w:hAnsi="宋体" w:cs="宋体"/>
          <w:b/>
          <w:color w:val="auto"/>
          <w:sz w:val="24"/>
        </w:rPr>
        <w:t>13.投标文件的签署、盖章</w:t>
      </w:r>
    </w:p>
    <w:p w14:paraId="2CCF7AB3">
      <w:pPr>
        <w:pStyle w:val="132"/>
        <w:snapToGrid w:val="0"/>
        <w:spacing w:before="0" w:line="348" w:lineRule="auto"/>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2EA2FAD2">
      <w:pPr>
        <w:pStyle w:val="132"/>
        <w:snapToGrid w:val="0"/>
        <w:spacing w:before="0" w:line="348" w:lineRule="auto"/>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3D7D234E">
      <w:pPr>
        <w:pStyle w:val="132"/>
        <w:snapToGrid w:val="0"/>
        <w:spacing w:before="0" w:line="348" w:lineRule="auto"/>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14:paraId="04C03916">
      <w:pPr>
        <w:pStyle w:val="132"/>
        <w:spacing w:before="0" w:line="348" w:lineRule="auto"/>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14:paraId="5D5ABAFC">
      <w:pPr>
        <w:pStyle w:val="132"/>
        <w:spacing w:before="0" w:line="348" w:lineRule="auto"/>
        <w:ind w:firstLine="480"/>
        <w:rPr>
          <w:rFonts w:ascii="宋体" w:hAnsi="宋体" w:cs="宋体"/>
          <w:color w:val="auto"/>
          <w:szCs w:val="24"/>
        </w:rPr>
      </w:pPr>
      <w:r>
        <w:rPr>
          <w:rFonts w:hint="eastAsia" w:ascii="宋体" w:hAnsi="宋体" w:cs="宋体"/>
          <w:color w:val="auto"/>
          <w:szCs w:val="24"/>
        </w:rPr>
        <w:t>14.1投标人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CC44603">
      <w:pPr>
        <w:pStyle w:val="132"/>
        <w:spacing w:before="0" w:line="348" w:lineRule="auto"/>
        <w:ind w:firstLine="480"/>
        <w:rPr>
          <w:rFonts w:ascii="宋体" w:hAnsi="宋体" w:cs="宋体"/>
          <w:color w:val="auto"/>
          <w:szCs w:val="24"/>
        </w:rPr>
      </w:pPr>
      <w:r>
        <w:rPr>
          <w:rFonts w:hint="eastAsia" w:ascii="宋体" w:hAnsi="宋体" w:cs="宋体"/>
          <w:color w:val="auto"/>
          <w:szCs w:val="24"/>
        </w:rPr>
        <w:t>14.2电子交易平台收到投标文件，将妥善保存并即时向投标人发出确认回执通知。在投标截止时间前，除投标人补充、修改或者撤回投标文件外，任何单位和个人不得解密或提取投标文件。</w:t>
      </w:r>
    </w:p>
    <w:p w14:paraId="10BED395">
      <w:pPr>
        <w:pStyle w:val="132"/>
        <w:spacing w:before="0" w:line="348" w:lineRule="auto"/>
        <w:ind w:firstLine="480"/>
        <w:rPr>
          <w:rFonts w:ascii="宋体" w:hAnsi="宋体" w:cs="宋体"/>
          <w:color w:val="auto"/>
          <w:szCs w:val="24"/>
        </w:rPr>
      </w:pPr>
      <w:r>
        <w:rPr>
          <w:rFonts w:hint="eastAsia" w:ascii="宋体" w:hAnsi="宋体" w:cs="宋体"/>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14:paraId="03C7C397">
      <w:pPr>
        <w:pStyle w:val="33"/>
        <w:spacing w:line="348" w:lineRule="auto"/>
        <w:rPr>
          <w:rFonts w:hAnsi="宋体" w:cs="宋体"/>
          <w:b/>
          <w:color w:val="auto"/>
          <w:sz w:val="24"/>
          <w:szCs w:val="24"/>
        </w:rPr>
      </w:pPr>
      <w:r>
        <w:rPr>
          <w:rFonts w:hint="eastAsia" w:hAnsi="宋体" w:cs="宋体"/>
          <w:b/>
          <w:color w:val="auto"/>
          <w:sz w:val="24"/>
          <w:szCs w:val="24"/>
        </w:rPr>
        <w:t>15.备份投标文件（文件后缀为：bfbs）</w:t>
      </w:r>
    </w:p>
    <w:p w14:paraId="21A71DC5">
      <w:pPr>
        <w:pStyle w:val="33"/>
        <w:spacing w:line="348" w:lineRule="auto"/>
        <w:ind w:firstLine="360" w:firstLineChars="150"/>
        <w:rPr>
          <w:rFonts w:hAnsi="宋体" w:cs="宋体"/>
          <w:b/>
          <w:color w:val="auto"/>
          <w:sz w:val="24"/>
          <w:szCs w:val="24"/>
        </w:rPr>
      </w:pPr>
      <w:r>
        <w:rPr>
          <w:rFonts w:hint="eastAsia" w:hAnsi="宋体" w:cs="宋体"/>
          <w:color w:val="auto"/>
          <w:sz w:val="24"/>
          <w:szCs w:val="24"/>
        </w:rPr>
        <w:t>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但采购人、采购代理机构不强制或变相强制投标人提交备份投标文件。</w:t>
      </w:r>
    </w:p>
    <w:p w14:paraId="232DE4F6">
      <w:pPr>
        <w:pStyle w:val="33"/>
        <w:spacing w:line="348"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U盘</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32B57567">
      <w:pPr>
        <w:pStyle w:val="33"/>
        <w:spacing w:line="348"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15.3直接提交备份投标文件的，投标人应于投标截止时间前在招标公告中载明的开标地点将备份投标文件提交给采购代理机构，采购代理机构将拒绝接受逾期送达的备份投标文件。</w:t>
      </w:r>
    </w:p>
    <w:p w14:paraId="7665C78E">
      <w:pPr>
        <w:pStyle w:val="33"/>
        <w:spacing w:line="348"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送达时间以签收人签收时间为准。采购代理机构将拒绝接受逾期送达的备份投标文件。邮寄过程中，电子备份投标文件发生泄露、遗失、损坏或延期送达等情况的，由投标人自行负责。</w:t>
      </w:r>
    </w:p>
    <w:p w14:paraId="39A59C4E">
      <w:pPr>
        <w:pStyle w:val="33"/>
        <w:spacing w:line="348"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14:paraId="216A30C8">
      <w:pPr>
        <w:pStyle w:val="132"/>
        <w:spacing w:before="0" w:line="348" w:lineRule="auto"/>
        <w:ind w:firstLine="0" w:firstLineChars="0"/>
        <w:rPr>
          <w:rFonts w:ascii="宋体" w:hAnsi="宋体" w:cs="宋体"/>
          <w:b/>
          <w:color w:val="auto"/>
          <w:szCs w:val="24"/>
        </w:rPr>
      </w:pPr>
      <w:r>
        <w:rPr>
          <w:rFonts w:hint="eastAsia" w:ascii="宋体" w:hAnsi="宋体" w:cs="宋体"/>
          <w:b/>
          <w:color w:val="auto"/>
          <w:szCs w:val="24"/>
        </w:rPr>
        <w:t>16.投标文件的无效处理</w:t>
      </w:r>
    </w:p>
    <w:p w14:paraId="01DE3756">
      <w:pPr>
        <w:pStyle w:val="3"/>
        <w:spacing w:line="348" w:lineRule="auto"/>
        <w:ind w:firstLine="360" w:firstLineChars="150"/>
        <w:rPr>
          <w:rFonts w:cs="宋体"/>
          <w:color w:val="auto"/>
          <w:szCs w:val="21"/>
        </w:rPr>
      </w:pPr>
      <w:r>
        <w:rPr>
          <w:rFonts w:hint="eastAsia" w:cs="宋体"/>
          <w:color w:val="auto"/>
          <w:szCs w:val="21"/>
        </w:rPr>
        <w:t>有招标文件第四部分</w:t>
      </w:r>
      <w:r>
        <w:rPr>
          <w:rFonts w:cs="宋体"/>
          <w:color w:val="auto"/>
        </w:rPr>
        <w:t>4.2规定</w:t>
      </w:r>
      <w:r>
        <w:rPr>
          <w:rFonts w:hint="eastAsia" w:cs="宋体"/>
          <w:color w:val="auto"/>
          <w:szCs w:val="21"/>
        </w:rPr>
        <w:t>的情形之一的，投标无效：</w:t>
      </w:r>
    </w:p>
    <w:p w14:paraId="44FD8714">
      <w:pPr>
        <w:pStyle w:val="132"/>
        <w:spacing w:before="0" w:line="348" w:lineRule="auto"/>
        <w:ind w:firstLine="0" w:firstLineChars="0"/>
        <w:rPr>
          <w:rFonts w:ascii="宋体" w:hAnsi="宋体" w:cs="宋体"/>
          <w:b/>
          <w:color w:val="auto"/>
          <w:szCs w:val="24"/>
        </w:rPr>
      </w:pPr>
      <w:r>
        <w:rPr>
          <w:rFonts w:hint="eastAsia" w:ascii="宋体" w:hAnsi="宋体" w:cs="宋体"/>
          <w:b/>
          <w:color w:val="auto"/>
          <w:szCs w:val="24"/>
        </w:rPr>
        <w:t>17.投标有效期</w:t>
      </w:r>
    </w:p>
    <w:p w14:paraId="4D33E3E2">
      <w:pPr>
        <w:spacing w:line="348"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5ABA28DF">
      <w:pPr>
        <w:pStyle w:val="132"/>
        <w:spacing w:before="0" w:line="348" w:lineRule="auto"/>
        <w:ind w:firstLine="480"/>
        <w:rPr>
          <w:rFonts w:ascii="宋体" w:hAnsi="宋体" w:cs="宋体"/>
          <w:color w:val="auto"/>
        </w:rPr>
      </w:pPr>
      <w:r>
        <w:rPr>
          <w:rFonts w:hint="eastAsia" w:ascii="宋体" w:hAnsi="宋体" w:cs="宋体"/>
          <w:color w:val="auto"/>
        </w:rPr>
        <w:t>17.2投标文件合格投递后，自投标截止日期起，在投标有效期内有效。</w:t>
      </w:r>
    </w:p>
    <w:p w14:paraId="32BECFB3">
      <w:pPr>
        <w:pStyle w:val="132"/>
        <w:spacing w:before="0" w:line="348" w:lineRule="auto"/>
        <w:ind w:firstLine="480"/>
        <w:rPr>
          <w:rFonts w:ascii="宋体" w:hAnsi="宋体" w:cs="宋体"/>
          <w:color w:val="auto"/>
        </w:rPr>
      </w:pPr>
      <w:r>
        <w:rPr>
          <w:rFonts w:hint="eastAsia" w:ascii="宋体" w:hAnsi="宋体" w:cs="宋体"/>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14:paraId="5D32D3F4">
      <w:pPr>
        <w:pStyle w:val="132"/>
        <w:spacing w:before="0" w:line="348" w:lineRule="auto"/>
        <w:ind w:firstLine="1928" w:firstLineChars="600"/>
        <w:rPr>
          <w:rFonts w:ascii="宋体" w:hAnsi="宋体" w:cs="宋体"/>
          <w:b/>
          <w:color w:val="auto"/>
          <w:sz w:val="32"/>
        </w:rPr>
      </w:pPr>
    </w:p>
    <w:p w14:paraId="01FA0DE3">
      <w:pPr>
        <w:pStyle w:val="132"/>
        <w:spacing w:before="0" w:line="348" w:lineRule="auto"/>
        <w:ind w:firstLine="1928" w:firstLineChars="600"/>
        <w:rPr>
          <w:rFonts w:ascii="宋体" w:hAnsi="宋体" w:cs="宋体"/>
          <w:b/>
          <w:color w:val="auto"/>
          <w:sz w:val="32"/>
        </w:rPr>
      </w:pPr>
      <w:r>
        <w:rPr>
          <w:rFonts w:hint="eastAsia" w:ascii="宋体" w:hAnsi="宋体" w:cs="宋体"/>
          <w:b/>
          <w:color w:val="auto"/>
          <w:sz w:val="32"/>
        </w:rPr>
        <w:t>四、开标、资格审查与信用信息查询</w:t>
      </w:r>
    </w:p>
    <w:p w14:paraId="70F3738F">
      <w:pPr>
        <w:pStyle w:val="554"/>
        <w:spacing w:before="0" w:line="348"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14:paraId="46A53AB3">
      <w:pPr>
        <w:pStyle w:val="554"/>
        <w:spacing w:before="0" w:line="348" w:lineRule="auto"/>
        <w:ind w:left="0" w:firstLine="480" w:firstLineChars="200"/>
        <w:contextualSpacing/>
        <w:rPr>
          <w:rFonts w:ascii="宋体" w:hAnsi="宋体" w:cs="宋体"/>
          <w:color w:val="auto"/>
          <w:sz w:val="24"/>
        </w:rPr>
      </w:pPr>
      <w:r>
        <w:rPr>
          <w:rFonts w:hint="eastAsia" w:ascii="宋体" w:hAnsi="宋体" w:cs="宋体"/>
          <w:color w:val="auto"/>
          <w:sz w:val="24"/>
        </w:rPr>
        <w:t>18.1采购代理机构按照招标文件规定的时间通过电子交易平台组织开标，所有投标人均应当准时在线参加。投标人不足3家的，不得开标。</w:t>
      </w:r>
    </w:p>
    <w:p w14:paraId="4BC9B846">
      <w:pPr>
        <w:pStyle w:val="554"/>
        <w:spacing w:before="0" w:line="348"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18.2开标时，电子交易平台按开标时间自动提取所有投标文件。采购代理机构依托电子交易平台发起开始解密指令，投标人按照平台提示和招标文件的规定在半小时内完成在线解密。</w:t>
      </w:r>
    </w:p>
    <w:p w14:paraId="14AF27B4">
      <w:pPr>
        <w:pStyle w:val="554"/>
        <w:spacing w:before="0" w:line="348" w:lineRule="auto"/>
        <w:ind w:left="0" w:firstLine="480" w:firstLineChars="200"/>
        <w:contextualSpacing/>
        <w:rPr>
          <w:rFonts w:ascii="宋体" w:hAnsi="宋体" w:cs="宋体"/>
          <w:color w:val="auto"/>
          <w:sz w:val="24"/>
        </w:rPr>
      </w:pPr>
      <w:r>
        <w:rPr>
          <w:rFonts w:hint="eastAsia" w:ascii="宋体" w:hAnsi="宋体" w:cs="宋体"/>
          <w:color w:val="auto"/>
          <w:sz w:val="24"/>
        </w:rPr>
        <w:t>18.2.1具体开标程序：</w:t>
      </w:r>
    </w:p>
    <w:p w14:paraId="1E92E8CD">
      <w:pPr>
        <w:pStyle w:val="554"/>
        <w:spacing w:before="0" w:line="348" w:lineRule="auto"/>
        <w:ind w:left="0" w:firstLine="240" w:firstLineChars="100"/>
        <w:contextualSpacing/>
        <w:rPr>
          <w:rFonts w:ascii="宋体" w:hAnsi="宋体" w:cs="宋体"/>
          <w:color w:val="auto"/>
          <w:sz w:val="24"/>
        </w:rPr>
      </w:pPr>
      <w:r>
        <w:rPr>
          <w:rFonts w:hint="eastAsia" w:ascii="宋体" w:hAnsi="宋体" w:cs="宋体"/>
          <w:color w:val="auto"/>
          <w:sz w:val="24"/>
        </w:rPr>
        <w:t>（1）投标截止时间后，投标人登录政府采购云平台，用“项目采购-开标评标”功能对电子投标文件进行在线解密，在线解密电子投标文件时间为开标时间后30分钟内。</w:t>
      </w:r>
    </w:p>
    <w:p w14:paraId="04F9D419">
      <w:pPr>
        <w:pStyle w:val="554"/>
        <w:spacing w:before="0" w:line="348" w:lineRule="auto"/>
        <w:ind w:left="0" w:firstLine="240" w:firstLineChars="100"/>
        <w:contextualSpacing/>
        <w:rPr>
          <w:rFonts w:ascii="宋体" w:hAnsi="宋体" w:cs="宋体"/>
          <w:color w:val="auto"/>
          <w:sz w:val="24"/>
        </w:rPr>
      </w:pPr>
      <w:r>
        <w:rPr>
          <w:rFonts w:hint="eastAsia" w:ascii="宋体" w:hAnsi="宋体" w:cs="宋体"/>
          <w:color w:val="auto"/>
          <w:sz w:val="24"/>
        </w:rPr>
        <w:t>（2）在政府采购云平台开启已解密投标人的“资格文件、商务技术文件、报价文件”，并做开标记录；</w:t>
      </w:r>
    </w:p>
    <w:p w14:paraId="7F4A6B77">
      <w:pPr>
        <w:pStyle w:val="554"/>
        <w:spacing w:before="0" w:line="348" w:lineRule="auto"/>
        <w:ind w:left="0" w:firstLine="240" w:firstLineChars="100"/>
        <w:contextualSpacing/>
        <w:rPr>
          <w:rFonts w:ascii="宋体" w:hAnsi="宋体" w:cs="宋体"/>
          <w:color w:val="auto"/>
          <w:sz w:val="24"/>
        </w:rPr>
      </w:pPr>
      <w:r>
        <w:rPr>
          <w:rFonts w:hint="eastAsia" w:ascii="宋体" w:hAnsi="宋体" w:cs="宋体"/>
          <w:color w:val="auto"/>
          <w:sz w:val="24"/>
        </w:rPr>
        <w:t>（3）在政府采购云平台公布评审结果。</w:t>
      </w:r>
    </w:p>
    <w:p w14:paraId="6509B0C2">
      <w:pPr>
        <w:pStyle w:val="554"/>
        <w:spacing w:before="0" w:line="348" w:lineRule="auto"/>
        <w:ind w:left="0" w:firstLine="240" w:firstLineChars="100"/>
        <w:contextualSpacing/>
        <w:rPr>
          <w:rFonts w:ascii="宋体" w:hAnsi="宋体" w:cs="宋体"/>
          <w:color w:val="auto"/>
          <w:sz w:val="24"/>
        </w:rPr>
      </w:pPr>
      <w:r>
        <w:rPr>
          <w:rFonts w:hint="eastAsia" w:ascii="宋体" w:hAnsi="宋体" w:cs="宋体"/>
          <w:color w:val="auto"/>
          <w:sz w:val="24"/>
        </w:rPr>
        <w:t>（4）开标会议结束。　</w:t>
      </w:r>
    </w:p>
    <w:p w14:paraId="3FCEFE7C">
      <w:pPr>
        <w:pStyle w:val="554"/>
        <w:spacing w:before="0" w:line="348" w:lineRule="auto"/>
        <w:ind w:left="0" w:firstLine="240" w:firstLineChars="100"/>
        <w:contextualSpacing/>
        <w:rPr>
          <w:rFonts w:ascii="宋体" w:hAnsi="宋体" w:cs="宋体"/>
          <w:b/>
          <w:color w:val="auto"/>
          <w:sz w:val="24"/>
        </w:rPr>
      </w:pPr>
      <w:r>
        <w:rPr>
          <w:rFonts w:hint="eastAsia" w:ascii="宋体" w:hAnsi="宋体" w:cs="宋体"/>
          <w:color w:val="auto"/>
          <w:sz w:val="24"/>
        </w:rPr>
        <w:t>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0305A621">
      <w:pPr>
        <w:widowControl/>
        <w:spacing w:line="348" w:lineRule="auto"/>
        <w:jc w:val="left"/>
        <w:rPr>
          <w:rFonts w:ascii="宋体" w:hAnsi="宋体" w:cs="宋体"/>
          <w:b/>
          <w:color w:val="auto"/>
          <w:sz w:val="24"/>
          <w:szCs w:val="20"/>
        </w:rPr>
      </w:pPr>
      <w:r>
        <w:rPr>
          <w:rFonts w:hint="eastAsia" w:ascii="宋体" w:hAnsi="宋体" w:cs="宋体"/>
          <w:b/>
          <w:color w:val="auto"/>
          <w:sz w:val="24"/>
          <w:szCs w:val="20"/>
        </w:rPr>
        <w:t>　19、资格审查</w:t>
      </w:r>
    </w:p>
    <w:p w14:paraId="0AC2F39E">
      <w:pPr>
        <w:snapToGrid w:val="0"/>
        <w:spacing w:line="348" w:lineRule="auto"/>
        <w:ind w:firstLine="480" w:firstLineChars="200"/>
        <w:rPr>
          <w:rFonts w:ascii="宋体" w:hAnsi="宋体" w:cs="宋体"/>
          <w:color w:val="auto"/>
          <w:sz w:val="24"/>
        </w:rPr>
      </w:pPr>
      <w:r>
        <w:rPr>
          <w:rFonts w:hint="eastAsia" w:ascii="宋体" w:hAnsi="宋体" w:cs="宋体"/>
          <w:color w:val="auto"/>
          <w:kern w:val="0"/>
          <w:sz w:val="24"/>
        </w:rPr>
        <w:t>19.1</w:t>
      </w:r>
      <w:r>
        <w:rPr>
          <w:rFonts w:hint="eastAsia" w:ascii="宋体" w:hAnsi="宋体" w:cs="宋体"/>
          <w:color w:val="auto"/>
          <w:sz w:val="24"/>
        </w:rPr>
        <w:t>采购人或采购代理机构依据法律法规和招标文件的规定，对投标人的资格进行审查。</w:t>
      </w:r>
    </w:p>
    <w:p w14:paraId="7408ADA5">
      <w:pPr>
        <w:pStyle w:val="132"/>
        <w:spacing w:before="0" w:line="348" w:lineRule="auto"/>
        <w:ind w:firstLine="480"/>
        <w:rPr>
          <w:rFonts w:ascii="宋体" w:hAnsi="宋体" w:cs="宋体"/>
          <w:color w:val="auto"/>
        </w:rPr>
      </w:pPr>
      <w:r>
        <w:rPr>
          <w:rFonts w:hint="eastAsia" w:ascii="宋体" w:hAnsi="宋体" w:cs="宋体"/>
          <w:color w:val="auto"/>
          <w:kern w:val="0"/>
          <w:szCs w:val="24"/>
        </w:rPr>
        <w:t>19.2投标人未按照招标文件要求提供与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0BFA7B16">
      <w:pPr>
        <w:pStyle w:val="132"/>
        <w:spacing w:before="0" w:line="348" w:lineRule="auto"/>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3对未通过资格审查的投标人，采购人或采购代理机构告知其未通过的原因。</w:t>
      </w:r>
    </w:p>
    <w:p w14:paraId="2350B1C4">
      <w:pPr>
        <w:pStyle w:val="132"/>
        <w:spacing w:before="0" w:line="348" w:lineRule="auto"/>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4合格投标人不足3家的，不再评标。</w:t>
      </w:r>
    </w:p>
    <w:p w14:paraId="69C07D93">
      <w:pPr>
        <w:pStyle w:val="132"/>
        <w:spacing w:before="0" w:line="348" w:lineRule="auto"/>
        <w:ind w:firstLine="0" w:firstLineChars="0"/>
        <w:rPr>
          <w:rFonts w:ascii="宋体" w:hAnsi="宋体" w:cs="宋体"/>
          <w:b/>
          <w:color w:val="auto"/>
          <w:szCs w:val="24"/>
        </w:rPr>
      </w:pPr>
      <w:r>
        <w:rPr>
          <w:rFonts w:hint="eastAsia" w:ascii="宋体" w:hAnsi="宋体" w:cs="宋体"/>
          <w:b/>
          <w:color w:val="auto"/>
          <w:szCs w:val="24"/>
        </w:rPr>
        <w:t>20、信用信息查询</w:t>
      </w:r>
    </w:p>
    <w:p w14:paraId="189E5449">
      <w:pPr>
        <w:pStyle w:val="132"/>
        <w:spacing w:before="0" w:line="348" w:lineRule="auto"/>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20.1信用信息查询渠道及截止时间：采购代理机构将在资格审查时通过“信用中国”网站(www.creditchina.gov.cn)、中国政府采购网(www.ccgp.gov.cn)渠道查询投标人接受资格审查时的信用记录。</w:t>
      </w:r>
    </w:p>
    <w:p w14:paraId="0D142CDE">
      <w:pPr>
        <w:pStyle w:val="132"/>
        <w:spacing w:before="0" w:line="348" w:lineRule="auto"/>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20.2信用信息查询记录和证据留存的具体方式：现场查询的投标人的信用记录、查询结果经确认后将与招标文件一起存档。</w:t>
      </w:r>
    </w:p>
    <w:p w14:paraId="5A0A0AE7">
      <w:pPr>
        <w:pStyle w:val="132"/>
        <w:spacing w:before="0" w:line="348" w:lineRule="auto"/>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w:t>
      </w:r>
      <w:r>
        <w:rPr>
          <w:rFonts w:hint="eastAsia" w:ascii="宋体" w:hAnsi="宋体" w:cs="宋体"/>
          <w:snapToGrid w:val="0"/>
          <w:color w:val="auto"/>
          <w:kern w:val="28"/>
        </w:rPr>
        <w:t>（重大税收违法失信主体）</w:t>
      </w:r>
      <w:r>
        <w:rPr>
          <w:rFonts w:hint="eastAsia" w:ascii="宋体" w:hAnsi="宋体" w:cs="宋体"/>
          <w:color w:val="auto"/>
          <w:kern w:val="0"/>
          <w:szCs w:val="24"/>
        </w:rPr>
        <w:t>、政府采购严重违法失信行为记录名单的投标人将被拒绝参与政府采购活动。</w:t>
      </w:r>
    </w:p>
    <w:p w14:paraId="4E5119FB">
      <w:pPr>
        <w:pStyle w:val="132"/>
        <w:spacing w:before="0" w:line="348" w:lineRule="auto"/>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投标人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185E98C3">
      <w:pPr>
        <w:snapToGrid w:val="0"/>
        <w:spacing w:line="348" w:lineRule="auto"/>
        <w:jc w:val="center"/>
        <w:rPr>
          <w:rFonts w:ascii="宋体" w:hAnsi="宋体" w:cs="宋体"/>
          <w:b/>
          <w:color w:val="auto"/>
          <w:sz w:val="36"/>
          <w:szCs w:val="36"/>
        </w:rPr>
      </w:pPr>
    </w:p>
    <w:p w14:paraId="00173DDF">
      <w:pPr>
        <w:snapToGrid w:val="0"/>
        <w:spacing w:line="348" w:lineRule="auto"/>
        <w:jc w:val="center"/>
        <w:rPr>
          <w:rFonts w:ascii="宋体" w:hAnsi="宋体" w:cs="宋体"/>
          <w:b/>
          <w:color w:val="auto"/>
          <w:sz w:val="36"/>
          <w:szCs w:val="36"/>
        </w:rPr>
      </w:pPr>
      <w:r>
        <w:rPr>
          <w:rFonts w:hint="eastAsia" w:ascii="宋体" w:hAnsi="宋体" w:cs="宋体"/>
          <w:b/>
          <w:color w:val="auto"/>
          <w:sz w:val="36"/>
          <w:szCs w:val="36"/>
        </w:rPr>
        <w:t>五、评标</w:t>
      </w:r>
    </w:p>
    <w:p w14:paraId="16AD3D00">
      <w:pPr>
        <w:spacing w:line="348" w:lineRule="auto"/>
        <w:rPr>
          <w:rFonts w:ascii="宋体" w:hAnsi="宋体" w:cs="宋体"/>
          <w:b/>
          <w:color w:val="auto"/>
          <w:sz w:val="24"/>
        </w:rPr>
      </w:pPr>
      <w:bookmarkStart w:id="19"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0F09EA31">
      <w:pPr>
        <w:snapToGrid w:val="0"/>
        <w:spacing w:line="348" w:lineRule="auto"/>
        <w:jc w:val="center"/>
        <w:rPr>
          <w:rFonts w:ascii="宋体" w:hAnsi="宋体" w:cs="宋体"/>
          <w:b/>
          <w:color w:val="auto"/>
          <w:sz w:val="36"/>
          <w:szCs w:val="36"/>
        </w:rPr>
      </w:pPr>
    </w:p>
    <w:p w14:paraId="0A6A1BFC">
      <w:pPr>
        <w:snapToGrid w:val="0"/>
        <w:spacing w:line="348" w:lineRule="auto"/>
        <w:jc w:val="center"/>
        <w:rPr>
          <w:rFonts w:ascii="宋体" w:hAnsi="宋体" w:cs="宋体"/>
          <w:b/>
          <w:color w:val="auto"/>
          <w:sz w:val="36"/>
          <w:szCs w:val="36"/>
        </w:rPr>
      </w:pPr>
      <w:r>
        <w:rPr>
          <w:rFonts w:hint="eastAsia" w:ascii="宋体" w:hAnsi="宋体" w:cs="宋体"/>
          <w:b/>
          <w:color w:val="auto"/>
          <w:sz w:val="36"/>
          <w:szCs w:val="36"/>
        </w:rPr>
        <w:t>六、定 标</w:t>
      </w:r>
    </w:p>
    <w:p w14:paraId="23C04D16">
      <w:pPr>
        <w:pStyle w:val="3"/>
        <w:spacing w:line="348" w:lineRule="auto"/>
        <w:ind w:left="479" w:hanging="479" w:hangingChars="199"/>
        <w:rPr>
          <w:rFonts w:cs="宋体"/>
          <w:b/>
          <w:color w:val="auto"/>
        </w:rPr>
      </w:pPr>
      <w:r>
        <w:rPr>
          <w:rFonts w:hint="eastAsia" w:cs="宋体"/>
          <w:b/>
          <w:color w:val="auto"/>
        </w:rPr>
        <w:t>22. 确定中标人</w:t>
      </w:r>
    </w:p>
    <w:p w14:paraId="235A11AA">
      <w:pPr>
        <w:pStyle w:val="132"/>
        <w:snapToGrid w:val="0"/>
        <w:spacing w:before="0" w:line="348" w:lineRule="auto"/>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投标人。中标、成交通知书和中标、成交结果公告应当在规定时间内同时发出。</w:t>
      </w:r>
    </w:p>
    <w:p w14:paraId="516471C3">
      <w:pPr>
        <w:pStyle w:val="132"/>
        <w:snapToGrid w:val="0"/>
        <w:spacing w:before="0" w:line="348" w:lineRule="auto"/>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156D18DD">
      <w:pPr>
        <w:widowControl/>
        <w:spacing w:line="348" w:lineRule="auto"/>
        <w:ind w:firstLine="480"/>
        <w:jc w:val="left"/>
        <w:rPr>
          <w:rFonts w:ascii="宋体" w:hAnsi="宋体" w:cs="宋体"/>
          <w:color w:val="auto"/>
          <w:sz w:val="24"/>
        </w:rPr>
      </w:pPr>
      <w:r>
        <w:rPr>
          <w:rFonts w:hint="eastAsia" w:ascii="宋体" w:hAnsi="宋体" w:cs="宋体"/>
          <w:color w:val="auto"/>
          <w:sz w:val="24"/>
        </w:rPr>
        <w:t>23.1自中标人确定之日起2个工作日内，采购代理机构通过电子交易平台向中标人发出中标通知书，同时编制发布采购结果公告。采购代理机构也可以以纸质形式进行中标通知。</w:t>
      </w:r>
    </w:p>
    <w:p w14:paraId="155F93A8">
      <w:pPr>
        <w:widowControl/>
        <w:spacing w:line="348"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0EB03E72">
      <w:pPr>
        <w:widowControl/>
        <w:spacing w:line="348" w:lineRule="auto"/>
        <w:ind w:firstLine="480"/>
        <w:jc w:val="left"/>
        <w:rPr>
          <w:rFonts w:ascii="宋体" w:hAnsi="宋体" w:cs="宋体"/>
          <w:color w:val="auto"/>
          <w:sz w:val="24"/>
        </w:rPr>
      </w:pPr>
      <w:r>
        <w:rPr>
          <w:rFonts w:hint="eastAsia" w:ascii="宋体" w:hAnsi="宋体" w:cs="宋体"/>
          <w:color w:val="auto"/>
          <w:sz w:val="24"/>
        </w:rPr>
        <w:t>23.3公告期限为1个工作日。</w:t>
      </w:r>
    </w:p>
    <w:p w14:paraId="1A58478D">
      <w:pPr>
        <w:snapToGrid w:val="0"/>
        <w:spacing w:line="348" w:lineRule="auto"/>
        <w:ind w:left="120" w:leftChars="57" w:firstLine="482" w:firstLineChars="150"/>
        <w:jc w:val="center"/>
        <w:rPr>
          <w:rFonts w:ascii="宋体" w:hAnsi="宋体" w:cs="宋体"/>
          <w:b/>
          <w:color w:val="auto"/>
          <w:sz w:val="32"/>
        </w:rPr>
      </w:pPr>
    </w:p>
    <w:p w14:paraId="47BD9F2C">
      <w:pPr>
        <w:snapToGrid w:val="0"/>
        <w:spacing w:line="348" w:lineRule="auto"/>
        <w:ind w:left="120" w:leftChars="57" w:firstLine="482" w:firstLineChars="150"/>
        <w:jc w:val="center"/>
        <w:rPr>
          <w:rFonts w:ascii="宋体" w:hAnsi="宋体" w:cs="宋体"/>
          <w:b/>
          <w:color w:val="auto"/>
          <w:sz w:val="32"/>
        </w:rPr>
      </w:pPr>
    </w:p>
    <w:p w14:paraId="5090489B">
      <w:pPr>
        <w:snapToGrid w:val="0"/>
        <w:spacing w:line="348"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14:paraId="4A3E322F">
      <w:pPr>
        <w:pStyle w:val="3"/>
        <w:spacing w:line="348"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14:paraId="4F1800AD">
      <w:pPr>
        <w:pStyle w:val="3"/>
        <w:spacing w:line="348" w:lineRule="auto"/>
        <w:ind w:left="479" w:hanging="479" w:hangingChars="199"/>
        <w:rPr>
          <w:rFonts w:cs="宋体"/>
          <w:b/>
          <w:color w:val="auto"/>
        </w:rPr>
      </w:pPr>
      <w:r>
        <w:rPr>
          <w:rFonts w:hint="eastAsia" w:cs="宋体"/>
          <w:b/>
          <w:color w:val="auto"/>
        </w:rPr>
        <w:t>25. 合同的签订</w:t>
      </w:r>
    </w:p>
    <w:p w14:paraId="66DED140">
      <w:pPr>
        <w:widowControl/>
        <w:spacing w:line="348"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人按照招标文件确定的事项签订政府采购合同。</w:t>
      </w:r>
    </w:p>
    <w:p w14:paraId="0D0E6D61">
      <w:pPr>
        <w:pStyle w:val="132"/>
        <w:snapToGrid w:val="0"/>
        <w:spacing w:before="0" w:line="348" w:lineRule="auto"/>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7D86CFA4">
      <w:pPr>
        <w:pStyle w:val="132"/>
        <w:snapToGrid w:val="0"/>
        <w:spacing w:before="0" w:line="348" w:lineRule="auto"/>
        <w:ind w:firstLine="480"/>
        <w:rPr>
          <w:rFonts w:ascii="宋体" w:hAnsi="宋体" w:cs="宋体"/>
          <w:color w:val="auto"/>
        </w:rPr>
      </w:pPr>
      <w:r>
        <w:rPr>
          <w:rFonts w:hint="eastAsia" w:ascii="宋体" w:hAnsi="宋体" w:cs="宋体"/>
          <w:color w:val="auto"/>
        </w:rPr>
        <w:t>25.3如签订合同并生效后，投标人无故拒绝或延期，除按照合同条款处理外，列入不良行为记录一次，并给予通报。</w:t>
      </w:r>
    </w:p>
    <w:p w14:paraId="37D8C9A1">
      <w:pPr>
        <w:pStyle w:val="132"/>
        <w:snapToGrid w:val="0"/>
        <w:spacing w:before="0" w:line="348" w:lineRule="auto"/>
        <w:ind w:firstLine="480"/>
        <w:rPr>
          <w:rFonts w:ascii="宋体" w:hAnsi="宋体" w:cs="宋体"/>
          <w:color w:val="auto"/>
        </w:rPr>
      </w:pPr>
      <w:r>
        <w:rPr>
          <w:rFonts w:hint="eastAsia" w:ascii="宋体" w:hAnsi="宋体" w:cs="宋体"/>
          <w:color w:val="auto"/>
        </w:rPr>
        <w:t>25.4中标人拒绝与采购人签订合同的，采购人可以按照评审报告推荐的中标或者成交候选人名单排序，确定下一候选人为中标人，也可以重新开展政府采购活动。</w:t>
      </w:r>
    </w:p>
    <w:p w14:paraId="12BBF37E">
      <w:pPr>
        <w:pStyle w:val="132"/>
        <w:snapToGrid w:val="0"/>
        <w:spacing w:before="0" w:line="348" w:lineRule="auto"/>
        <w:ind w:firstLine="480"/>
        <w:rPr>
          <w:rFonts w:ascii="宋体" w:hAnsi="宋体" w:cs="宋体"/>
          <w:color w:val="auto"/>
        </w:rPr>
      </w:pPr>
      <w:r>
        <w:rPr>
          <w:rFonts w:hint="eastAsia" w:ascii="宋体" w:hAnsi="宋体" w:cs="宋体"/>
          <w:color w:val="auto"/>
        </w:rPr>
        <w:t>25.5采购合同由采购人与中标人根据招标文件、投标文件等内容通过政府采购电子交易平台在线签订，自动备案。</w:t>
      </w:r>
    </w:p>
    <w:p w14:paraId="4F78DF9F">
      <w:pPr>
        <w:pStyle w:val="3"/>
        <w:spacing w:line="348" w:lineRule="auto"/>
        <w:ind w:left="479" w:hanging="479" w:hangingChars="199"/>
        <w:rPr>
          <w:rFonts w:cs="宋体"/>
          <w:b/>
          <w:color w:val="auto"/>
        </w:rPr>
      </w:pPr>
      <w:r>
        <w:rPr>
          <w:rFonts w:hint="eastAsia" w:cs="宋体"/>
          <w:b/>
          <w:color w:val="auto"/>
        </w:rPr>
        <w:t>26.履约保证金</w:t>
      </w:r>
    </w:p>
    <w:p w14:paraId="6B27AF1A">
      <w:pPr>
        <w:tabs>
          <w:tab w:val="left" w:pos="0"/>
        </w:tabs>
        <w:spacing w:line="348" w:lineRule="auto"/>
        <w:ind w:firstLine="482"/>
        <w:rPr>
          <w:rFonts w:ascii="宋体" w:hAnsi="宋体" w:cs="宋体"/>
          <w:color w:val="auto"/>
          <w:sz w:val="24"/>
        </w:rPr>
      </w:pPr>
      <w:r>
        <w:rPr>
          <w:rFonts w:hint="eastAsia" w:ascii="宋体" w:hAnsi="宋体" w:cs="宋体"/>
          <w:color w:val="auto"/>
          <w:kern w:val="0"/>
          <w:sz w:val="24"/>
        </w:rPr>
        <w:t>拟签订的合同文本要求中标人提交履约保证金的，投标人应当以支票、汇票、本票或者金融机构、担保机构出具的保函等非现金形式提交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%，鼓励根据项目特点、投标人诚信等因素免收履约保证金或降低缴纳比例。鼓励和支持投标人以银行、保险公司出具的保函形式提供履约保证金。采购人不得拒收履约保函，项目验收结束后应及时退还，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6C755834">
      <w:pPr>
        <w:tabs>
          <w:tab w:val="left" w:pos="432"/>
        </w:tabs>
        <w:spacing w:line="348"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投标人可登录政采云平台-【金融服务】—【我的项目】—【已备案合同】以保函形式提供：1、投标人在合同列表选择需要投保的合同，点击[保函推荐]。2、在弹框里查看推荐的保函产品，投标人自行选择保函产品，点击[立即申请]。3、在弹框里填写保函申请信息。具体步骤：选择产品—填写投标人信息—选择中标项目—确认信息—等待保险/保函受理—确认保单—支付保费—成功出单。政采云金融专线400-903-9583。</w:t>
      </w:r>
    </w:p>
    <w:p w14:paraId="6CC5A21F">
      <w:pPr>
        <w:tabs>
          <w:tab w:val="left" w:pos="432"/>
        </w:tabs>
        <w:spacing w:line="348" w:lineRule="auto"/>
        <w:rPr>
          <w:rFonts w:ascii="宋体" w:hAnsi="宋体"/>
          <w:b/>
          <w:bCs/>
          <w:color w:val="auto"/>
          <w:sz w:val="24"/>
          <w:szCs w:val="32"/>
        </w:rPr>
      </w:pPr>
    </w:p>
    <w:p w14:paraId="74E97A5E">
      <w:pPr>
        <w:tabs>
          <w:tab w:val="left" w:pos="432"/>
        </w:tabs>
        <w:spacing w:line="348" w:lineRule="auto"/>
        <w:rPr>
          <w:color w:val="auto"/>
        </w:rPr>
      </w:pPr>
      <w:r>
        <w:rPr>
          <w:rFonts w:ascii="宋体" w:hAnsi="宋体"/>
          <w:b/>
          <w:bCs/>
          <w:color w:val="auto"/>
          <w:sz w:val="24"/>
          <w:szCs w:val="32"/>
        </w:rPr>
        <w:t>27.预付款</w:t>
      </w:r>
    </w:p>
    <w:p w14:paraId="3C0852C6">
      <w:pPr>
        <w:adjustRightInd/>
        <w:spacing w:line="348" w:lineRule="auto"/>
        <w:ind w:firstLine="480" w:firstLineChars="200"/>
        <w:rPr>
          <w:color w:val="auto"/>
        </w:rPr>
      </w:pPr>
      <w:r>
        <w:rPr>
          <w:rFonts w:hint="eastAsia" w:ascii="宋体" w:hAnsi="宋体"/>
          <w:color w:val="auto"/>
          <w:sz w:val="24"/>
        </w:rPr>
        <w:t>采购单位应当在政府采购合同中约定预付款，对中小企业合同预付款比例原则上不低于合同金额的</w:t>
      </w:r>
      <w:r>
        <w:rPr>
          <w:rFonts w:ascii="宋体" w:hAnsi="宋体"/>
          <w:color w:val="auto"/>
          <w:sz w:val="24"/>
        </w:rPr>
        <w:t>40％</w:t>
      </w:r>
      <w:r>
        <w:rPr>
          <w:rFonts w:hint="eastAsia" w:ascii="宋体" w:hAnsi="宋体"/>
          <w:color w:val="auto"/>
          <w:sz w:val="24"/>
        </w:rPr>
        <w:t>，不高于合同金额的</w:t>
      </w:r>
      <w:r>
        <w:rPr>
          <w:rFonts w:ascii="宋体" w:hAnsi="宋体"/>
          <w:color w:val="auto"/>
          <w:sz w:val="24"/>
        </w:rPr>
        <w:t>70%；项目分年安排预算的，每年预付款比例</w:t>
      </w:r>
      <w:r>
        <w:rPr>
          <w:rFonts w:hint="eastAsia" w:ascii="宋体" w:hAnsi="宋体"/>
          <w:color w:val="auto"/>
          <w:sz w:val="24"/>
        </w:rPr>
        <w:t>不低于</w:t>
      </w:r>
      <w:r>
        <w:rPr>
          <w:rFonts w:ascii="宋体" w:hAnsi="宋体"/>
          <w:color w:val="auto"/>
          <w:sz w:val="24"/>
        </w:rPr>
        <w:t>项目年度计划支付资金额的40％</w:t>
      </w:r>
      <w:r>
        <w:rPr>
          <w:rFonts w:hint="eastAsia" w:ascii="宋体" w:hAnsi="宋体"/>
          <w:color w:val="auto"/>
          <w:sz w:val="24"/>
        </w:rPr>
        <w:t>，不高于合同金额的</w:t>
      </w:r>
      <w:r>
        <w:rPr>
          <w:rFonts w:ascii="宋体" w:hAnsi="宋体"/>
          <w:color w:val="auto"/>
          <w:sz w:val="24"/>
        </w:rPr>
        <w:t>70%；采购项目实施以人工投入为主的，</w:t>
      </w:r>
      <w:r>
        <w:rPr>
          <w:rFonts w:hint="eastAsia" w:ascii="宋体" w:hAnsi="宋体"/>
          <w:color w:val="auto"/>
          <w:sz w:val="24"/>
        </w:rPr>
        <w:t>可适当降低预付款比例，但不得低于</w:t>
      </w:r>
      <w:r>
        <w:rPr>
          <w:rFonts w:ascii="宋体" w:hAnsi="宋体"/>
          <w:color w:val="auto"/>
          <w:sz w:val="24"/>
        </w:rPr>
        <w:t>20%。对</w:t>
      </w:r>
      <w:r>
        <w:rPr>
          <w:rFonts w:hint="eastAsia" w:ascii="宋体" w:hAnsi="宋体"/>
          <w:color w:val="auto"/>
          <w:sz w:val="24"/>
        </w:rPr>
        <w:t>投标人</w:t>
      </w:r>
      <w:r>
        <w:rPr>
          <w:rFonts w:ascii="宋体" w:hAnsi="宋体"/>
          <w:color w:val="auto"/>
          <w:sz w:val="24"/>
        </w:rPr>
        <w:t>为大型企业的项目或者以人工投入为主且实行按月定期结算支付款项的项目，预付款可低于上述比例或者不约定预付款。在签订合同时，</w:t>
      </w:r>
      <w:r>
        <w:rPr>
          <w:rFonts w:hint="eastAsia" w:ascii="宋体" w:hAnsi="宋体"/>
          <w:color w:val="auto"/>
          <w:sz w:val="24"/>
        </w:rPr>
        <w:t>投标人</w:t>
      </w:r>
      <w:r>
        <w:rPr>
          <w:rFonts w:ascii="宋体" w:hAnsi="宋体"/>
          <w:color w:val="auto"/>
          <w:sz w:val="24"/>
        </w:rPr>
        <w:t>明确表示无需预付款或者主动要求降低预付款比例的，</w:t>
      </w:r>
      <w:r>
        <w:rPr>
          <w:rFonts w:hint="eastAsia" w:ascii="宋体" w:hAnsi="宋体"/>
          <w:color w:val="auto"/>
          <w:sz w:val="24"/>
        </w:rPr>
        <w:t>采购单位</w:t>
      </w:r>
      <w:r>
        <w:rPr>
          <w:rFonts w:ascii="宋体" w:hAnsi="宋体"/>
          <w:color w:val="auto"/>
          <w:sz w:val="24"/>
        </w:rPr>
        <w:t>可不适用前述规定。</w:t>
      </w:r>
      <w:r>
        <w:rPr>
          <w:rFonts w:hint="eastAsia" w:ascii="宋体" w:hAnsi="宋体"/>
          <w:color w:val="auto"/>
          <w:sz w:val="24"/>
        </w:rPr>
        <w:t>采购单位</w:t>
      </w:r>
      <w:r>
        <w:rPr>
          <w:rFonts w:ascii="宋体" w:hAnsi="宋体"/>
          <w:color w:val="auto"/>
          <w:sz w:val="24"/>
        </w:rPr>
        <w:t>根据项目特点、</w:t>
      </w:r>
      <w:r>
        <w:rPr>
          <w:rFonts w:hint="eastAsia" w:ascii="宋体" w:hAnsi="宋体"/>
          <w:color w:val="auto"/>
          <w:sz w:val="24"/>
        </w:rPr>
        <w:t>投标人</w:t>
      </w:r>
      <w:r>
        <w:rPr>
          <w:rFonts w:ascii="宋体" w:hAnsi="宋体"/>
          <w:color w:val="auto"/>
          <w:sz w:val="24"/>
        </w:rPr>
        <w:t>诚信等因素，可以要求</w:t>
      </w:r>
      <w:r>
        <w:rPr>
          <w:rFonts w:hint="eastAsia" w:ascii="宋体" w:hAnsi="宋体"/>
          <w:color w:val="auto"/>
          <w:sz w:val="24"/>
        </w:rPr>
        <w:t>投标人</w:t>
      </w:r>
      <w:r>
        <w:rPr>
          <w:rFonts w:ascii="宋体" w:hAnsi="宋体"/>
          <w:color w:val="auto"/>
          <w:sz w:val="24"/>
        </w:rPr>
        <w:t>提交银行、保险公司等金融机构出具的预付款保函或其他担保措施。政府采购预付款应在合同生效以及具备实施条件后5个工作日内支付。</w:t>
      </w:r>
      <w:r>
        <w:rPr>
          <w:rFonts w:hint="eastAsia" w:ascii="宋体" w:hAnsi="宋体"/>
          <w:color w:val="auto"/>
          <w:sz w:val="24"/>
        </w:rPr>
        <w:t>政府采购工程以及与工程建设有关的货物、服务，采用招标方式采购的，预付款从其相关规定。投标人可登录政采云前台大厅选择金融服务</w:t>
      </w:r>
      <w:r>
        <w:rPr>
          <w:rFonts w:ascii="宋体" w:hAnsi="宋体"/>
          <w:color w:val="auto"/>
          <w:sz w:val="24"/>
        </w:rPr>
        <w:t xml:space="preserve"> - </w:t>
      </w:r>
      <w:r>
        <w:rPr>
          <w:rFonts w:hint="eastAsia" w:ascii="宋体" w:hAnsi="宋体"/>
          <w:color w:val="auto"/>
          <w:sz w:val="24"/>
        </w:rPr>
        <w:t>【保函保险服务】出具预付款保函，具体步骤：选择产品—填写投标人信息—选择中标项目—确认信息—等待保险</w:t>
      </w:r>
      <w:r>
        <w:rPr>
          <w:rFonts w:ascii="宋体" w:hAnsi="宋体"/>
          <w:color w:val="auto"/>
          <w:sz w:val="24"/>
        </w:rPr>
        <w:t>/保函受理—确认保单—支付保费—成功出单。政</w:t>
      </w:r>
      <w:r>
        <w:rPr>
          <w:rFonts w:hint="eastAsia" w:ascii="宋体" w:hAnsi="宋体"/>
          <w:color w:val="auto"/>
          <w:sz w:val="24"/>
        </w:rPr>
        <w:t>采云金融专线</w:t>
      </w:r>
      <w:r>
        <w:rPr>
          <w:rFonts w:ascii="宋体" w:hAnsi="宋体"/>
          <w:color w:val="auto"/>
          <w:sz w:val="24"/>
        </w:rPr>
        <w:t>400-903-9583。</w:t>
      </w:r>
    </w:p>
    <w:p w14:paraId="265C3BB1">
      <w:pPr>
        <w:snapToGrid w:val="0"/>
        <w:spacing w:line="348" w:lineRule="auto"/>
        <w:ind w:firstLine="3357" w:firstLineChars="1045"/>
        <w:rPr>
          <w:rFonts w:ascii="宋体" w:hAnsi="宋体" w:cs="宋体"/>
          <w:b/>
          <w:color w:val="auto"/>
          <w:sz w:val="32"/>
        </w:rPr>
      </w:pPr>
    </w:p>
    <w:p w14:paraId="3B6AACE6">
      <w:pPr>
        <w:snapToGrid w:val="0"/>
        <w:spacing w:line="348" w:lineRule="auto"/>
        <w:ind w:firstLine="3357" w:firstLineChars="1045"/>
        <w:rPr>
          <w:rFonts w:ascii="宋体" w:hAnsi="宋体" w:cs="宋体"/>
          <w:b/>
          <w:color w:val="auto"/>
          <w:sz w:val="24"/>
        </w:rPr>
      </w:pPr>
      <w:r>
        <w:rPr>
          <w:rFonts w:hint="eastAsia" w:ascii="宋体" w:hAnsi="宋体" w:cs="宋体"/>
          <w:b/>
          <w:color w:val="auto"/>
          <w:sz w:val="32"/>
        </w:rPr>
        <w:t>八、电子交易活动的中止</w:t>
      </w:r>
    </w:p>
    <w:p w14:paraId="0677C4DB">
      <w:pPr>
        <w:pStyle w:val="132"/>
        <w:snapToGrid w:val="0"/>
        <w:spacing w:before="0" w:line="348" w:lineRule="auto"/>
        <w:ind w:firstLine="0" w:firstLineChars="0"/>
        <w:rPr>
          <w:rFonts w:ascii="宋体" w:hAnsi="宋体" w:cs="宋体"/>
          <w:color w:val="auto"/>
        </w:rPr>
      </w:pPr>
      <w:r>
        <w:rPr>
          <w:rFonts w:ascii="宋体" w:hAnsi="宋体" w:cs="宋体"/>
          <w:b/>
          <w:bCs/>
          <w:color w:val="auto"/>
        </w:rPr>
        <w:t>2</w:t>
      </w:r>
      <w:r>
        <w:rPr>
          <w:rFonts w:ascii="宋体" w:hAnsi="宋体" w:cs="宋体"/>
          <w:b/>
          <w:bCs/>
          <w:color w:val="auto"/>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采购过程中出现以下情形，导致电子交易平台无法正常运行，或者无法保证电子交易的公平、公正和安全时，采购代理机构可中止电子交易活动：</w:t>
      </w:r>
    </w:p>
    <w:p w14:paraId="3BC7BC1B">
      <w:pPr>
        <w:pStyle w:val="132"/>
        <w:snapToGrid w:val="0"/>
        <w:spacing w:before="0" w:line="348" w:lineRule="auto"/>
        <w:ind w:firstLine="480"/>
        <w:rPr>
          <w:rFonts w:ascii="宋体" w:hAnsi="宋体" w:cs="宋体"/>
          <w:color w:val="auto"/>
        </w:rPr>
      </w:pPr>
      <w:r>
        <w:rPr>
          <w:rFonts w:hint="eastAsia" w:ascii="宋体" w:hAnsi="宋体" w:cs="宋体"/>
          <w:color w:val="auto"/>
        </w:rPr>
        <w:t xml:space="preserve">28.1电子交易平台发生故障而无法登录访问的； </w:t>
      </w:r>
    </w:p>
    <w:p w14:paraId="78883AA3">
      <w:pPr>
        <w:pStyle w:val="132"/>
        <w:snapToGrid w:val="0"/>
        <w:spacing w:before="0" w:line="348" w:lineRule="auto"/>
        <w:ind w:firstLine="480"/>
        <w:rPr>
          <w:rFonts w:ascii="宋体" w:hAnsi="宋体" w:cs="宋体"/>
          <w:color w:val="auto"/>
        </w:rPr>
      </w:pPr>
      <w:r>
        <w:rPr>
          <w:rFonts w:hint="eastAsia" w:ascii="宋体" w:hAnsi="宋体" w:cs="宋体"/>
          <w:color w:val="auto"/>
        </w:rPr>
        <w:t>28.2电子交易平台应用或数据库出现错误，不能进行正常操作的；</w:t>
      </w:r>
    </w:p>
    <w:p w14:paraId="1D3E6F76">
      <w:pPr>
        <w:pStyle w:val="132"/>
        <w:snapToGrid w:val="0"/>
        <w:spacing w:before="0" w:line="348" w:lineRule="auto"/>
        <w:ind w:firstLine="480"/>
        <w:rPr>
          <w:rFonts w:ascii="宋体" w:hAnsi="宋体" w:cs="宋体"/>
          <w:color w:val="auto"/>
        </w:rPr>
      </w:pPr>
      <w:r>
        <w:rPr>
          <w:rFonts w:hint="eastAsia" w:ascii="宋体" w:hAnsi="宋体" w:cs="宋体"/>
          <w:color w:val="auto"/>
        </w:rPr>
        <w:t>28.3电子交易平台发现严重安全漏洞，有潜在泄密危险的；</w:t>
      </w:r>
    </w:p>
    <w:p w14:paraId="7F46B93C">
      <w:pPr>
        <w:pStyle w:val="132"/>
        <w:snapToGrid w:val="0"/>
        <w:spacing w:before="0" w:line="348" w:lineRule="auto"/>
        <w:ind w:firstLine="480"/>
        <w:rPr>
          <w:rFonts w:ascii="宋体" w:hAnsi="宋体" w:cs="宋体"/>
          <w:color w:val="auto"/>
        </w:rPr>
      </w:pPr>
      <w:r>
        <w:rPr>
          <w:rFonts w:hint="eastAsia" w:ascii="宋体" w:hAnsi="宋体" w:cs="宋体"/>
          <w:color w:val="auto"/>
        </w:rPr>
        <w:t xml:space="preserve">28.4病毒发作导致不能进行正常操作的； </w:t>
      </w:r>
    </w:p>
    <w:p w14:paraId="573D3BEA">
      <w:pPr>
        <w:pStyle w:val="132"/>
        <w:snapToGrid w:val="0"/>
        <w:spacing w:before="0" w:line="348" w:lineRule="auto"/>
        <w:ind w:firstLine="480"/>
        <w:rPr>
          <w:rFonts w:ascii="宋体" w:hAnsi="宋体" w:cs="宋体"/>
          <w:color w:val="auto"/>
        </w:rPr>
      </w:pPr>
      <w:r>
        <w:rPr>
          <w:rFonts w:hint="eastAsia" w:ascii="宋体" w:hAnsi="宋体" w:cs="宋体"/>
          <w:color w:val="auto"/>
        </w:rPr>
        <w:t>28.5其他无法保证电子交易的公平、公正和安全的情况。</w:t>
      </w:r>
    </w:p>
    <w:p w14:paraId="6330696E">
      <w:pPr>
        <w:pStyle w:val="132"/>
        <w:snapToGrid w:val="0"/>
        <w:spacing w:before="0" w:line="348" w:lineRule="auto"/>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29.出现以上情形，不影响采购公平、公正性的，采购组织机构可以待上述情形消除后继续组织电子交易活动；影响或可能影响采购公平、公正性的，应当重新采购。</w:t>
      </w:r>
    </w:p>
    <w:p w14:paraId="5349909A">
      <w:pPr>
        <w:snapToGrid w:val="0"/>
        <w:spacing w:line="348" w:lineRule="auto"/>
        <w:ind w:left="120" w:leftChars="57"/>
        <w:jc w:val="center"/>
        <w:rPr>
          <w:rFonts w:ascii="宋体" w:hAnsi="宋体" w:cs="宋体"/>
          <w:b/>
          <w:color w:val="auto"/>
          <w:sz w:val="32"/>
        </w:rPr>
      </w:pPr>
    </w:p>
    <w:p w14:paraId="483D5683">
      <w:pPr>
        <w:snapToGrid w:val="0"/>
        <w:spacing w:line="348" w:lineRule="auto"/>
        <w:ind w:left="120" w:leftChars="57"/>
        <w:jc w:val="center"/>
        <w:rPr>
          <w:rFonts w:ascii="宋体" w:hAnsi="宋体" w:cs="宋体"/>
          <w:b/>
          <w:color w:val="auto"/>
          <w:sz w:val="32"/>
        </w:rPr>
      </w:pPr>
    </w:p>
    <w:p w14:paraId="742CAF03">
      <w:pPr>
        <w:snapToGrid w:val="0"/>
        <w:spacing w:line="348" w:lineRule="auto"/>
        <w:ind w:left="120" w:leftChars="57"/>
        <w:jc w:val="center"/>
        <w:rPr>
          <w:rFonts w:ascii="宋体" w:hAnsi="宋体" w:cs="宋体"/>
          <w:b/>
          <w:color w:val="auto"/>
          <w:sz w:val="32"/>
        </w:rPr>
      </w:pPr>
    </w:p>
    <w:p w14:paraId="7142F49B">
      <w:pPr>
        <w:snapToGrid w:val="0"/>
        <w:spacing w:line="348" w:lineRule="auto"/>
        <w:ind w:left="120" w:leftChars="57"/>
        <w:jc w:val="center"/>
        <w:rPr>
          <w:rFonts w:ascii="宋体" w:hAnsi="宋体" w:cs="宋体"/>
          <w:b/>
          <w:color w:val="auto"/>
          <w:sz w:val="32"/>
        </w:rPr>
      </w:pPr>
    </w:p>
    <w:p w14:paraId="30AEDB84">
      <w:pPr>
        <w:snapToGrid w:val="0"/>
        <w:spacing w:line="348" w:lineRule="auto"/>
        <w:ind w:left="120" w:leftChars="57"/>
        <w:jc w:val="center"/>
        <w:rPr>
          <w:rFonts w:ascii="宋体" w:hAnsi="宋体" w:cs="宋体"/>
          <w:b/>
          <w:color w:val="auto"/>
          <w:sz w:val="32"/>
        </w:rPr>
      </w:pPr>
      <w:r>
        <w:rPr>
          <w:rFonts w:hint="eastAsia" w:ascii="宋体" w:hAnsi="宋体" w:cs="宋体"/>
          <w:b/>
          <w:color w:val="auto"/>
          <w:sz w:val="32"/>
        </w:rPr>
        <w:t>九、验收</w:t>
      </w:r>
    </w:p>
    <w:p w14:paraId="3F281E83">
      <w:pPr>
        <w:pStyle w:val="3"/>
        <w:spacing w:line="348" w:lineRule="auto"/>
        <w:ind w:firstLine="0" w:firstLineChars="0"/>
        <w:rPr>
          <w:rFonts w:cs="宋体"/>
          <w:b/>
          <w:color w:val="auto"/>
        </w:rPr>
      </w:pPr>
      <w:r>
        <w:rPr>
          <w:rFonts w:hint="eastAsia" w:cs="宋体"/>
          <w:b/>
          <w:color w:val="auto"/>
        </w:rPr>
        <w:t>30.验收</w:t>
      </w:r>
    </w:p>
    <w:p w14:paraId="01274CFA">
      <w:pPr>
        <w:tabs>
          <w:tab w:val="left" w:pos="0"/>
        </w:tabs>
        <w:spacing w:line="348" w:lineRule="auto"/>
        <w:ind w:firstLine="480"/>
        <w:rPr>
          <w:rFonts w:ascii="宋体" w:hAnsi="宋体" w:cs="宋体"/>
          <w:color w:val="auto"/>
          <w:kern w:val="0"/>
          <w:sz w:val="24"/>
        </w:rPr>
      </w:pPr>
      <w:r>
        <w:rPr>
          <w:rFonts w:hint="eastAsia" w:ascii="宋体" w:hAnsi="宋体" w:cs="宋体"/>
          <w:color w:val="auto"/>
          <w:kern w:val="0"/>
          <w:sz w:val="24"/>
        </w:rPr>
        <w:t>30.1采购人组织对投标人履约的验收。大型或者复杂的政府采购项目，应当邀请国家认可的质量检测机构参加验收工作。验收方成员应当在验收书上签字，并承担相应的法律责任。如果发现与合同中要求不符，投标人须承担由此发生的一切损失和费用，并接受相应的处理。</w:t>
      </w:r>
    </w:p>
    <w:p w14:paraId="5BC0CDF0">
      <w:pPr>
        <w:tabs>
          <w:tab w:val="left" w:pos="0"/>
        </w:tabs>
        <w:spacing w:line="348"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14:paraId="0EA95618">
      <w:pPr>
        <w:tabs>
          <w:tab w:val="left" w:pos="0"/>
        </w:tabs>
        <w:spacing w:line="348"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投标人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15896DC">
      <w:pPr>
        <w:tabs>
          <w:tab w:val="left" w:pos="0"/>
        </w:tabs>
        <w:spacing w:line="348" w:lineRule="auto"/>
        <w:ind w:firstLine="480"/>
        <w:rPr>
          <w:rFonts w:ascii="宋体" w:hAnsi="宋体" w:cs="宋体"/>
          <w:color w:val="auto"/>
          <w:kern w:val="0"/>
          <w:sz w:val="24"/>
        </w:rPr>
      </w:pPr>
      <w:r>
        <w:rPr>
          <w:rFonts w:hint="eastAsia" w:ascii="宋体" w:hAnsi="宋体" w:cs="宋体"/>
          <w:color w:val="auto"/>
          <w:kern w:val="0"/>
          <w:sz w:val="24"/>
        </w:rPr>
        <w:t>30.4验收合格的项目，采购人将根据采购合同的约定及时向投标人支付采购资金、退还履约保证金。验收不合格的项目，采购人将依法及时处理。采购合同的履行、违约责任和解决争议的方式等适用《中华人民共和国民法典》。投标人在履约过程中有政府采购法律法规规定的违法违规情形的，采购人应当及时报告本级财政部门。</w:t>
      </w:r>
      <w:bookmarkEnd w:id="19"/>
      <w:bookmarkStart w:id="20" w:name="_Hlt68073093"/>
      <w:bookmarkEnd w:id="20"/>
      <w:bookmarkStart w:id="21" w:name="_Hlt68403820"/>
      <w:bookmarkEnd w:id="21"/>
      <w:bookmarkStart w:id="22" w:name="_Hlt75236290"/>
      <w:bookmarkEnd w:id="22"/>
      <w:bookmarkStart w:id="23" w:name="_Hlt68057669"/>
      <w:bookmarkEnd w:id="23"/>
      <w:bookmarkStart w:id="24" w:name="_Hlt74707468"/>
      <w:bookmarkEnd w:id="24"/>
      <w:bookmarkStart w:id="25" w:name="_Hlt74729768"/>
      <w:bookmarkEnd w:id="25"/>
      <w:bookmarkStart w:id="26" w:name="_Hlt74714665"/>
      <w:bookmarkEnd w:id="26"/>
      <w:bookmarkStart w:id="27" w:name="_Hlt74730295"/>
      <w:bookmarkEnd w:id="27"/>
      <w:bookmarkStart w:id="28" w:name="_Hlt68072990"/>
      <w:bookmarkEnd w:id="28"/>
      <w:bookmarkStart w:id="29" w:name="_Hlt68072998"/>
      <w:bookmarkEnd w:id="29"/>
      <w:bookmarkStart w:id="30" w:name="_Hlt75236011"/>
      <w:bookmarkEnd w:id="30"/>
      <w:bookmarkStart w:id="31" w:name="_Hlt75236101"/>
      <w:bookmarkEnd w:id="31"/>
    </w:p>
    <w:p w14:paraId="04BEA7F3">
      <w:pPr>
        <w:rPr>
          <w:color w:val="auto"/>
        </w:rPr>
        <w:sectPr>
          <w:footerReference r:id="rId7" w:type="first"/>
          <w:footerReference r:id="rId6" w:type="default"/>
          <w:pgSz w:w="11906" w:h="16838"/>
          <w:pgMar w:top="680" w:right="1418" w:bottom="468" w:left="1418" w:header="851" w:footer="992" w:gutter="0"/>
          <w:pgNumType w:start="1"/>
          <w:cols w:space="720" w:num="1"/>
          <w:titlePg/>
          <w:docGrid w:linePitch="312" w:charSpace="0"/>
        </w:sectPr>
      </w:pPr>
    </w:p>
    <w:bookmarkEnd w:id="14"/>
    <w:bookmarkEnd w:id="15"/>
    <w:p w14:paraId="3429DFA8">
      <w:pPr>
        <w:spacing w:line="360" w:lineRule="auto"/>
        <w:jc w:val="center"/>
        <w:outlineLvl w:val="0"/>
        <w:rPr>
          <w:rFonts w:ascii="宋体" w:hAnsi="宋体" w:cs="宋体"/>
          <w:b/>
          <w:color w:val="auto"/>
          <w:sz w:val="36"/>
          <w:szCs w:val="36"/>
        </w:rPr>
      </w:pPr>
      <w:bookmarkStart w:id="32" w:name="_Toc26044"/>
      <w:bookmarkStart w:id="33" w:name="第四部分"/>
      <w:r>
        <w:rPr>
          <w:rFonts w:hint="eastAsia" w:ascii="宋体" w:hAnsi="宋体" w:cs="宋体"/>
          <w:b/>
          <w:color w:val="auto"/>
          <w:sz w:val="36"/>
          <w:szCs w:val="36"/>
        </w:rPr>
        <w:t>第三部分   采购需求</w:t>
      </w:r>
      <w:bookmarkEnd w:id="32"/>
    </w:p>
    <w:p w14:paraId="4575F0D8">
      <w:pPr>
        <w:widowControl/>
        <w:adjustRightInd/>
        <w:spacing w:line="320" w:lineRule="exact"/>
        <w:jc w:val="center"/>
        <w:rPr>
          <w:rFonts w:ascii="宋体" w:hAnsi="宋体" w:cs="宋体"/>
          <w:b/>
          <w:bCs/>
          <w:color w:val="auto"/>
          <w:kern w:val="0"/>
          <w:sz w:val="24"/>
        </w:rPr>
      </w:pPr>
      <w:bookmarkStart w:id="34" w:name="_Toc24013"/>
      <w:r>
        <w:rPr>
          <w:rFonts w:hint="eastAsia" w:ascii="宋体" w:hAnsi="宋体" w:cs="宋体"/>
          <w:b/>
          <w:bCs/>
          <w:color w:val="auto"/>
          <w:kern w:val="0"/>
          <w:sz w:val="24"/>
        </w:rPr>
        <w:t>前附表</w:t>
      </w:r>
      <w:bookmarkEnd w:id="34"/>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810"/>
        <w:gridCol w:w="4787"/>
      </w:tblGrid>
      <w:tr w14:paraId="41321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42" w:type="dxa"/>
            <w:vAlign w:val="center"/>
          </w:tcPr>
          <w:p w14:paraId="58A56CE1">
            <w:pPr>
              <w:widowControl/>
              <w:adjustRightInd/>
              <w:spacing w:line="336" w:lineRule="auto"/>
              <w:jc w:val="center"/>
              <w:rPr>
                <w:rFonts w:ascii="宋体" w:hAnsi="宋体" w:cs="宋体"/>
                <w:b/>
                <w:color w:val="auto"/>
                <w:kern w:val="0"/>
                <w:sz w:val="24"/>
              </w:rPr>
            </w:pPr>
            <w:bookmarkStart w:id="35" w:name="_Toc317685548"/>
            <w:bookmarkStart w:id="36" w:name="_Toc329697494"/>
            <w:r>
              <w:rPr>
                <w:rFonts w:hint="eastAsia" w:ascii="宋体" w:hAnsi="宋体" w:cs="宋体"/>
                <w:b/>
                <w:color w:val="auto"/>
                <w:kern w:val="0"/>
                <w:sz w:val="24"/>
              </w:rPr>
              <w:t>序号</w:t>
            </w:r>
          </w:p>
        </w:tc>
        <w:tc>
          <w:tcPr>
            <w:tcW w:w="2810" w:type="dxa"/>
            <w:vAlign w:val="center"/>
          </w:tcPr>
          <w:p w14:paraId="5D4EC87B">
            <w:pPr>
              <w:widowControl/>
              <w:adjustRightInd/>
              <w:spacing w:line="336" w:lineRule="auto"/>
              <w:jc w:val="center"/>
              <w:rPr>
                <w:rFonts w:ascii="宋体" w:hAnsi="宋体" w:cs="宋体"/>
                <w:b/>
                <w:color w:val="auto"/>
                <w:kern w:val="0"/>
                <w:sz w:val="24"/>
              </w:rPr>
            </w:pPr>
            <w:r>
              <w:rPr>
                <w:rFonts w:hint="eastAsia" w:ascii="宋体" w:hAnsi="宋体" w:cs="宋体"/>
                <w:b/>
                <w:color w:val="auto"/>
                <w:kern w:val="0"/>
                <w:sz w:val="24"/>
              </w:rPr>
              <w:t>项目</w:t>
            </w:r>
          </w:p>
        </w:tc>
        <w:tc>
          <w:tcPr>
            <w:tcW w:w="4787" w:type="dxa"/>
            <w:vAlign w:val="center"/>
          </w:tcPr>
          <w:p w14:paraId="326E013C">
            <w:pPr>
              <w:widowControl/>
              <w:adjustRightInd/>
              <w:spacing w:line="336" w:lineRule="auto"/>
              <w:jc w:val="center"/>
              <w:rPr>
                <w:rFonts w:ascii="宋体" w:hAnsi="宋体" w:cs="宋体"/>
                <w:b/>
                <w:color w:val="auto"/>
                <w:kern w:val="0"/>
                <w:sz w:val="24"/>
              </w:rPr>
            </w:pPr>
            <w:r>
              <w:rPr>
                <w:rFonts w:hint="eastAsia" w:ascii="宋体" w:hAnsi="宋体" w:cs="宋体"/>
                <w:b/>
                <w:color w:val="auto"/>
                <w:kern w:val="0"/>
                <w:sz w:val="24"/>
              </w:rPr>
              <w:t>采购需求内容</w:t>
            </w:r>
          </w:p>
        </w:tc>
      </w:tr>
      <w:tr w14:paraId="5BEE5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3A0991B4">
            <w:pPr>
              <w:widowControl/>
              <w:adjustRightInd/>
              <w:spacing w:line="336" w:lineRule="auto"/>
              <w:jc w:val="center"/>
              <w:rPr>
                <w:rFonts w:ascii="宋体" w:hAnsi="宋体" w:cs="宋体"/>
                <w:color w:val="auto"/>
                <w:kern w:val="0"/>
                <w:sz w:val="24"/>
              </w:rPr>
            </w:pPr>
            <w:r>
              <w:rPr>
                <w:rFonts w:hint="eastAsia" w:ascii="宋体" w:hAnsi="宋体" w:cs="宋体"/>
                <w:color w:val="auto"/>
                <w:kern w:val="0"/>
                <w:sz w:val="24"/>
              </w:rPr>
              <w:t>1</w:t>
            </w:r>
          </w:p>
        </w:tc>
        <w:tc>
          <w:tcPr>
            <w:tcW w:w="2810" w:type="dxa"/>
            <w:vAlign w:val="center"/>
          </w:tcPr>
          <w:p w14:paraId="1C277B70">
            <w:pPr>
              <w:widowControl/>
              <w:adjustRightInd/>
              <w:spacing w:line="336" w:lineRule="auto"/>
              <w:jc w:val="left"/>
              <w:rPr>
                <w:rFonts w:ascii="宋体" w:hAnsi="宋体" w:cs="宋体"/>
                <w:color w:val="auto"/>
                <w:kern w:val="0"/>
                <w:sz w:val="24"/>
              </w:rPr>
            </w:pPr>
            <w:r>
              <w:rPr>
                <w:rFonts w:hint="eastAsia" w:ascii="宋体" w:hAnsi="宋体" w:cs="宋体"/>
                <w:color w:val="auto"/>
                <w:kern w:val="0"/>
                <w:sz w:val="24"/>
              </w:rPr>
              <w:t>采购内容</w:t>
            </w:r>
          </w:p>
        </w:tc>
        <w:tc>
          <w:tcPr>
            <w:tcW w:w="4787" w:type="dxa"/>
            <w:vAlign w:val="center"/>
          </w:tcPr>
          <w:p w14:paraId="31B73162">
            <w:pPr>
              <w:widowControl/>
              <w:adjustRightInd/>
              <w:spacing w:line="336" w:lineRule="auto"/>
              <w:jc w:val="left"/>
              <w:rPr>
                <w:rFonts w:ascii="宋体" w:hAnsi="宋体" w:cs="宋体"/>
                <w:color w:val="auto"/>
                <w:kern w:val="0"/>
                <w:sz w:val="24"/>
              </w:rPr>
            </w:pPr>
            <w:r>
              <w:rPr>
                <w:rFonts w:hint="eastAsia" w:ascii="宋体" w:hAnsi="宋体" w:cs="宋体"/>
                <w:color w:val="auto"/>
                <w:kern w:val="0"/>
                <w:sz w:val="24"/>
              </w:rPr>
              <w:t>详见本部分内容</w:t>
            </w:r>
          </w:p>
        </w:tc>
      </w:tr>
      <w:tr w14:paraId="61557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60ADC7C6">
            <w:pPr>
              <w:widowControl/>
              <w:adjustRightInd/>
              <w:spacing w:line="336" w:lineRule="auto"/>
              <w:jc w:val="center"/>
              <w:rPr>
                <w:rFonts w:ascii="宋体" w:hAnsi="宋体" w:cs="宋体"/>
                <w:color w:val="auto"/>
                <w:kern w:val="0"/>
                <w:sz w:val="24"/>
              </w:rPr>
            </w:pPr>
            <w:r>
              <w:rPr>
                <w:rFonts w:hint="eastAsia" w:ascii="宋体" w:hAnsi="宋体" w:cs="宋体"/>
                <w:color w:val="auto"/>
                <w:kern w:val="0"/>
                <w:sz w:val="24"/>
              </w:rPr>
              <w:t>2</w:t>
            </w:r>
          </w:p>
        </w:tc>
        <w:tc>
          <w:tcPr>
            <w:tcW w:w="2810" w:type="dxa"/>
            <w:vAlign w:val="center"/>
          </w:tcPr>
          <w:p w14:paraId="05D5E441">
            <w:pPr>
              <w:widowControl/>
              <w:adjustRightInd/>
              <w:spacing w:line="336" w:lineRule="auto"/>
              <w:jc w:val="left"/>
              <w:rPr>
                <w:rFonts w:ascii="宋体" w:hAnsi="宋体" w:cs="宋体"/>
                <w:color w:val="auto"/>
                <w:kern w:val="0"/>
                <w:sz w:val="24"/>
              </w:rPr>
            </w:pPr>
            <w:r>
              <w:rPr>
                <w:rFonts w:hint="eastAsia" w:ascii="宋体" w:hAnsi="宋体" w:cs="宋体"/>
                <w:color w:val="auto"/>
                <w:kern w:val="0"/>
                <w:sz w:val="24"/>
              </w:rPr>
              <w:t>单位及数量</w:t>
            </w:r>
          </w:p>
        </w:tc>
        <w:tc>
          <w:tcPr>
            <w:tcW w:w="4787" w:type="dxa"/>
            <w:vAlign w:val="center"/>
          </w:tcPr>
          <w:p w14:paraId="79A2459C">
            <w:pPr>
              <w:widowControl/>
              <w:adjustRightInd/>
              <w:spacing w:line="336" w:lineRule="auto"/>
              <w:jc w:val="left"/>
              <w:rPr>
                <w:rFonts w:ascii="宋体" w:hAnsi="宋体" w:cs="宋体"/>
                <w:color w:val="auto"/>
                <w:kern w:val="0"/>
                <w:sz w:val="24"/>
              </w:rPr>
            </w:pPr>
            <w:r>
              <w:rPr>
                <w:rFonts w:hint="eastAsia" w:ascii="宋体" w:hAnsi="宋体" w:cs="宋体"/>
                <w:color w:val="auto"/>
                <w:kern w:val="0"/>
                <w:sz w:val="24"/>
              </w:rPr>
              <w:t>详见第一部分 招标公告</w:t>
            </w:r>
          </w:p>
        </w:tc>
      </w:tr>
      <w:tr w14:paraId="01F38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2654AC3E">
            <w:pPr>
              <w:widowControl/>
              <w:adjustRightInd/>
              <w:spacing w:line="336" w:lineRule="auto"/>
              <w:jc w:val="center"/>
              <w:rPr>
                <w:rFonts w:ascii="宋体" w:hAnsi="宋体" w:cs="宋体"/>
                <w:color w:val="auto"/>
                <w:kern w:val="0"/>
                <w:sz w:val="24"/>
              </w:rPr>
            </w:pPr>
            <w:r>
              <w:rPr>
                <w:rFonts w:hint="eastAsia" w:ascii="宋体" w:hAnsi="宋体" w:cs="宋体"/>
                <w:color w:val="auto"/>
                <w:kern w:val="0"/>
                <w:sz w:val="24"/>
              </w:rPr>
              <w:t>3</w:t>
            </w:r>
          </w:p>
        </w:tc>
        <w:tc>
          <w:tcPr>
            <w:tcW w:w="2810" w:type="dxa"/>
            <w:vAlign w:val="center"/>
          </w:tcPr>
          <w:p w14:paraId="19609E58">
            <w:pPr>
              <w:widowControl/>
              <w:adjustRightInd/>
              <w:spacing w:line="336" w:lineRule="auto"/>
              <w:jc w:val="left"/>
              <w:rPr>
                <w:rFonts w:ascii="宋体" w:hAnsi="宋体" w:cs="宋体"/>
                <w:color w:val="auto"/>
                <w:kern w:val="0"/>
                <w:sz w:val="24"/>
              </w:rPr>
            </w:pPr>
            <w:r>
              <w:rPr>
                <w:rFonts w:hint="eastAsia" w:ascii="宋体" w:hAnsi="宋体" w:cs="宋体"/>
                <w:color w:val="auto"/>
                <w:kern w:val="0"/>
                <w:sz w:val="24"/>
              </w:rPr>
              <w:t>交付或者实施的时间和地点</w:t>
            </w:r>
          </w:p>
        </w:tc>
        <w:tc>
          <w:tcPr>
            <w:tcW w:w="4787" w:type="dxa"/>
            <w:vAlign w:val="center"/>
          </w:tcPr>
          <w:p w14:paraId="2AA744F3">
            <w:pPr>
              <w:widowControl/>
              <w:adjustRightInd/>
              <w:spacing w:line="336" w:lineRule="auto"/>
              <w:jc w:val="left"/>
              <w:rPr>
                <w:rFonts w:ascii="宋体" w:hAnsi="宋体" w:cs="宋体"/>
                <w:color w:val="auto"/>
                <w:kern w:val="0"/>
                <w:sz w:val="24"/>
              </w:rPr>
            </w:pPr>
            <w:r>
              <w:rPr>
                <w:rFonts w:hint="eastAsia" w:ascii="宋体" w:hAnsi="宋体" w:cs="宋体"/>
                <w:color w:val="auto"/>
                <w:kern w:val="0"/>
                <w:sz w:val="24"/>
              </w:rPr>
              <w:t>合同履约期限：详见第一部分 招标公告</w:t>
            </w:r>
          </w:p>
          <w:p w14:paraId="6E0CF3D8">
            <w:pPr>
              <w:widowControl/>
              <w:adjustRightInd/>
              <w:spacing w:line="336" w:lineRule="auto"/>
              <w:jc w:val="left"/>
              <w:rPr>
                <w:rFonts w:ascii="宋体" w:hAnsi="宋体" w:cs="宋体"/>
                <w:color w:val="auto"/>
                <w:kern w:val="0"/>
                <w:sz w:val="24"/>
              </w:rPr>
            </w:pPr>
            <w:r>
              <w:rPr>
                <w:rFonts w:hint="eastAsia" w:ascii="宋体" w:hAnsi="宋体" w:cs="宋体"/>
                <w:color w:val="auto"/>
                <w:kern w:val="0"/>
                <w:sz w:val="24"/>
              </w:rPr>
              <w:t>实施地点：详见本部分内容</w:t>
            </w:r>
          </w:p>
        </w:tc>
      </w:tr>
      <w:tr w14:paraId="6FF47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77E5EEBC">
            <w:pPr>
              <w:widowControl/>
              <w:adjustRightInd/>
              <w:spacing w:line="336" w:lineRule="auto"/>
              <w:jc w:val="center"/>
              <w:rPr>
                <w:rFonts w:ascii="宋体" w:hAnsi="宋体" w:cs="宋体"/>
                <w:color w:val="auto"/>
                <w:kern w:val="0"/>
                <w:sz w:val="24"/>
              </w:rPr>
            </w:pPr>
            <w:r>
              <w:rPr>
                <w:rFonts w:hint="eastAsia" w:ascii="宋体" w:hAnsi="宋体" w:cs="宋体"/>
                <w:color w:val="auto"/>
                <w:kern w:val="0"/>
                <w:sz w:val="24"/>
              </w:rPr>
              <w:t>4</w:t>
            </w:r>
          </w:p>
        </w:tc>
        <w:tc>
          <w:tcPr>
            <w:tcW w:w="2810" w:type="dxa"/>
            <w:vAlign w:val="center"/>
          </w:tcPr>
          <w:p w14:paraId="4B048880">
            <w:pPr>
              <w:widowControl/>
              <w:adjustRightInd/>
              <w:spacing w:line="336" w:lineRule="auto"/>
              <w:jc w:val="left"/>
              <w:rPr>
                <w:rFonts w:ascii="宋体" w:hAnsi="宋体" w:cs="宋体"/>
                <w:color w:val="auto"/>
                <w:kern w:val="0"/>
                <w:sz w:val="24"/>
              </w:rPr>
            </w:pPr>
            <w:r>
              <w:rPr>
                <w:rFonts w:hint="eastAsia" w:ascii="宋体" w:hAnsi="宋体" w:cs="宋体"/>
                <w:color w:val="auto"/>
                <w:kern w:val="0"/>
                <w:sz w:val="24"/>
              </w:rPr>
              <w:t>需实现的功能或者目标</w:t>
            </w:r>
          </w:p>
        </w:tc>
        <w:tc>
          <w:tcPr>
            <w:tcW w:w="4787" w:type="dxa"/>
            <w:vAlign w:val="center"/>
          </w:tcPr>
          <w:p w14:paraId="07F57E21">
            <w:pPr>
              <w:widowControl/>
              <w:adjustRightInd/>
              <w:spacing w:line="336" w:lineRule="auto"/>
              <w:jc w:val="left"/>
              <w:rPr>
                <w:rFonts w:ascii="宋体" w:hAnsi="宋体" w:cs="宋体"/>
                <w:color w:val="auto"/>
                <w:kern w:val="0"/>
                <w:sz w:val="24"/>
              </w:rPr>
            </w:pPr>
            <w:r>
              <w:rPr>
                <w:rFonts w:hint="eastAsia" w:ascii="宋体" w:hAnsi="宋体" w:cs="宋体"/>
                <w:color w:val="auto"/>
                <w:kern w:val="0"/>
                <w:sz w:val="24"/>
              </w:rPr>
              <w:t>详见本部分内容</w:t>
            </w:r>
          </w:p>
        </w:tc>
      </w:tr>
      <w:tr w14:paraId="63FD5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0FFF1811">
            <w:pPr>
              <w:widowControl/>
              <w:adjustRightInd/>
              <w:spacing w:line="336" w:lineRule="auto"/>
              <w:jc w:val="center"/>
              <w:rPr>
                <w:rFonts w:ascii="宋体" w:hAnsi="宋体" w:cs="宋体"/>
                <w:color w:val="auto"/>
                <w:kern w:val="0"/>
                <w:sz w:val="24"/>
              </w:rPr>
            </w:pPr>
            <w:r>
              <w:rPr>
                <w:rFonts w:hint="eastAsia" w:ascii="宋体" w:hAnsi="宋体" w:cs="宋体"/>
                <w:color w:val="auto"/>
                <w:kern w:val="0"/>
                <w:sz w:val="24"/>
              </w:rPr>
              <w:t>5</w:t>
            </w:r>
          </w:p>
        </w:tc>
        <w:tc>
          <w:tcPr>
            <w:tcW w:w="2810" w:type="dxa"/>
            <w:vAlign w:val="center"/>
          </w:tcPr>
          <w:p w14:paraId="484B0AAF">
            <w:pPr>
              <w:widowControl/>
              <w:adjustRightInd/>
              <w:spacing w:line="336" w:lineRule="auto"/>
              <w:jc w:val="left"/>
              <w:rPr>
                <w:rFonts w:ascii="宋体" w:hAnsi="宋体" w:cs="宋体"/>
                <w:color w:val="auto"/>
                <w:kern w:val="0"/>
                <w:sz w:val="24"/>
              </w:rPr>
            </w:pPr>
            <w:r>
              <w:rPr>
                <w:rFonts w:hint="eastAsia" w:ascii="宋体" w:hAnsi="宋体" w:cs="宋体"/>
                <w:color w:val="auto"/>
                <w:kern w:val="0"/>
                <w:sz w:val="24"/>
              </w:rPr>
              <w:t>执行的国家相关标准、行业标准、地方标准或者其它标准、规范</w:t>
            </w:r>
          </w:p>
        </w:tc>
        <w:tc>
          <w:tcPr>
            <w:tcW w:w="4787" w:type="dxa"/>
            <w:vAlign w:val="center"/>
          </w:tcPr>
          <w:p w14:paraId="01E5B27F">
            <w:pPr>
              <w:widowControl/>
              <w:adjustRightInd/>
              <w:spacing w:line="336" w:lineRule="auto"/>
              <w:jc w:val="left"/>
              <w:rPr>
                <w:rFonts w:ascii="宋体" w:hAnsi="宋体" w:cs="宋体"/>
                <w:color w:val="auto"/>
                <w:kern w:val="0"/>
                <w:sz w:val="24"/>
              </w:rPr>
            </w:pPr>
            <w:r>
              <w:rPr>
                <w:rFonts w:hint="eastAsia" w:ascii="宋体" w:hAnsi="宋体" w:cs="宋体"/>
                <w:color w:val="auto"/>
                <w:kern w:val="0"/>
                <w:sz w:val="24"/>
              </w:rPr>
              <w:t>国家相关标准、行业标准、地方标准或者其他标准规范。</w:t>
            </w:r>
          </w:p>
        </w:tc>
      </w:tr>
      <w:tr w14:paraId="3F278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097B1D5F">
            <w:pPr>
              <w:widowControl/>
              <w:adjustRightInd/>
              <w:spacing w:line="336" w:lineRule="auto"/>
              <w:jc w:val="center"/>
              <w:rPr>
                <w:rFonts w:ascii="宋体" w:hAnsi="宋体" w:cs="宋体"/>
                <w:color w:val="auto"/>
                <w:kern w:val="0"/>
                <w:sz w:val="24"/>
              </w:rPr>
            </w:pPr>
            <w:r>
              <w:rPr>
                <w:rFonts w:hint="eastAsia" w:ascii="宋体" w:hAnsi="宋体" w:cs="宋体"/>
                <w:color w:val="auto"/>
                <w:kern w:val="0"/>
                <w:sz w:val="24"/>
              </w:rPr>
              <w:t>6</w:t>
            </w:r>
          </w:p>
        </w:tc>
        <w:tc>
          <w:tcPr>
            <w:tcW w:w="2810" w:type="dxa"/>
            <w:vAlign w:val="center"/>
          </w:tcPr>
          <w:p w14:paraId="532275C4">
            <w:pPr>
              <w:widowControl/>
              <w:adjustRightInd/>
              <w:spacing w:line="336" w:lineRule="auto"/>
              <w:jc w:val="left"/>
              <w:rPr>
                <w:rFonts w:ascii="宋体" w:hAnsi="宋体" w:cs="宋体"/>
                <w:color w:val="auto"/>
                <w:kern w:val="0"/>
                <w:sz w:val="24"/>
              </w:rPr>
            </w:pPr>
            <w:r>
              <w:rPr>
                <w:rFonts w:hint="eastAsia" w:ascii="宋体" w:hAnsi="宋体" w:cs="宋体"/>
                <w:color w:val="auto"/>
                <w:kern w:val="0"/>
                <w:sz w:val="24"/>
              </w:rPr>
              <w:t>技术规格要求</w:t>
            </w:r>
          </w:p>
        </w:tc>
        <w:tc>
          <w:tcPr>
            <w:tcW w:w="4787" w:type="dxa"/>
            <w:vAlign w:val="center"/>
          </w:tcPr>
          <w:p w14:paraId="6C0CB924">
            <w:pPr>
              <w:widowControl/>
              <w:adjustRightInd/>
              <w:spacing w:line="336" w:lineRule="auto"/>
              <w:jc w:val="left"/>
              <w:rPr>
                <w:rFonts w:ascii="宋体" w:hAnsi="宋体" w:cs="宋体"/>
                <w:color w:val="auto"/>
                <w:kern w:val="0"/>
                <w:sz w:val="24"/>
              </w:rPr>
            </w:pPr>
            <w:r>
              <w:rPr>
                <w:rFonts w:hint="eastAsia" w:ascii="宋体" w:hAnsi="宋体" w:cs="宋体"/>
                <w:color w:val="auto"/>
                <w:kern w:val="0"/>
                <w:sz w:val="24"/>
              </w:rPr>
              <w:t>详见本部分内容</w:t>
            </w:r>
          </w:p>
        </w:tc>
      </w:tr>
      <w:tr w14:paraId="1E118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6B14C7F8">
            <w:pPr>
              <w:widowControl/>
              <w:adjustRightInd/>
              <w:spacing w:line="336" w:lineRule="auto"/>
              <w:jc w:val="center"/>
              <w:rPr>
                <w:rFonts w:ascii="宋体" w:hAnsi="宋体" w:cs="宋体"/>
                <w:color w:val="auto"/>
                <w:kern w:val="0"/>
                <w:sz w:val="24"/>
              </w:rPr>
            </w:pPr>
            <w:r>
              <w:rPr>
                <w:rFonts w:hint="eastAsia" w:ascii="宋体" w:hAnsi="宋体" w:cs="宋体"/>
                <w:color w:val="auto"/>
                <w:kern w:val="0"/>
                <w:sz w:val="24"/>
              </w:rPr>
              <w:t>7</w:t>
            </w:r>
          </w:p>
        </w:tc>
        <w:tc>
          <w:tcPr>
            <w:tcW w:w="2810" w:type="dxa"/>
            <w:vAlign w:val="center"/>
          </w:tcPr>
          <w:p w14:paraId="17487320">
            <w:pPr>
              <w:widowControl/>
              <w:adjustRightInd/>
              <w:spacing w:line="336" w:lineRule="auto"/>
              <w:jc w:val="left"/>
              <w:rPr>
                <w:rFonts w:ascii="宋体" w:hAnsi="宋体" w:cs="宋体"/>
                <w:color w:val="auto"/>
                <w:kern w:val="0"/>
                <w:sz w:val="24"/>
              </w:rPr>
            </w:pPr>
            <w:r>
              <w:rPr>
                <w:rFonts w:hint="eastAsia" w:ascii="宋体" w:hAnsi="宋体" w:cs="宋体"/>
                <w:color w:val="auto"/>
                <w:kern w:val="0"/>
                <w:sz w:val="24"/>
              </w:rPr>
              <w:t>物理特性要求</w:t>
            </w:r>
          </w:p>
        </w:tc>
        <w:tc>
          <w:tcPr>
            <w:tcW w:w="4787" w:type="dxa"/>
            <w:vAlign w:val="center"/>
          </w:tcPr>
          <w:p w14:paraId="51755A2E">
            <w:pPr>
              <w:widowControl/>
              <w:adjustRightInd/>
              <w:spacing w:line="336" w:lineRule="auto"/>
              <w:jc w:val="left"/>
              <w:rPr>
                <w:rFonts w:ascii="宋体" w:hAnsi="宋体" w:cs="宋体"/>
                <w:color w:val="auto"/>
                <w:kern w:val="0"/>
                <w:sz w:val="24"/>
              </w:rPr>
            </w:pPr>
            <w:r>
              <w:rPr>
                <w:rFonts w:hint="eastAsia" w:ascii="宋体" w:hAnsi="宋体" w:cs="宋体"/>
                <w:color w:val="auto"/>
                <w:kern w:val="0"/>
                <w:sz w:val="24"/>
              </w:rPr>
              <w:t>无</w:t>
            </w:r>
          </w:p>
        </w:tc>
      </w:tr>
      <w:tr w14:paraId="667A0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20C6A3FD">
            <w:pPr>
              <w:widowControl/>
              <w:adjustRightInd/>
              <w:spacing w:line="336" w:lineRule="auto"/>
              <w:jc w:val="center"/>
              <w:rPr>
                <w:rFonts w:ascii="宋体" w:hAnsi="宋体" w:cs="宋体"/>
                <w:color w:val="auto"/>
                <w:kern w:val="0"/>
                <w:sz w:val="24"/>
              </w:rPr>
            </w:pPr>
            <w:r>
              <w:rPr>
                <w:rFonts w:hint="eastAsia" w:ascii="宋体" w:hAnsi="宋体" w:cs="宋体"/>
                <w:color w:val="auto"/>
                <w:kern w:val="0"/>
                <w:sz w:val="24"/>
              </w:rPr>
              <w:t>8</w:t>
            </w:r>
          </w:p>
        </w:tc>
        <w:tc>
          <w:tcPr>
            <w:tcW w:w="2810" w:type="dxa"/>
            <w:vAlign w:val="center"/>
          </w:tcPr>
          <w:p w14:paraId="7F8DE072">
            <w:pPr>
              <w:widowControl/>
              <w:adjustRightInd/>
              <w:spacing w:line="336" w:lineRule="auto"/>
              <w:jc w:val="left"/>
              <w:rPr>
                <w:rFonts w:ascii="宋体" w:hAnsi="宋体" w:cs="宋体"/>
                <w:color w:val="auto"/>
                <w:kern w:val="0"/>
                <w:sz w:val="24"/>
              </w:rPr>
            </w:pPr>
            <w:r>
              <w:rPr>
                <w:rFonts w:hint="eastAsia" w:ascii="宋体" w:hAnsi="宋体" w:cs="宋体"/>
                <w:color w:val="auto"/>
                <w:kern w:val="0"/>
                <w:sz w:val="24"/>
              </w:rPr>
              <w:t>质量、安全要求</w:t>
            </w:r>
          </w:p>
        </w:tc>
        <w:tc>
          <w:tcPr>
            <w:tcW w:w="4787" w:type="dxa"/>
            <w:vAlign w:val="center"/>
          </w:tcPr>
          <w:p w14:paraId="00E876D2">
            <w:pPr>
              <w:widowControl/>
              <w:adjustRightInd/>
              <w:spacing w:line="336" w:lineRule="auto"/>
              <w:jc w:val="left"/>
              <w:rPr>
                <w:rFonts w:ascii="宋体" w:hAnsi="宋体" w:cs="宋体"/>
                <w:color w:val="auto"/>
                <w:kern w:val="0"/>
                <w:sz w:val="24"/>
              </w:rPr>
            </w:pPr>
            <w:r>
              <w:rPr>
                <w:rFonts w:hint="eastAsia" w:ascii="宋体" w:hAnsi="宋体" w:cs="宋体"/>
                <w:color w:val="auto"/>
                <w:kern w:val="0"/>
                <w:sz w:val="24"/>
              </w:rPr>
              <w:t>（1）质量要求：详见本部分内容。</w:t>
            </w:r>
          </w:p>
          <w:p w14:paraId="7122FE13">
            <w:pPr>
              <w:widowControl/>
              <w:adjustRightInd/>
              <w:spacing w:line="336" w:lineRule="auto"/>
              <w:jc w:val="left"/>
              <w:rPr>
                <w:rFonts w:ascii="宋体" w:hAnsi="宋体" w:cs="宋体"/>
                <w:color w:val="auto"/>
                <w:kern w:val="0"/>
                <w:sz w:val="24"/>
              </w:rPr>
            </w:pPr>
            <w:r>
              <w:rPr>
                <w:rFonts w:hint="eastAsia" w:ascii="宋体" w:hAnsi="宋体" w:cs="宋体"/>
                <w:color w:val="auto"/>
                <w:kern w:val="0"/>
                <w:sz w:val="24"/>
              </w:rPr>
              <w:t>（2）安全要求：合格</w:t>
            </w:r>
          </w:p>
        </w:tc>
      </w:tr>
      <w:tr w14:paraId="1ACD2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72E0705B">
            <w:pPr>
              <w:widowControl/>
              <w:adjustRightInd/>
              <w:spacing w:line="336" w:lineRule="auto"/>
              <w:jc w:val="center"/>
              <w:rPr>
                <w:rFonts w:ascii="宋体" w:hAnsi="宋体" w:cs="宋体"/>
                <w:color w:val="auto"/>
                <w:kern w:val="0"/>
                <w:sz w:val="24"/>
              </w:rPr>
            </w:pPr>
            <w:r>
              <w:rPr>
                <w:rFonts w:hint="eastAsia" w:ascii="宋体" w:hAnsi="宋体" w:cs="宋体"/>
                <w:color w:val="auto"/>
                <w:kern w:val="0"/>
                <w:sz w:val="24"/>
              </w:rPr>
              <w:t>9</w:t>
            </w:r>
          </w:p>
        </w:tc>
        <w:tc>
          <w:tcPr>
            <w:tcW w:w="2810" w:type="dxa"/>
            <w:vAlign w:val="center"/>
          </w:tcPr>
          <w:p w14:paraId="274358E2">
            <w:pPr>
              <w:widowControl/>
              <w:adjustRightInd/>
              <w:spacing w:line="336" w:lineRule="auto"/>
              <w:jc w:val="left"/>
              <w:rPr>
                <w:rFonts w:ascii="宋体" w:hAnsi="宋体" w:cs="宋体"/>
                <w:color w:val="auto"/>
                <w:kern w:val="0"/>
                <w:sz w:val="24"/>
              </w:rPr>
            </w:pPr>
            <w:r>
              <w:rPr>
                <w:rFonts w:hint="eastAsia" w:ascii="宋体" w:hAnsi="宋体" w:cs="宋体"/>
                <w:color w:val="auto"/>
                <w:kern w:val="0"/>
                <w:sz w:val="24"/>
              </w:rPr>
              <w:t>服务标准、期限、效率</w:t>
            </w:r>
          </w:p>
        </w:tc>
        <w:tc>
          <w:tcPr>
            <w:tcW w:w="4787" w:type="dxa"/>
            <w:vAlign w:val="center"/>
          </w:tcPr>
          <w:p w14:paraId="5DB59976">
            <w:pPr>
              <w:widowControl/>
              <w:adjustRightInd/>
              <w:spacing w:line="336" w:lineRule="auto"/>
              <w:jc w:val="left"/>
              <w:rPr>
                <w:rFonts w:ascii="宋体" w:hAnsi="宋体" w:cs="宋体"/>
                <w:color w:val="auto"/>
                <w:kern w:val="0"/>
                <w:sz w:val="24"/>
              </w:rPr>
            </w:pPr>
            <w:r>
              <w:rPr>
                <w:rFonts w:hint="eastAsia" w:ascii="宋体" w:hAnsi="宋体" w:cs="宋体"/>
                <w:color w:val="auto"/>
                <w:kern w:val="0"/>
                <w:sz w:val="24"/>
              </w:rPr>
              <w:t>详见本部分内容。</w:t>
            </w:r>
          </w:p>
        </w:tc>
      </w:tr>
      <w:tr w14:paraId="7ABC6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4BAB86E6">
            <w:pPr>
              <w:widowControl/>
              <w:adjustRightInd/>
              <w:spacing w:line="336" w:lineRule="auto"/>
              <w:jc w:val="center"/>
              <w:rPr>
                <w:rFonts w:ascii="宋体" w:hAnsi="宋体" w:cs="宋体"/>
                <w:color w:val="auto"/>
                <w:kern w:val="0"/>
                <w:sz w:val="24"/>
              </w:rPr>
            </w:pPr>
            <w:r>
              <w:rPr>
                <w:rFonts w:hint="eastAsia" w:ascii="宋体" w:hAnsi="宋体" w:cs="宋体"/>
                <w:color w:val="auto"/>
                <w:kern w:val="0"/>
                <w:sz w:val="24"/>
              </w:rPr>
              <w:t>10</w:t>
            </w:r>
          </w:p>
        </w:tc>
        <w:tc>
          <w:tcPr>
            <w:tcW w:w="2810" w:type="dxa"/>
            <w:vAlign w:val="center"/>
          </w:tcPr>
          <w:p w14:paraId="0E62F67B">
            <w:pPr>
              <w:widowControl/>
              <w:adjustRightInd/>
              <w:spacing w:line="336" w:lineRule="auto"/>
              <w:jc w:val="left"/>
              <w:rPr>
                <w:rFonts w:ascii="宋体" w:hAnsi="宋体" w:cs="宋体"/>
                <w:color w:val="auto"/>
                <w:kern w:val="0"/>
                <w:sz w:val="24"/>
              </w:rPr>
            </w:pPr>
            <w:r>
              <w:rPr>
                <w:rFonts w:hint="eastAsia" w:ascii="宋体" w:hAnsi="宋体" w:cs="宋体"/>
                <w:color w:val="auto"/>
                <w:kern w:val="0"/>
                <w:sz w:val="24"/>
              </w:rPr>
              <w:t>验收标准</w:t>
            </w:r>
          </w:p>
        </w:tc>
        <w:tc>
          <w:tcPr>
            <w:tcW w:w="4787" w:type="dxa"/>
            <w:shd w:val="clear" w:color="auto" w:fill="auto"/>
            <w:vAlign w:val="center"/>
          </w:tcPr>
          <w:p w14:paraId="059686C2">
            <w:pPr>
              <w:widowControl/>
              <w:adjustRightInd/>
              <w:spacing w:line="336" w:lineRule="auto"/>
              <w:jc w:val="left"/>
              <w:rPr>
                <w:rFonts w:ascii="宋体" w:hAnsi="宋体" w:cs="宋体"/>
                <w:color w:val="auto"/>
                <w:kern w:val="0"/>
                <w:sz w:val="24"/>
              </w:rPr>
            </w:pPr>
            <w:r>
              <w:rPr>
                <w:rFonts w:hint="eastAsia" w:ascii="宋体" w:hAnsi="宋体" w:cs="宋体"/>
                <w:color w:val="auto"/>
                <w:kern w:val="0"/>
                <w:sz w:val="24"/>
              </w:rPr>
              <w:t>按照中标人提供的投标文件及中标人和采购人签订的政府采购合同为标准进行验收。</w:t>
            </w:r>
          </w:p>
        </w:tc>
      </w:tr>
      <w:tr w14:paraId="661A2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2968D872">
            <w:pPr>
              <w:widowControl/>
              <w:adjustRightInd/>
              <w:spacing w:line="336" w:lineRule="auto"/>
              <w:jc w:val="center"/>
              <w:rPr>
                <w:rFonts w:ascii="宋体" w:hAnsi="宋体" w:cs="宋体"/>
                <w:color w:val="auto"/>
                <w:kern w:val="0"/>
                <w:sz w:val="24"/>
              </w:rPr>
            </w:pPr>
            <w:r>
              <w:rPr>
                <w:rFonts w:hint="eastAsia" w:ascii="宋体" w:hAnsi="宋体" w:cs="宋体"/>
                <w:color w:val="auto"/>
                <w:kern w:val="0"/>
                <w:sz w:val="24"/>
              </w:rPr>
              <w:t>11</w:t>
            </w:r>
          </w:p>
        </w:tc>
        <w:tc>
          <w:tcPr>
            <w:tcW w:w="2810" w:type="dxa"/>
            <w:vAlign w:val="center"/>
          </w:tcPr>
          <w:p w14:paraId="36445652">
            <w:pPr>
              <w:widowControl/>
              <w:adjustRightInd/>
              <w:spacing w:line="336" w:lineRule="auto"/>
              <w:jc w:val="left"/>
              <w:rPr>
                <w:rFonts w:ascii="宋体" w:hAnsi="宋体" w:cs="宋体"/>
                <w:color w:val="auto"/>
                <w:kern w:val="0"/>
                <w:sz w:val="24"/>
              </w:rPr>
            </w:pPr>
            <w:r>
              <w:rPr>
                <w:rFonts w:hint="eastAsia" w:ascii="宋体" w:hAnsi="宋体" w:cs="宋体"/>
                <w:color w:val="auto"/>
                <w:kern w:val="0"/>
                <w:sz w:val="24"/>
              </w:rPr>
              <w:t>现场踏勘</w:t>
            </w:r>
          </w:p>
        </w:tc>
        <w:tc>
          <w:tcPr>
            <w:tcW w:w="4787" w:type="dxa"/>
            <w:shd w:val="clear" w:color="auto" w:fill="auto"/>
            <w:vAlign w:val="center"/>
          </w:tcPr>
          <w:p w14:paraId="76B05782">
            <w:pPr>
              <w:widowControl/>
              <w:adjustRightInd/>
              <w:spacing w:line="336" w:lineRule="auto"/>
              <w:jc w:val="left"/>
              <w:rPr>
                <w:rFonts w:ascii="宋体" w:hAnsi="宋体" w:cs="宋体"/>
                <w:color w:val="auto"/>
                <w:kern w:val="0"/>
                <w:sz w:val="24"/>
              </w:rPr>
            </w:pPr>
            <w:r>
              <w:rPr>
                <w:rFonts w:hint="eastAsia" w:ascii="宋体" w:hAnsi="宋体" w:cs="宋体"/>
                <w:color w:val="auto"/>
                <w:kern w:val="0"/>
                <w:sz w:val="24"/>
              </w:rPr>
              <w:t>本项目不统一组织现场勘察，投标人可自行对本项目现场和周围环境进行勘察。勘察现场所发生的费用由投标人自己承担。不论何种原因所造成，在勘察过程中，投标人自行对由此次踏勘现场而造成的死亡、人身伤害、财产损失、损害以及任何其它损失、损害和引起的费用和开支承担责任。</w:t>
            </w:r>
          </w:p>
        </w:tc>
      </w:tr>
    </w:tbl>
    <w:p w14:paraId="13623A1F">
      <w:pPr>
        <w:widowControl/>
        <w:adjustRightInd/>
        <w:spacing w:line="360" w:lineRule="auto"/>
        <w:jc w:val="left"/>
        <w:rPr>
          <w:rFonts w:ascii="宋体" w:hAnsi="宋体" w:cs="宋体"/>
          <w:color w:val="auto"/>
          <w:kern w:val="0"/>
          <w:sz w:val="24"/>
        </w:rPr>
      </w:pPr>
    </w:p>
    <w:p w14:paraId="3A5C803E">
      <w:pPr>
        <w:widowControl/>
        <w:adjustRightInd/>
        <w:spacing w:line="360" w:lineRule="auto"/>
        <w:jc w:val="center"/>
        <w:rPr>
          <w:rFonts w:ascii="宋体" w:hAnsi="宋体" w:cs="宋体"/>
          <w:color w:val="auto"/>
          <w:kern w:val="0"/>
          <w:sz w:val="24"/>
        </w:rPr>
      </w:pPr>
      <w:r>
        <w:rPr>
          <w:rFonts w:hint="eastAsia" w:ascii="宋体" w:hAnsi="宋体" w:cs="宋体"/>
          <w:color w:val="auto"/>
          <w:kern w:val="0"/>
          <w:sz w:val="24"/>
        </w:rPr>
        <w:br w:type="page"/>
      </w:r>
    </w:p>
    <w:p w14:paraId="09B0A138">
      <w:pPr>
        <w:widowControl/>
        <w:adjustRightInd/>
        <w:spacing w:line="360" w:lineRule="auto"/>
        <w:jc w:val="left"/>
        <w:rPr>
          <w:rFonts w:ascii="宋体" w:hAnsi="宋体" w:cs="宋体"/>
          <w:b/>
          <w:color w:val="auto"/>
          <w:kern w:val="0"/>
          <w:sz w:val="24"/>
        </w:rPr>
      </w:pPr>
      <w:r>
        <w:rPr>
          <w:rFonts w:hint="eastAsia" w:ascii="宋体" w:hAnsi="宋体" w:cs="宋体"/>
          <w:b/>
          <w:color w:val="auto"/>
          <w:kern w:val="0"/>
          <w:sz w:val="24"/>
        </w:rPr>
        <w:t>一、重要商务要求一览表</w:t>
      </w:r>
    </w:p>
    <w:bookmarkEnd w:id="35"/>
    <w:bookmarkEnd w:id="36"/>
    <w:tbl>
      <w:tblPr>
        <w:tblStyle w:val="62"/>
        <w:tblW w:w="8497" w:type="dxa"/>
        <w:tblInd w:w="32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87"/>
        <w:gridCol w:w="6810"/>
      </w:tblGrid>
      <w:tr w14:paraId="776894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46" w:hRule="atLeast"/>
        </w:trPr>
        <w:tc>
          <w:tcPr>
            <w:tcW w:w="1687" w:type="dxa"/>
            <w:vAlign w:val="center"/>
          </w:tcPr>
          <w:p w14:paraId="58259AE3">
            <w:pPr>
              <w:widowControl/>
              <w:adjustRightInd/>
              <w:spacing w:line="360" w:lineRule="auto"/>
              <w:jc w:val="center"/>
              <w:rPr>
                <w:rFonts w:ascii="宋体" w:hAnsi="宋体" w:cs="宋体"/>
                <w:color w:val="auto"/>
                <w:kern w:val="0"/>
                <w:sz w:val="24"/>
              </w:rPr>
            </w:pPr>
            <w:r>
              <w:rPr>
                <w:rFonts w:hint="eastAsia" w:ascii="宋体" w:hAnsi="宋体" w:cs="宋体"/>
                <w:color w:val="auto"/>
                <w:kern w:val="0"/>
                <w:sz w:val="24"/>
              </w:rPr>
              <w:t>合同履约期限及地点</w:t>
            </w:r>
          </w:p>
        </w:tc>
        <w:tc>
          <w:tcPr>
            <w:tcW w:w="6810" w:type="dxa"/>
            <w:vAlign w:val="center"/>
          </w:tcPr>
          <w:p w14:paraId="35B3E37D">
            <w:pPr>
              <w:widowControl/>
              <w:adjustRightInd/>
              <w:spacing w:line="360" w:lineRule="auto"/>
              <w:jc w:val="left"/>
              <w:rPr>
                <w:rFonts w:ascii="宋体" w:hAnsi="宋体" w:cs="宋体"/>
                <w:color w:val="auto"/>
                <w:kern w:val="0"/>
                <w:sz w:val="24"/>
              </w:rPr>
            </w:pPr>
            <w:r>
              <w:rPr>
                <w:rFonts w:hint="eastAsia" w:ascii="宋体" w:hAnsi="宋体" w:cs="宋体"/>
                <w:color w:val="auto"/>
                <w:kern w:val="0"/>
                <w:sz w:val="24"/>
              </w:rPr>
              <w:t>（1）合同履约期限：详见第一部分 《招标公告》。</w:t>
            </w:r>
          </w:p>
          <w:p w14:paraId="512AF0E6">
            <w:pPr>
              <w:widowControl/>
              <w:adjustRightInd/>
              <w:spacing w:line="360" w:lineRule="auto"/>
              <w:jc w:val="left"/>
              <w:rPr>
                <w:rFonts w:ascii="宋体" w:hAnsi="宋体" w:cs="宋体"/>
                <w:color w:val="auto"/>
                <w:kern w:val="0"/>
                <w:sz w:val="24"/>
              </w:rPr>
            </w:pPr>
            <w:r>
              <w:rPr>
                <w:rFonts w:hint="eastAsia" w:ascii="宋体" w:hAnsi="宋体" w:cs="宋体"/>
                <w:color w:val="auto"/>
                <w:kern w:val="0"/>
                <w:sz w:val="24"/>
              </w:rPr>
              <w:t>（2）实施地点：宁波市医疗中心李惠利医院。</w:t>
            </w:r>
          </w:p>
        </w:tc>
      </w:tr>
      <w:tr w14:paraId="78E7FE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853" w:hRule="atLeast"/>
        </w:trPr>
        <w:tc>
          <w:tcPr>
            <w:tcW w:w="1687" w:type="dxa"/>
            <w:vAlign w:val="center"/>
          </w:tcPr>
          <w:p w14:paraId="02077109">
            <w:pPr>
              <w:widowControl/>
              <w:adjustRightInd/>
              <w:spacing w:line="360" w:lineRule="auto"/>
              <w:jc w:val="center"/>
              <w:rPr>
                <w:rFonts w:ascii="宋体" w:hAnsi="宋体" w:cs="宋体"/>
                <w:color w:val="auto"/>
                <w:kern w:val="0"/>
                <w:sz w:val="24"/>
              </w:rPr>
            </w:pPr>
            <w:r>
              <w:rPr>
                <w:rFonts w:hint="eastAsia" w:ascii="宋体" w:hAnsi="宋体" w:cs="宋体"/>
                <w:color w:val="auto"/>
                <w:kern w:val="0"/>
                <w:sz w:val="24"/>
              </w:rPr>
              <w:t>★付款方式</w:t>
            </w:r>
          </w:p>
        </w:tc>
        <w:tc>
          <w:tcPr>
            <w:tcW w:w="6810" w:type="dxa"/>
            <w:vAlign w:val="center"/>
          </w:tcPr>
          <w:p w14:paraId="72881ED6">
            <w:pPr>
              <w:widowControl/>
              <w:adjustRightInd/>
              <w:spacing w:line="360" w:lineRule="auto"/>
              <w:jc w:val="left"/>
              <w:rPr>
                <w:rFonts w:ascii="宋体" w:hAnsi="宋体" w:cs="宋体"/>
                <w:color w:val="auto"/>
                <w:kern w:val="0"/>
                <w:sz w:val="24"/>
              </w:rPr>
            </w:pPr>
            <w:r>
              <w:rPr>
                <w:rFonts w:hint="eastAsia" w:ascii="宋体" w:hAnsi="宋体" w:cs="宋体"/>
                <w:color w:val="auto"/>
                <w:kern w:val="0"/>
                <w:sz w:val="24"/>
              </w:rPr>
              <w:t>（1）合同生效且具备实施条件后，七个工作日内支付合同金额的40%作为预付款；（合同签订时中标人主动要求不需要预付款的采购人可以不支付）；</w:t>
            </w:r>
          </w:p>
          <w:p w14:paraId="6B13FD44">
            <w:pPr>
              <w:widowControl/>
              <w:adjustRightInd/>
              <w:spacing w:line="360" w:lineRule="auto"/>
              <w:jc w:val="left"/>
              <w:rPr>
                <w:color w:val="auto"/>
              </w:rPr>
            </w:pPr>
            <w:r>
              <w:rPr>
                <w:rFonts w:hint="eastAsia" w:ascii="宋体" w:hAnsi="宋体" w:cs="宋体"/>
                <w:color w:val="auto"/>
                <w:kern w:val="0"/>
                <w:sz w:val="24"/>
              </w:rPr>
              <w:t>（2）完成平台定制开发、调试，并通过采购人验收后7个工作日内支付合同余款。</w:t>
            </w:r>
          </w:p>
        </w:tc>
      </w:tr>
      <w:tr w14:paraId="78599C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687" w:type="dxa"/>
            <w:vAlign w:val="center"/>
          </w:tcPr>
          <w:p w14:paraId="771A9A5C">
            <w:pPr>
              <w:widowControl/>
              <w:adjustRightInd/>
              <w:spacing w:line="360" w:lineRule="auto"/>
              <w:jc w:val="center"/>
              <w:rPr>
                <w:rFonts w:ascii="宋体" w:hAnsi="宋体" w:cs="宋体"/>
                <w:color w:val="auto"/>
                <w:kern w:val="0"/>
                <w:sz w:val="24"/>
              </w:rPr>
            </w:pPr>
            <w:r>
              <w:rPr>
                <w:rFonts w:hint="eastAsia" w:ascii="宋体" w:hAnsi="宋体" w:cs="宋体"/>
                <w:color w:val="auto"/>
                <w:kern w:val="0"/>
                <w:sz w:val="24"/>
              </w:rPr>
              <w:t>★履约保证金</w:t>
            </w:r>
          </w:p>
        </w:tc>
        <w:tc>
          <w:tcPr>
            <w:tcW w:w="6810" w:type="dxa"/>
            <w:vAlign w:val="center"/>
          </w:tcPr>
          <w:p w14:paraId="52A0A7FE">
            <w:pPr>
              <w:widowControl/>
              <w:adjustRightInd/>
              <w:spacing w:line="360" w:lineRule="auto"/>
              <w:jc w:val="left"/>
              <w:rPr>
                <w:rFonts w:ascii="宋体" w:hAnsi="宋体" w:cs="宋体"/>
                <w:color w:val="auto"/>
                <w:kern w:val="0"/>
                <w:sz w:val="24"/>
              </w:rPr>
            </w:pPr>
            <w:r>
              <w:rPr>
                <w:rFonts w:hint="eastAsia" w:ascii="宋体" w:hAnsi="宋体" w:cs="宋体"/>
                <w:color w:val="auto"/>
                <w:kern w:val="0"/>
                <w:sz w:val="24"/>
              </w:rPr>
              <w:t>本项目不适用。</w:t>
            </w:r>
          </w:p>
        </w:tc>
      </w:tr>
      <w:tr w14:paraId="3FBAC1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687" w:type="dxa"/>
            <w:vAlign w:val="center"/>
          </w:tcPr>
          <w:p w14:paraId="20DF7E05">
            <w:pPr>
              <w:widowControl/>
              <w:adjustRightInd/>
              <w:spacing w:line="360" w:lineRule="auto"/>
              <w:jc w:val="center"/>
              <w:rPr>
                <w:rFonts w:ascii="宋体" w:hAnsi="宋体" w:cs="宋体"/>
                <w:color w:val="auto"/>
                <w:kern w:val="0"/>
                <w:sz w:val="24"/>
              </w:rPr>
            </w:pPr>
            <w:r>
              <w:rPr>
                <w:rFonts w:hint="eastAsia" w:ascii="宋体" w:hAnsi="宋体" w:cs="宋体"/>
                <w:color w:val="auto"/>
                <w:kern w:val="0"/>
                <w:sz w:val="24"/>
              </w:rPr>
              <w:t>质保期</w:t>
            </w:r>
          </w:p>
        </w:tc>
        <w:tc>
          <w:tcPr>
            <w:tcW w:w="6810" w:type="dxa"/>
            <w:vAlign w:val="center"/>
          </w:tcPr>
          <w:p w14:paraId="38F23A7E">
            <w:pPr>
              <w:widowControl/>
              <w:adjustRightInd/>
              <w:spacing w:line="360" w:lineRule="auto"/>
              <w:jc w:val="left"/>
              <w:rPr>
                <w:rFonts w:ascii="宋体" w:hAnsi="宋体" w:cs="宋体"/>
                <w:color w:val="auto"/>
                <w:kern w:val="0"/>
                <w:sz w:val="24"/>
              </w:rPr>
            </w:pPr>
            <w:r>
              <w:rPr>
                <w:rFonts w:hint="eastAsia" w:ascii="宋体" w:hAnsi="宋体" w:cs="宋体"/>
                <w:color w:val="auto"/>
                <w:kern w:val="0"/>
                <w:sz w:val="24"/>
              </w:rPr>
              <w:t>本项目整体质保期5年。</w:t>
            </w:r>
          </w:p>
        </w:tc>
      </w:tr>
      <w:tr w14:paraId="540FB7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687" w:type="dxa"/>
            <w:vAlign w:val="center"/>
          </w:tcPr>
          <w:p w14:paraId="7AAB8602">
            <w:pPr>
              <w:widowControl/>
              <w:adjustRightInd/>
              <w:spacing w:line="360" w:lineRule="auto"/>
              <w:jc w:val="center"/>
              <w:rPr>
                <w:rFonts w:ascii="宋体" w:hAnsi="宋体" w:cs="宋体"/>
                <w:color w:val="auto"/>
                <w:kern w:val="0"/>
                <w:sz w:val="24"/>
              </w:rPr>
            </w:pPr>
            <w:r>
              <w:rPr>
                <w:rFonts w:hint="eastAsia" w:ascii="宋体" w:hAnsi="宋体" w:cs="宋体"/>
                <w:color w:val="auto"/>
                <w:kern w:val="0"/>
                <w:sz w:val="24"/>
              </w:rPr>
              <w:t>合同终止</w:t>
            </w:r>
          </w:p>
        </w:tc>
        <w:tc>
          <w:tcPr>
            <w:tcW w:w="6810" w:type="dxa"/>
            <w:vAlign w:val="center"/>
          </w:tcPr>
          <w:p w14:paraId="2140F550">
            <w:pPr>
              <w:widowControl/>
              <w:adjustRightInd/>
              <w:spacing w:line="360" w:lineRule="auto"/>
              <w:jc w:val="left"/>
              <w:rPr>
                <w:rFonts w:ascii="宋体" w:hAnsi="宋体" w:cs="宋体"/>
                <w:color w:val="auto"/>
                <w:kern w:val="0"/>
                <w:sz w:val="24"/>
              </w:rPr>
            </w:pPr>
            <w:r>
              <w:rPr>
                <w:rFonts w:hint="eastAsia" w:ascii="宋体" w:hAnsi="宋体" w:cs="宋体"/>
                <w:color w:val="auto"/>
                <w:kern w:val="0"/>
                <w:sz w:val="24"/>
              </w:rPr>
              <w:t>中标人在合同有效期内，不得无理由终止合同，确有特殊情况的，须提前两个月向采购人提出书面申请，经采购人同意后，方可终止合同，同时酌情扣除履约保证金。因中标人不能保证工作质量，采购人可有权终止合同，中标人承担全部责任。</w:t>
            </w:r>
          </w:p>
        </w:tc>
      </w:tr>
    </w:tbl>
    <w:p w14:paraId="7A0C41F0">
      <w:pPr>
        <w:widowControl/>
        <w:tabs>
          <w:tab w:val="left" w:pos="851"/>
        </w:tabs>
        <w:adjustRightInd/>
        <w:spacing w:line="360" w:lineRule="auto"/>
        <w:rPr>
          <w:rFonts w:ascii="宋体" w:hAnsi="宋体" w:cs="宋体"/>
          <w:b/>
          <w:bCs/>
          <w:color w:val="auto"/>
          <w:kern w:val="0"/>
          <w:sz w:val="24"/>
        </w:rPr>
      </w:pPr>
    </w:p>
    <w:p w14:paraId="434A930B">
      <w:pPr>
        <w:rPr>
          <w:rFonts w:ascii="宋体" w:hAnsi="宋体" w:cs="宋体"/>
          <w:b/>
          <w:bCs/>
          <w:color w:val="auto"/>
          <w:kern w:val="0"/>
          <w:sz w:val="24"/>
        </w:rPr>
      </w:pPr>
      <w:r>
        <w:rPr>
          <w:rFonts w:hint="eastAsia" w:ascii="宋体" w:hAnsi="宋体" w:cs="宋体"/>
          <w:b/>
          <w:bCs/>
          <w:color w:val="auto"/>
          <w:kern w:val="0"/>
          <w:sz w:val="24"/>
        </w:rPr>
        <w:br w:type="page"/>
      </w:r>
    </w:p>
    <w:p w14:paraId="1EF7D468">
      <w:pPr>
        <w:widowControl/>
        <w:adjustRightInd/>
        <w:spacing w:line="360" w:lineRule="auto"/>
        <w:jc w:val="left"/>
        <w:rPr>
          <w:rFonts w:ascii="宋体" w:hAnsi="宋体" w:cs="宋体"/>
          <w:b/>
          <w:color w:val="auto"/>
          <w:kern w:val="0"/>
          <w:sz w:val="24"/>
        </w:rPr>
      </w:pPr>
      <w:r>
        <w:rPr>
          <w:rFonts w:hint="eastAsia" w:ascii="宋体" w:hAnsi="宋体" w:cs="宋体"/>
          <w:b/>
          <w:color w:val="auto"/>
          <w:kern w:val="0"/>
          <w:sz w:val="24"/>
        </w:rPr>
        <w:t>二、项目要求：</w:t>
      </w:r>
    </w:p>
    <w:p w14:paraId="249C513B">
      <w:pPr>
        <w:adjustRightInd/>
        <w:spacing w:line="360" w:lineRule="auto"/>
        <w:rPr>
          <w:rFonts w:ascii="宋体" w:hAnsi="宋体" w:cs="宋体"/>
          <w:b/>
          <w:color w:val="auto"/>
          <w:sz w:val="24"/>
        </w:rPr>
      </w:pPr>
      <w:r>
        <w:rPr>
          <w:rFonts w:hint="eastAsia" w:ascii="宋体" w:hAnsi="宋体" w:cs="宋体"/>
          <w:b/>
          <w:color w:val="auto"/>
          <w:sz w:val="24"/>
        </w:rPr>
        <w:t>（1）整体要求：</w:t>
      </w:r>
    </w:p>
    <w:tbl>
      <w:tblPr>
        <w:tblStyle w:val="63"/>
        <w:tblW w:w="49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0"/>
      </w:tblGrid>
      <w:tr w14:paraId="3C68D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tcBorders>
              <w:top w:val="single" w:color="auto" w:sz="4" w:space="0"/>
              <w:left w:val="single" w:color="auto" w:sz="4" w:space="0"/>
              <w:bottom w:val="single" w:color="auto" w:sz="4" w:space="0"/>
              <w:right w:val="single" w:color="auto" w:sz="4" w:space="0"/>
            </w:tcBorders>
            <w:vAlign w:val="center"/>
          </w:tcPr>
          <w:p w14:paraId="1BE507CC">
            <w:pPr>
              <w:adjustRightInd/>
              <w:spacing w:line="288" w:lineRule="auto"/>
              <w:rPr>
                <w:rFonts w:ascii="宋体" w:hAnsi="宋体" w:cs="宋体"/>
                <w:color w:val="auto"/>
                <w:sz w:val="24"/>
              </w:rPr>
            </w:pPr>
            <w:r>
              <w:rPr>
                <w:rFonts w:hint="eastAsia" w:ascii="宋体" w:hAnsi="宋体" w:cs="宋体"/>
                <w:color w:val="auto"/>
                <w:sz w:val="24"/>
              </w:rPr>
              <w:t>1）数据更新时效性要求为T+7，即平台实施上线后，可不通过人工干预的方式，平台自主完成每7天由各业务系统数据源执行一次数据采集和更新，数据采集和更新时不影响院方业务的正常运行。</w:t>
            </w:r>
          </w:p>
        </w:tc>
      </w:tr>
      <w:tr w14:paraId="3F918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vAlign w:val="center"/>
          </w:tcPr>
          <w:p w14:paraId="1DC8E8A3">
            <w:pPr>
              <w:adjustRightInd/>
              <w:spacing w:line="288" w:lineRule="auto"/>
              <w:rPr>
                <w:rFonts w:ascii="宋体" w:hAnsi="宋体" w:cs="宋体"/>
                <w:color w:val="auto"/>
                <w:sz w:val="24"/>
              </w:rPr>
            </w:pPr>
            <w:r>
              <w:rPr>
                <w:rFonts w:hint="eastAsia" w:ascii="宋体" w:hAnsi="宋体" w:cs="宋体"/>
                <w:color w:val="auto"/>
                <w:sz w:val="24"/>
              </w:rPr>
              <w:t>2）在保证网络安全的情况下，院内或院外均可登录系统平台。</w:t>
            </w:r>
          </w:p>
        </w:tc>
      </w:tr>
      <w:tr w14:paraId="7471F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vAlign w:val="center"/>
          </w:tcPr>
          <w:p w14:paraId="4CD3CD26">
            <w:pPr>
              <w:adjustRightInd/>
              <w:spacing w:before="78" w:after="78" w:line="288" w:lineRule="auto"/>
              <w:rPr>
                <w:rFonts w:ascii="宋体" w:hAnsi="宋体" w:cs="宋体"/>
                <w:color w:val="auto"/>
                <w:sz w:val="24"/>
              </w:rPr>
            </w:pPr>
            <w:r>
              <w:rPr>
                <w:rFonts w:hint="eastAsia" w:ascii="宋体" w:hAnsi="宋体" w:cs="宋体"/>
                <w:color w:val="auto"/>
                <w:sz w:val="24"/>
              </w:rPr>
              <w:t>3）系统应至少支持院内用户同时有100人在线使用。</w:t>
            </w:r>
          </w:p>
        </w:tc>
      </w:tr>
      <w:tr w14:paraId="3AB49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vAlign w:val="center"/>
          </w:tcPr>
          <w:p w14:paraId="53D8AEBE">
            <w:pPr>
              <w:adjustRightInd/>
              <w:spacing w:line="288" w:lineRule="auto"/>
              <w:rPr>
                <w:rFonts w:ascii="宋体" w:hAnsi="宋体" w:cs="宋体"/>
                <w:color w:val="auto"/>
                <w:sz w:val="24"/>
              </w:rPr>
            </w:pPr>
            <w:r>
              <w:rPr>
                <w:rFonts w:hint="eastAsia" w:ascii="宋体" w:hAnsi="宋体" w:cs="宋体"/>
                <w:color w:val="auto"/>
                <w:sz w:val="24"/>
              </w:rPr>
              <w:t>4）如医院有新的系统上线，应支持相关系统对接。</w:t>
            </w:r>
          </w:p>
        </w:tc>
      </w:tr>
      <w:tr w14:paraId="572C7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vAlign w:val="center"/>
          </w:tcPr>
          <w:p w14:paraId="3E2972F8">
            <w:pPr>
              <w:adjustRightInd/>
              <w:spacing w:line="288" w:lineRule="auto"/>
              <w:rPr>
                <w:rFonts w:ascii="宋体" w:hAnsi="宋体" w:cs="宋体"/>
                <w:color w:val="auto"/>
                <w:sz w:val="24"/>
              </w:rPr>
            </w:pPr>
            <w:r>
              <w:rPr>
                <w:rFonts w:hint="eastAsia" w:ascii="宋体" w:hAnsi="宋体" w:cs="宋体"/>
                <w:color w:val="auto"/>
                <w:sz w:val="24"/>
              </w:rPr>
              <w:t>5）要求提供平台集群的安装部署服务，并提供运维服务保障平台的稳定运行，提供运维及应急响应技术服务，响应时间为全年7×24小时，常驻维保人员≥三人。</w:t>
            </w:r>
          </w:p>
        </w:tc>
      </w:tr>
      <w:tr w14:paraId="5A999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vAlign w:val="center"/>
          </w:tcPr>
          <w:p w14:paraId="600929E8">
            <w:pPr>
              <w:adjustRightInd/>
              <w:spacing w:line="288" w:lineRule="auto"/>
              <w:rPr>
                <w:rFonts w:ascii="宋体" w:hAnsi="宋体" w:cs="宋体"/>
                <w:color w:val="auto"/>
                <w:sz w:val="24"/>
              </w:rPr>
            </w:pPr>
            <w:r>
              <w:rPr>
                <w:rFonts w:hint="eastAsia" w:ascii="宋体" w:hAnsi="宋体" w:cs="宋体"/>
                <w:color w:val="auto"/>
                <w:sz w:val="24"/>
              </w:rPr>
              <w:t>6）正常情况下大数据检索平台查询响应时间不超过5秒：简单字段查询响应时间不超过500毫秒，复杂字段查询响应时间不超过为5秒。</w:t>
            </w:r>
          </w:p>
        </w:tc>
      </w:tr>
      <w:tr w14:paraId="4EA7A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vAlign w:val="center"/>
          </w:tcPr>
          <w:p w14:paraId="5075B4D8">
            <w:pPr>
              <w:adjustRightInd/>
              <w:spacing w:line="288" w:lineRule="auto"/>
              <w:rPr>
                <w:rFonts w:ascii="宋体" w:hAnsi="宋体" w:cs="宋体"/>
                <w:color w:val="auto"/>
                <w:sz w:val="24"/>
              </w:rPr>
            </w:pPr>
            <w:r>
              <w:rPr>
                <w:rFonts w:hint="eastAsia" w:ascii="宋体" w:hAnsi="宋体" w:cs="宋体"/>
                <w:color w:val="auto"/>
                <w:sz w:val="24"/>
              </w:rPr>
              <w:t>7）软件满足信创要求，通过等级保护二级备案及测评。</w:t>
            </w:r>
          </w:p>
        </w:tc>
      </w:tr>
    </w:tbl>
    <w:p w14:paraId="0FFECA8C">
      <w:pPr>
        <w:adjustRightInd/>
        <w:spacing w:line="360" w:lineRule="auto"/>
        <w:rPr>
          <w:rFonts w:ascii="宋体" w:hAnsi="宋体" w:cs="宋体"/>
          <w:b/>
          <w:color w:val="auto"/>
          <w:sz w:val="24"/>
        </w:rPr>
      </w:pPr>
    </w:p>
    <w:p w14:paraId="3CAD0998">
      <w:pPr>
        <w:adjustRightInd/>
        <w:spacing w:line="360" w:lineRule="auto"/>
        <w:rPr>
          <w:rFonts w:ascii="宋体" w:hAnsi="宋体" w:cs="宋体"/>
          <w:b/>
          <w:color w:val="auto"/>
          <w:sz w:val="24"/>
        </w:rPr>
      </w:pPr>
    </w:p>
    <w:p w14:paraId="5555D08D">
      <w:pPr>
        <w:adjustRightInd/>
        <w:spacing w:line="360" w:lineRule="auto"/>
        <w:rPr>
          <w:rFonts w:ascii="宋体" w:hAnsi="宋体" w:cs="宋体"/>
          <w:b/>
          <w:color w:val="auto"/>
          <w:sz w:val="24"/>
        </w:rPr>
      </w:pPr>
    </w:p>
    <w:p w14:paraId="582EA43D">
      <w:pPr>
        <w:adjustRightInd/>
        <w:spacing w:line="360" w:lineRule="auto"/>
        <w:rPr>
          <w:rFonts w:ascii="宋体" w:hAnsi="宋体" w:cs="宋体"/>
          <w:b/>
          <w:color w:val="auto"/>
          <w:sz w:val="24"/>
        </w:rPr>
      </w:pPr>
    </w:p>
    <w:p w14:paraId="105F8B09">
      <w:pPr>
        <w:adjustRightInd/>
        <w:spacing w:line="360" w:lineRule="auto"/>
        <w:rPr>
          <w:rFonts w:ascii="宋体" w:hAnsi="宋体" w:cs="宋体"/>
          <w:b/>
          <w:color w:val="auto"/>
          <w:sz w:val="24"/>
        </w:rPr>
      </w:pPr>
    </w:p>
    <w:p w14:paraId="3C6587B3">
      <w:pPr>
        <w:adjustRightInd/>
        <w:spacing w:line="360" w:lineRule="auto"/>
        <w:rPr>
          <w:rFonts w:ascii="宋体" w:hAnsi="宋体" w:cs="宋体"/>
          <w:b/>
          <w:color w:val="auto"/>
          <w:sz w:val="24"/>
        </w:rPr>
      </w:pPr>
    </w:p>
    <w:p w14:paraId="1E13B70B">
      <w:pPr>
        <w:adjustRightInd/>
        <w:spacing w:line="360" w:lineRule="auto"/>
        <w:rPr>
          <w:rFonts w:ascii="宋体" w:hAnsi="宋体" w:cs="宋体"/>
          <w:b/>
          <w:color w:val="auto"/>
          <w:sz w:val="24"/>
        </w:rPr>
      </w:pPr>
    </w:p>
    <w:p w14:paraId="7561F2BD">
      <w:pPr>
        <w:adjustRightInd/>
        <w:spacing w:line="360" w:lineRule="auto"/>
        <w:rPr>
          <w:rFonts w:ascii="宋体" w:hAnsi="宋体" w:cs="宋体"/>
          <w:b/>
          <w:color w:val="auto"/>
          <w:sz w:val="24"/>
        </w:rPr>
      </w:pPr>
    </w:p>
    <w:p w14:paraId="49AA4362">
      <w:pPr>
        <w:adjustRightInd/>
        <w:spacing w:line="360" w:lineRule="auto"/>
        <w:rPr>
          <w:rFonts w:ascii="宋体" w:hAnsi="宋体" w:cs="宋体"/>
          <w:b/>
          <w:color w:val="auto"/>
          <w:sz w:val="24"/>
        </w:rPr>
      </w:pPr>
    </w:p>
    <w:p w14:paraId="23E7D0DC">
      <w:pPr>
        <w:adjustRightInd/>
        <w:spacing w:line="360" w:lineRule="auto"/>
        <w:rPr>
          <w:rFonts w:ascii="宋体" w:hAnsi="宋体" w:cs="宋体"/>
          <w:b/>
          <w:color w:val="auto"/>
          <w:sz w:val="24"/>
        </w:rPr>
      </w:pPr>
    </w:p>
    <w:p w14:paraId="0F443BA0">
      <w:pPr>
        <w:adjustRightInd/>
        <w:spacing w:line="360" w:lineRule="auto"/>
        <w:rPr>
          <w:rFonts w:ascii="宋体" w:hAnsi="宋体" w:cs="宋体"/>
          <w:b/>
          <w:color w:val="auto"/>
          <w:sz w:val="24"/>
        </w:rPr>
      </w:pPr>
    </w:p>
    <w:p w14:paraId="47B02957">
      <w:pPr>
        <w:adjustRightInd/>
        <w:spacing w:line="360" w:lineRule="auto"/>
        <w:rPr>
          <w:rFonts w:ascii="宋体" w:hAnsi="宋体" w:cs="宋体"/>
          <w:b/>
          <w:color w:val="auto"/>
          <w:sz w:val="24"/>
        </w:rPr>
      </w:pPr>
    </w:p>
    <w:p w14:paraId="4C2EBBA2">
      <w:pPr>
        <w:adjustRightInd/>
        <w:spacing w:line="360" w:lineRule="auto"/>
        <w:rPr>
          <w:rFonts w:ascii="宋体" w:hAnsi="宋体" w:cs="宋体"/>
          <w:b/>
          <w:color w:val="auto"/>
          <w:sz w:val="24"/>
        </w:rPr>
      </w:pPr>
    </w:p>
    <w:p w14:paraId="37E10534">
      <w:pPr>
        <w:adjustRightInd/>
        <w:spacing w:line="360" w:lineRule="auto"/>
        <w:rPr>
          <w:rFonts w:ascii="宋体" w:hAnsi="宋体" w:cs="宋体"/>
          <w:b/>
          <w:color w:val="auto"/>
          <w:sz w:val="24"/>
        </w:rPr>
      </w:pPr>
    </w:p>
    <w:p w14:paraId="4E915D14">
      <w:pPr>
        <w:adjustRightInd/>
        <w:spacing w:line="360" w:lineRule="auto"/>
        <w:rPr>
          <w:rFonts w:ascii="宋体" w:hAnsi="宋体" w:cs="宋体"/>
          <w:b/>
          <w:color w:val="auto"/>
          <w:sz w:val="24"/>
        </w:rPr>
      </w:pPr>
    </w:p>
    <w:p w14:paraId="39ACA328">
      <w:pPr>
        <w:adjustRightInd/>
        <w:spacing w:line="360" w:lineRule="auto"/>
        <w:rPr>
          <w:rFonts w:ascii="宋体" w:hAnsi="宋体" w:cs="宋体"/>
          <w:b/>
          <w:color w:val="auto"/>
          <w:sz w:val="24"/>
        </w:rPr>
      </w:pPr>
    </w:p>
    <w:p w14:paraId="2EFBF5AC">
      <w:pPr>
        <w:adjustRightInd/>
        <w:spacing w:line="360" w:lineRule="auto"/>
        <w:rPr>
          <w:rFonts w:ascii="宋体" w:hAnsi="宋体" w:cs="宋体"/>
          <w:b/>
          <w:color w:val="auto"/>
          <w:sz w:val="24"/>
        </w:rPr>
      </w:pPr>
    </w:p>
    <w:p w14:paraId="130C8D8C">
      <w:pPr>
        <w:adjustRightInd/>
        <w:spacing w:line="360" w:lineRule="auto"/>
        <w:rPr>
          <w:rFonts w:ascii="宋体" w:hAnsi="宋体" w:cs="宋体"/>
          <w:b/>
          <w:color w:val="auto"/>
          <w:sz w:val="24"/>
        </w:rPr>
      </w:pPr>
    </w:p>
    <w:p w14:paraId="639EE0F7">
      <w:pPr>
        <w:adjustRightInd/>
        <w:spacing w:line="360" w:lineRule="auto"/>
        <w:rPr>
          <w:rFonts w:ascii="宋体" w:hAnsi="宋体" w:cs="宋体"/>
          <w:b/>
          <w:color w:val="auto"/>
          <w:sz w:val="24"/>
        </w:rPr>
      </w:pPr>
    </w:p>
    <w:p w14:paraId="61294AE8">
      <w:pPr>
        <w:adjustRightInd/>
        <w:spacing w:line="360" w:lineRule="auto"/>
        <w:rPr>
          <w:rFonts w:ascii="宋体" w:hAnsi="宋体" w:cs="宋体"/>
          <w:b/>
          <w:color w:val="auto"/>
          <w:sz w:val="24"/>
        </w:rPr>
      </w:pPr>
      <w:r>
        <w:rPr>
          <w:rFonts w:hint="eastAsia" w:ascii="宋体" w:hAnsi="宋体" w:cs="宋体"/>
          <w:b/>
          <w:color w:val="auto"/>
          <w:sz w:val="24"/>
        </w:rPr>
        <w:t>（2）全病种平台：</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
        <w:gridCol w:w="1263"/>
        <w:gridCol w:w="7038"/>
      </w:tblGrid>
      <w:tr w14:paraId="14284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30" w:type="pct"/>
            <w:vAlign w:val="center"/>
          </w:tcPr>
          <w:p w14:paraId="082B84B2">
            <w:pPr>
              <w:pStyle w:val="968"/>
              <w:widowControl w:val="0"/>
              <w:spacing w:line="288" w:lineRule="auto"/>
              <w:ind w:firstLine="0" w:firstLineChars="0"/>
              <w:jc w:val="center"/>
              <w:rPr>
                <w:rFonts w:cs="宋体"/>
                <w:color w:val="auto"/>
                <w:szCs w:val="24"/>
              </w:rPr>
            </w:pPr>
            <w:r>
              <w:rPr>
                <w:rFonts w:hint="eastAsia" w:cs="宋体"/>
                <w:color w:val="auto"/>
                <w:szCs w:val="24"/>
              </w:rPr>
              <w:t>系统</w:t>
            </w:r>
          </w:p>
          <w:p w14:paraId="088E4F0C">
            <w:pPr>
              <w:pStyle w:val="968"/>
              <w:widowControl w:val="0"/>
              <w:spacing w:line="288" w:lineRule="auto"/>
              <w:ind w:firstLine="0" w:firstLineChars="0"/>
              <w:jc w:val="center"/>
              <w:rPr>
                <w:rFonts w:cs="宋体"/>
                <w:color w:val="auto"/>
                <w:szCs w:val="24"/>
              </w:rPr>
            </w:pPr>
            <w:r>
              <w:rPr>
                <w:rFonts w:hint="eastAsia" w:cs="宋体"/>
                <w:color w:val="auto"/>
                <w:szCs w:val="24"/>
              </w:rPr>
              <w:t>名称</w:t>
            </w:r>
          </w:p>
        </w:tc>
        <w:tc>
          <w:tcPr>
            <w:tcW w:w="680" w:type="pct"/>
            <w:vAlign w:val="center"/>
          </w:tcPr>
          <w:p w14:paraId="567B438B">
            <w:pPr>
              <w:pStyle w:val="968"/>
              <w:widowControl w:val="0"/>
              <w:spacing w:line="288" w:lineRule="auto"/>
              <w:ind w:firstLine="0" w:firstLineChars="0"/>
              <w:jc w:val="center"/>
              <w:rPr>
                <w:rFonts w:cs="宋体"/>
                <w:color w:val="auto"/>
                <w:szCs w:val="24"/>
              </w:rPr>
            </w:pPr>
            <w:r>
              <w:rPr>
                <w:rFonts w:hint="eastAsia" w:cs="宋体"/>
                <w:color w:val="auto"/>
                <w:szCs w:val="24"/>
              </w:rPr>
              <w:t>功能</w:t>
            </w:r>
          </w:p>
          <w:p w14:paraId="51DB1093">
            <w:pPr>
              <w:pStyle w:val="968"/>
              <w:widowControl w:val="0"/>
              <w:spacing w:line="288" w:lineRule="auto"/>
              <w:ind w:firstLine="0" w:firstLineChars="0"/>
              <w:jc w:val="center"/>
              <w:rPr>
                <w:rFonts w:cs="宋体"/>
                <w:color w:val="auto"/>
                <w:szCs w:val="24"/>
              </w:rPr>
            </w:pPr>
            <w:r>
              <w:rPr>
                <w:rFonts w:hint="eastAsia" w:cs="宋体"/>
                <w:color w:val="auto"/>
                <w:szCs w:val="24"/>
              </w:rPr>
              <w:t>模块</w:t>
            </w:r>
          </w:p>
        </w:tc>
        <w:tc>
          <w:tcPr>
            <w:tcW w:w="3789" w:type="pct"/>
            <w:vAlign w:val="center"/>
          </w:tcPr>
          <w:p w14:paraId="5C17B284">
            <w:pPr>
              <w:pStyle w:val="968"/>
              <w:widowControl w:val="0"/>
              <w:spacing w:line="288" w:lineRule="auto"/>
              <w:ind w:firstLine="0" w:firstLineChars="0"/>
              <w:jc w:val="center"/>
              <w:rPr>
                <w:rFonts w:cs="宋体"/>
                <w:color w:val="auto"/>
                <w:szCs w:val="24"/>
              </w:rPr>
            </w:pPr>
            <w:r>
              <w:rPr>
                <w:rFonts w:hint="eastAsia" w:cs="宋体"/>
                <w:color w:val="auto"/>
                <w:szCs w:val="24"/>
              </w:rPr>
              <w:t>技术功能参数要求</w:t>
            </w:r>
          </w:p>
        </w:tc>
      </w:tr>
      <w:tr w14:paraId="1536C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vMerge w:val="restart"/>
            <w:vAlign w:val="center"/>
          </w:tcPr>
          <w:p w14:paraId="683884B1">
            <w:pPr>
              <w:pStyle w:val="968"/>
              <w:widowControl w:val="0"/>
              <w:spacing w:line="288" w:lineRule="auto"/>
              <w:ind w:firstLine="0" w:firstLineChars="0"/>
              <w:jc w:val="center"/>
              <w:rPr>
                <w:rFonts w:cs="宋体"/>
                <w:color w:val="auto"/>
                <w:szCs w:val="24"/>
              </w:rPr>
            </w:pPr>
            <w:r>
              <w:rPr>
                <w:rFonts w:hint="eastAsia" w:cs="宋体"/>
                <w:color w:val="auto"/>
                <w:szCs w:val="24"/>
              </w:rPr>
              <w:t>数据集成与治理</w:t>
            </w:r>
          </w:p>
        </w:tc>
        <w:tc>
          <w:tcPr>
            <w:tcW w:w="680" w:type="pct"/>
            <w:vAlign w:val="center"/>
          </w:tcPr>
          <w:p w14:paraId="5B477542">
            <w:pPr>
              <w:pStyle w:val="968"/>
              <w:widowControl w:val="0"/>
              <w:spacing w:line="288" w:lineRule="auto"/>
              <w:ind w:firstLine="0" w:firstLineChars="0"/>
              <w:jc w:val="center"/>
              <w:rPr>
                <w:rFonts w:cs="宋体"/>
                <w:color w:val="auto"/>
                <w:szCs w:val="24"/>
              </w:rPr>
            </w:pPr>
            <w:r>
              <w:rPr>
                <w:rFonts w:hint="eastAsia" w:cs="宋体"/>
                <w:color w:val="auto"/>
                <w:szCs w:val="24"/>
              </w:rPr>
              <w:t>系统基础组件</w:t>
            </w:r>
          </w:p>
        </w:tc>
        <w:tc>
          <w:tcPr>
            <w:tcW w:w="3789" w:type="pct"/>
          </w:tcPr>
          <w:p w14:paraId="5F6A4196">
            <w:pPr>
              <w:pStyle w:val="968"/>
              <w:widowControl w:val="0"/>
              <w:spacing w:line="288" w:lineRule="auto"/>
              <w:ind w:firstLine="0" w:firstLineChars="0"/>
              <w:jc w:val="both"/>
              <w:rPr>
                <w:rFonts w:cs="宋体"/>
                <w:color w:val="auto"/>
                <w:kern w:val="0"/>
                <w:szCs w:val="24"/>
              </w:rPr>
            </w:pPr>
            <w:r>
              <w:rPr>
                <w:rFonts w:hint="eastAsia" w:cs="宋体"/>
                <w:color w:val="auto"/>
                <w:kern w:val="0"/>
                <w:szCs w:val="24"/>
              </w:rPr>
              <w:t>1）需支持基于容器的微服务架构Kubernetes(k8s)等；</w:t>
            </w:r>
          </w:p>
          <w:p w14:paraId="0A6304D1">
            <w:pPr>
              <w:pStyle w:val="968"/>
              <w:widowControl w:val="0"/>
              <w:spacing w:line="288" w:lineRule="auto"/>
              <w:ind w:firstLine="0" w:firstLineChars="0"/>
              <w:jc w:val="both"/>
              <w:rPr>
                <w:rFonts w:cs="宋体"/>
                <w:color w:val="auto"/>
                <w:kern w:val="0"/>
                <w:szCs w:val="24"/>
              </w:rPr>
            </w:pPr>
            <w:r>
              <w:rPr>
                <w:rFonts w:hint="eastAsia" w:cs="宋体"/>
                <w:color w:val="auto"/>
                <w:kern w:val="0"/>
                <w:szCs w:val="24"/>
              </w:rPr>
              <w:t>2）需支持基于CDH的Hadoop集群，HDFS数据存储，MapReduce和Spark计算等，对海量数据进行分析；</w:t>
            </w:r>
          </w:p>
          <w:p w14:paraId="13BC79EE">
            <w:pPr>
              <w:pStyle w:val="968"/>
              <w:widowControl w:val="0"/>
              <w:spacing w:line="288" w:lineRule="auto"/>
              <w:ind w:firstLine="0" w:firstLineChars="0"/>
              <w:jc w:val="both"/>
              <w:rPr>
                <w:rFonts w:cs="宋体"/>
                <w:color w:val="auto"/>
                <w:kern w:val="0"/>
                <w:szCs w:val="24"/>
              </w:rPr>
            </w:pPr>
            <w:r>
              <w:rPr>
                <w:rFonts w:hint="eastAsia" w:cs="宋体"/>
                <w:color w:val="auto"/>
                <w:kern w:val="0"/>
                <w:szCs w:val="24"/>
              </w:rPr>
              <w:t>3）需支持Presto技术，对固定报表提供秒级别的查询响应；支持SparkStreaming和Flink，对海量大数据支持实时计算和处理；</w:t>
            </w:r>
          </w:p>
          <w:p w14:paraId="409E552F">
            <w:pPr>
              <w:pStyle w:val="968"/>
              <w:widowControl w:val="0"/>
              <w:spacing w:line="288" w:lineRule="auto"/>
              <w:ind w:firstLine="0" w:firstLineChars="0"/>
              <w:jc w:val="both"/>
              <w:rPr>
                <w:rFonts w:cs="宋体"/>
                <w:color w:val="auto"/>
                <w:kern w:val="0"/>
                <w:szCs w:val="24"/>
              </w:rPr>
            </w:pPr>
            <w:r>
              <w:rPr>
                <w:rFonts w:hint="eastAsia" w:cs="宋体"/>
                <w:color w:val="auto"/>
                <w:kern w:val="0"/>
                <w:szCs w:val="24"/>
              </w:rPr>
              <w:t>4）需支持基于Lucene的ElasticSearch等分布式搜索引擎技术，实现数据的快速查询及调阅，并可支持不同平台的应用。</w:t>
            </w:r>
          </w:p>
        </w:tc>
      </w:tr>
      <w:tr w14:paraId="3E577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vMerge w:val="continue"/>
            <w:vAlign w:val="center"/>
          </w:tcPr>
          <w:p w14:paraId="72AF4407">
            <w:pPr>
              <w:pStyle w:val="968"/>
              <w:widowControl w:val="0"/>
              <w:spacing w:line="288" w:lineRule="auto"/>
              <w:ind w:firstLine="0" w:firstLineChars="0"/>
              <w:jc w:val="center"/>
              <w:rPr>
                <w:rFonts w:cs="宋体"/>
                <w:color w:val="auto"/>
                <w:szCs w:val="24"/>
              </w:rPr>
            </w:pPr>
          </w:p>
        </w:tc>
        <w:tc>
          <w:tcPr>
            <w:tcW w:w="680" w:type="pct"/>
            <w:vAlign w:val="center"/>
          </w:tcPr>
          <w:p w14:paraId="48D1C05F">
            <w:pPr>
              <w:pStyle w:val="968"/>
              <w:widowControl w:val="0"/>
              <w:spacing w:line="288" w:lineRule="auto"/>
              <w:ind w:firstLine="0" w:firstLineChars="0"/>
              <w:jc w:val="center"/>
              <w:rPr>
                <w:rFonts w:cs="宋体"/>
                <w:color w:val="auto"/>
                <w:szCs w:val="24"/>
              </w:rPr>
            </w:pPr>
            <w:r>
              <w:rPr>
                <w:rFonts w:hint="eastAsia" w:cs="宋体"/>
                <w:color w:val="auto"/>
                <w:szCs w:val="24"/>
              </w:rPr>
              <w:t>数据</w:t>
            </w:r>
          </w:p>
          <w:p w14:paraId="31CDD1DB">
            <w:pPr>
              <w:pStyle w:val="968"/>
              <w:widowControl w:val="0"/>
              <w:spacing w:line="288" w:lineRule="auto"/>
              <w:ind w:firstLine="0" w:firstLineChars="0"/>
              <w:jc w:val="center"/>
              <w:rPr>
                <w:rFonts w:cs="宋体"/>
                <w:color w:val="auto"/>
                <w:kern w:val="0"/>
                <w:szCs w:val="24"/>
                <w:lang w:bidi="ar"/>
              </w:rPr>
            </w:pPr>
            <w:r>
              <w:rPr>
                <w:rFonts w:hint="eastAsia" w:cs="宋体"/>
                <w:color w:val="auto"/>
                <w:szCs w:val="24"/>
              </w:rPr>
              <w:t>集成</w:t>
            </w:r>
          </w:p>
        </w:tc>
        <w:tc>
          <w:tcPr>
            <w:tcW w:w="3789" w:type="pct"/>
          </w:tcPr>
          <w:p w14:paraId="3FF89421">
            <w:pPr>
              <w:pStyle w:val="968"/>
              <w:widowControl w:val="0"/>
              <w:spacing w:line="288" w:lineRule="auto"/>
              <w:ind w:firstLine="0" w:firstLineChars="0"/>
              <w:jc w:val="both"/>
              <w:rPr>
                <w:rFonts w:cs="宋体"/>
                <w:color w:val="auto"/>
                <w:kern w:val="0"/>
                <w:szCs w:val="24"/>
              </w:rPr>
            </w:pPr>
            <w:r>
              <w:rPr>
                <w:rFonts w:hint="eastAsia" w:cs="宋体"/>
                <w:color w:val="auto"/>
                <w:kern w:val="0"/>
                <w:szCs w:val="24"/>
              </w:rPr>
              <w:t>需支持通过数据库同步技术和ETL等技术，对数据进行抽取、同步、汇集，实现针对医院多源异构数据的采集和汇聚。支持在不进行任何接口改造，不影响现有生产系统的情况下，平台即可整合的系统，包括但不限于HIS、EMR、LIS、RIS、PACS、病案、病理、检验、心电、超声、手术麻醉、随访等业务系统进行体系化治理，形成全院标准数据域，形成一个标准化、规范化和一体化的全院科研数据中心，实现对既往院内各系统患者数据的访问、筛选、提取患者既往诊疗相关数据，支持历史数据沉淀和复用。</w:t>
            </w:r>
          </w:p>
        </w:tc>
      </w:tr>
      <w:tr w14:paraId="7451C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vMerge w:val="continue"/>
            <w:vAlign w:val="center"/>
          </w:tcPr>
          <w:p w14:paraId="3CF3EF31">
            <w:pPr>
              <w:pStyle w:val="968"/>
              <w:widowControl w:val="0"/>
              <w:spacing w:line="288" w:lineRule="auto"/>
              <w:ind w:firstLine="0" w:firstLineChars="0"/>
              <w:jc w:val="center"/>
              <w:rPr>
                <w:rFonts w:cs="宋体"/>
                <w:color w:val="auto"/>
                <w:szCs w:val="24"/>
              </w:rPr>
            </w:pPr>
          </w:p>
        </w:tc>
        <w:tc>
          <w:tcPr>
            <w:tcW w:w="680" w:type="pct"/>
            <w:vAlign w:val="center"/>
          </w:tcPr>
          <w:p w14:paraId="752C0A08">
            <w:pPr>
              <w:pStyle w:val="968"/>
              <w:widowControl w:val="0"/>
              <w:spacing w:line="288" w:lineRule="auto"/>
              <w:ind w:firstLine="0" w:firstLineChars="0"/>
              <w:jc w:val="center"/>
              <w:rPr>
                <w:rFonts w:cs="宋体"/>
                <w:color w:val="auto"/>
                <w:szCs w:val="24"/>
              </w:rPr>
            </w:pPr>
            <w:r>
              <w:rPr>
                <w:rFonts w:hint="eastAsia" w:cs="宋体"/>
                <w:color w:val="auto"/>
                <w:szCs w:val="24"/>
              </w:rPr>
              <w:t>数据</w:t>
            </w:r>
          </w:p>
          <w:p w14:paraId="3589CFF1">
            <w:pPr>
              <w:pStyle w:val="968"/>
              <w:widowControl w:val="0"/>
              <w:spacing w:line="288" w:lineRule="auto"/>
              <w:ind w:firstLine="0" w:firstLineChars="0"/>
              <w:jc w:val="center"/>
              <w:rPr>
                <w:rFonts w:cs="宋体"/>
                <w:color w:val="auto"/>
                <w:szCs w:val="24"/>
              </w:rPr>
            </w:pPr>
            <w:r>
              <w:rPr>
                <w:rFonts w:hint="eastAsia" w:cs="宋体"/>
                <w:color w:val="auto"/>
                <w:szCs w:val="24"/>
              </w:rPr>
              <w:t>清洗</w:t>
            </w:r>
          </w:p>
        </w:tc>
        <w:tc>
          <w:tcPr>
            <w:tcW w:w="3789" w:type="pct"/>
          </w:tcPr>
          <w:p w14:paraId="02FB0DEC">
            <w:pPr>
              <w:pStyle w:val="968"/>
              <w:widowControl w:val="0"/>
              <w:spacing w:line="288" w:lineRule="auto"/>
              <w:ind w:firstLine="0" w:firstLineChars="0"/>
              <w:jc w:val="both"/>
              <w:rPr>
                <w:rFonts w:cs="宋体"/>
                <w:color w:val="auto"/>
                <w:kern w:val="0"/>
                <w:szCs w:val="24"/>
              </w:rPr>
            </w:pPr>
            <w:r>
              <w:rPr>
                <w:rFonts w:hint="eastAsia" w:cs="宋体"/>
                <w:color w:val="auto"/>
                <w:kern w:val="0"/>
                <w:szCs w:val="24"/>
              </w:rPr>
              <w:t>需支持对采集汇聚的数据进行清洗加工处理，包括制定数据清洗流程、清洗流程控制、清洗质量控制、清洗过程管理等。支持通过规范流程和规则库，基于流程引擎构建统一的、可配置的数据转换、清洗、比对、关联、融合等加工处理过程，对异构异源海量离散的数据资源加工生产，生成易于分析利用的、可共享的数据。</w:t>
            </w:r>
          </w:p>
        </w:tc>
      </w:tr>
      <w:tr w14:paraId="6EBCC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vMerge w:val="continue"/>
            <w:vAlign w:val="center"/>
          </w:tcPr>
          <w:p w14:paraId="7F6B7AF0">
            <w:pPr>
              <w:pStyle w:val="968"/>
              <w:widowControl w:val="0"/>
              <w:spacing w:line="288" w:lineRule="auto"/>
              <w:ind w:firstLine="0" w:firstLineChars="0"/>
              <w:jc w:val="center"/>
              <w:rPr>
                <w:rFonts w:cs="宋体"/>
                <w:color w:val="auto"/>
                <w:szCs w:val="24"/>
              </w:rPr>
            </w:pPr>
          </w:p>
        </w:tc>
        <w:tc>
          <w:tcPr>
            <w:tcW w:w="680" w:type="pct"/>
            <w:vAlign w:val="center"/>
          </w:tcPr>
          <w:p w14:paraId="59583981">
            <w:pPr>
              <w:pStyle w:val="968"/>
              <w:widowControl w:val="0"/>
              <w:spacing w:line="288" w:lineRule="auto"/>
              <w:ind w:firstLine="0" w:firstLineChars="0"/>
              <w:jc w:val="center"/>
              <w:rPr>
                <w:rFonts w:cs="宋体"/>
                <w:color w:val="auto"/>
                <w:szCs w:val="24"/>
              </w:rPr>
            </w:pPr>
            <w:r>
              <w:rPr>
                <w:rFonts w:hint="eastAsia" w:cs="宋体"/>
                <w:color w:val="auto"/>
                <w:szCs w:val="24"/>
              </w:rPr>
              <w:t>患者主索引建设</w:t>
            </w:r>
          </w:p>
        </w:tc>
        <w:tc>
          <w:tcPr>
            <w:tcW w:w="3789" w:type="pct"/>
          </w:tcPr>
          <w:p w14:paraId="28A2EE7E">
            <w:pPr>
              <w:pStyle w:val="969"/>
              <w:spacing w:line="288" w:lineRule="auto"/>
              <w:ind w:firstLine="0"/>
              <w:rPr>
                <w:rFonts w:cs="宋体"/>
                <w:color w:val="auto"/>
                <w:sz w:val="24"/>
                <w:szCs w:val="24"/>
              </w:rPr>
            </w:pPr>
            <w:r>
              <w:rPr>
                <w:rFonts w:hint="eastAsia" w:cs="宋体"/>
                <w:color w:val="auto"/>
                <w:sz w:val="24"/>
                <w:szCs w:val="24"/>
              </w:rPr>
              <w:t>1）</w:t>
            </w:r>
            <w:r>
              <w:rPr>
                <w:rFonts w:hint="eastAsia" w:cs="宋体"/>
                <w:color w:val="auto"/>
                <w:kern w:val="0"/>
                <w:sz w:val="24"/>
                <w:szCs w:val="24"/>
              </w:rPr>
              <w:t>需支持通过患者主索引（EMPI）建设，将来自多个不同的系统中的病人标识统一成一个，实现对同一病人仅有一个标识对应，同一病人的信息也归并在同一个标识之下，解决多系统中识别患者身份的问题</w:t>
            </w:r>
            <w:r>
              <w:rPr>
                <w:rFonts w:hint="eastAsia" w:cs="宋体"/>
                <w:color w:val="auto"/>
                <w:sz w:val="24"/>
                <w:szCs w:val="24"/>
              </w:rPr>
              <w:t>。</w:t>
            </w:r>
          </w:p>
          <w:p w14:paraId="0DA42F71">
            <w:pPr>
              <w:pStyle w:val="969"/>
              <w:spacing w:line="288" w:lineRule="auto"/>
              <w:ind w:firstLine="0"/>
              <w:rPr>
                <w:rFonts w:cs="宋体"/>
                <w:color w:val="auto"/>
                <w:kern w:val="0"/>
                <w:sz w:val="24"/>
                <w:szCs w:val="24"/>
              </w:rPr>
            </w:pPr>
            <w:r>
              <w:rPr>
                <w:rFonts w:hint="eastAsia" w:cs="宋体"/>
                <w:color w:val="auto"/>
                <w:sz w:val="24"/>
                <w:szCs w:val="24"/>
              </w:rPr>
              <w:t>2）</w:t>
            </w:r>
            <w:r>
              <w:rPr>
                <w:rFonts w:hint="eastAsia" w:cs="宋体"/>
                <w:color w:val="auto"/>
                <w:kern w:val="0"/>
                <w:sz w:val="24"/>
                <w:szCs w:val="24"/>
              </w:rPr>
              <w:t>需支持对全局患者信息库中数据按匹配算法进行清洗合并，建立患者信息唯一索引与各注册系统的数据建立关联。使各系统能够通过患者全局数据库中的唯一ID，进行跨系统信息检索与共享。要求整合患者在诊疗期间所有的诊疗信息，为医生在诊断时提供综合的决策信息支持，同时为健康专题分析提供病历筛选和数据分析的模型支持</w:t>
            </w:r>
            <w:r>
              <w:rPr>
                <w:rFonts w:hint="eastAsia" w:cs="宋体"/>
                <w:color w:val="auto"/>
                <w:sz w:val="24"/>
                <w:szCs w:val="24"/>
              </w:rPr>
              <w:t>。</w:t>
            </w:r>
          </w:p>
        </w:tc>
      </w:tr>
      <w:tr w14:paraId="5A62A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0" w:type="pct"/>
            <w:vMerge w:val="continue"/>
            <w:vAlign w:val="center"/>
          </w:tcPr>
          <w:p w14:paraId="5B896B50">
            <w:pPr>
              <w:pStyle w:val="968"/>
              <w:widowControl w:val="0"/>
              <w:spacing w:line="288" w:lineRule="auto"/>
              <w:ind w:firstLine="0" w:firstLineChars="0"/>
              <w:jc w:val="center"/>
              <w:rPr>
                <w:rFonts w:cs="宋体"/>
                <w:color w:val="auto"/>
                <w:szCs w:val="24"/>
              </w:rPr>
            </w:pPr>
          </w:p>
        </w:tc>
        <w:tc>
          <w:tcPr>
            <w:tcW w:w="680" w:type="pct"/>
            <w:vAlign w:val="center"/>
          </w:tcPr>
          <w:p w14:paraId="41E6C5C9">
            <w:pPr>
              <w:pStyle w:val="968"/>
              <w:widowControl w:val="0"/>
              <w:spacing w:line="288" w:lineRule="auto"/>
              <w:ind w:firstLine="0" w:firstLineChars="0"/>
              <w:jc w:val="center"/>
              <w:rPr>
                <w:rFonts w:cs="宋体"/>
                <w:color w:val="auto"/>
                <w:szCs w:val="24"/>
              </w:rPr>
            </w:pPr>
            <w:r>
              <w:rPr>
                <w:rFonts w:hint="eastAsia" w:cs="宋体"/>
                <w:color w:val="auto"/>
                <w:szCs w:val="24"/>
              </w:rPr>
              <w:t>数据脱敏和加密</w:t>
            </w:r>
          </w:p>
        </w:tc>
        <w:tc>
          <w:tcPr>
            <w:tcW w:w="3789" w:type="pct"/>
          </w:tcPr>
          <w:p w14:paraId="4D3E952C">
            <w:pPr>
              <w:pStyle w:val="970"/>
              <w:spacing w:line="288" w:lineRule="auto"/>
              <w:ind w:firstLine="0" w:firstLineChars="0"/>
              <w:rPr>
                <w:rFonts w:cs="宋体"/>
                <w:color w:val="auto"/>
                <w:sz w:val="24"/>
                <w:lang w:val="en-US"/>
              </w:rPr>
            </w:pPr>
            <w:r>
              <w:rPr>
                <w:rFonts w:hint="eastAsia" w:cs="宋体"/>
                <w:color w:val="auto"/>
                <w:sz w:val="24"/>
                <w:lang w:val="en-US"/>
              </w:rPr>
              <w:t>1）</w:t>
            </w:r>
            <w:r>
              <w:rPr>
                <w:rFonts w:hint="eastAsia" w:cs="宋体"/>
                <w:color w:val="auto"/>
                <w:kern w:val="0"/>
                <w:sz w:val="24"/>
                <w:lang w:val="en-US"/>
              </w:rPr>
              <w:t>需要对患者个人信息中的敏感信息（如：患者姓名、身份证号、电话、地址等）通过脱敏或加密规则进行数据的变形，实现敏感隐私数据的可靠保护，同时依然保持其它数据的格式和属性，保证其可识别性和可用性</w:t>
            </w:r>
            <w:r>
              <w:rPr>
                <w:rFonts w:hint="eastAsia" w:cs="宋体"/>
                <w:color w:val="auto"/>
                <w:sz w:val="24"/>
                <w:lang w:val="en-US"/>
              </w:rPr>
              <w:t>。</w:t>
            </w:r>
          </w:p>
          <w:p w14:paraId="74ED9B10">
            <w:pPr>
              <w:pStyle w:val="970"/>
              <w:spacing w:line="288" w:lineRule="auto"/>
              <w:ind w:firstLine="0" w:firstLineChars="0"/>
              <w:rPr>
                <w:rFonts w:cs="宋体"/>
                <w:color w:val="auto"/>
                <w:kern w:val="0"/>
                <w:sz w:val="24"/>
              </w:rPr>
            </w:pPr>
            <w:r>
              <w:rPr>
                <w:rFonts w:hint="eastAsia" w:cs="宋体"/>
                <w:color w:val="auto"/>
                <w:sz w:val="24"/>
                <w:lang w:val="en-US"/>
              </w:rPr>
              <w:t>2）</w:t>
            </w:r>
            <w:r>
              <w:rPr>
                <w:rFonts w:hint="eastAsia" w:cs="宋体"/>
                <w:color w:val="auto"/>
                <w:kern w:val="0"/>
                <w:sz w:val="24"/>
                <w:lang w:val="en-US"/>
              </w:rPr>
              <w:t>需支持参考国际通用的HIPAA法案对18类敏感数据脱敏，比如姓名、电话号码等，采用可逆和不可逆算法</w:t>
            </w:r>
            <w:r>
              <w:rPr>
                <w:rFonts w:hint="eastAsia" w:cs="宋体"/>
                <w:color w:val="auto"/>
                <w:sz w:val="24"/>
                <w:lang w:val="en-US"/>
              </w:rPr>
              <w:t>。</w:t>
            </w:r>
          </w:p>
        </w:tc>
      </w:tr>
      <w:tr w14:paraId="6CDB5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vMerge w:val="restart"/>
            <w:vAlign w:val="center"/>
          </w:tcPr>
          <w:p w14:paraId="16711B85">
            <w:pPr>
              <w:pStyle w:val="968"/>
              <w:widowControl w:val="0"/>
              <w:spacing w:line="288" w:lineRule="auto"/>
              <w:ind w:firstLine="0" w:firstLineChars="0"/>
              <w:jc w:val="center"/>
              <w:rPr>
                <w:rFonts w:cs="宋体"/>
                <w:color w:val="auto"/>
                <w:szCs w:val="24"/>
              </w:rPr>
            </w:pPr>
            <w:r>
              <w:rPr>
                <w:rFonts w:hint="eastAsia" w:cs="宋体"/>
                <w:color w:val="auto"/>
                <w:szCs w:val="24"/>
              </w:rPr>
              <w:t>数据结构化与标准化</w:t>
            </w:r>
          </w:p>
        </w:tc>
        <w:tc>
          <w:tcPr>
            <w:tcW w:w="680" w:type="pct"/>
            <w:vAlign w:val="center"/>
          </w:tcPr>
          <w:p w14:paraId="0C396807">
            <w:pPr>
              <w:pStyle w:val="968"/>
              <w:widowControl w:val="0"/>
              <w:spacing w:line="288" w:lineRule="auto"/>
              <w:ind w:firstLine="0" w:firstLineChars="0"/>
              <w:jc w:val="center"/>
              <w:rPr>
                <w:rFonts w:cs="宋体"/>
                <w:color w:val="auto"/>
                <w:szCs w:val="24"/>
              </w:rPr>
            </w:pPr>
            <w:r>
              <w:rPr>
                <w:rFonts w:hint="eastAsia" w:cs="宋体"/>
                <w:color w:val="auto"/>
                <w:szCs w:val="24"/>
              </w:rPr>
              <w:t>数据</w:t>
            </w:r>
          </w:p>
          <w:p w14:paraId="11589C8D">
            <w:pPr>
              <w:pStyle w:val="968"/>
              <w:widowControl w:val="0"/>
              <w:spacing w:line="288" w:lineRule="auto"/>
              <w:ind w:firstLine="0" w:firstLineChars="0"/>
              <w:jc w:val="center"/>
              <w:rPr>
                <w:rFonts w:cs="宋体"/>
                <w:color w:val="auto"/>
                <w:szCs w:val="24"/>
              </w:rPr>
            </w:pPr>
            <w:r>
              <w:rPr>
                <w:rFonts w:hint="eastAsia" w:cs="宋体"/>
                <w:color w:val="auto"/>
                <w:szCs w:val="24"/>
              </w:rPr>
              <w:t>结构化</w:t>
            </w:r>
          </w:p>
        </w:tc>
        <w:tc>
          <w:tcPr>
            <w:tcW w:w="3789" w:type="pct"/>
          </w:tcPr>
          <w:p w14:paraId="0F7A960E">
            <w:pPr>
              <w:pStyle w:val="968"/>
              <w:widowControl w:val="0"/>
              <w:spacing w:line="288" w:lineRule="auto"/>
              <w:ind w:firstLine="0" w:firstLineChars="0"/>
              <w:jc w:val="both"/>
              <w:rPr>
                <w:rFonts w:cs="宋体"/>
                <w:color w:val="auto"/>
                <w:kern w:val="0"/>
                <w:szCs w:val="24"/>
              </w:rPr>
            </w:pPr>
            <w:r>
              <w:rPr>
                <w:rFonts w:hint="eastAsia" w:cs="宋体"/>
                <w:color w:val="auto"/>
                <w:kern w:val="0"/>
                <w:szCs w:val="24"/>
              </w:rPr>
              <w:t>需支持应用自然语言处理引擎结合NLP技术、医学术语库、医学知识图谱、深度学习技术等前沿技术，对临床自由文本数据进行语义解析与后结构化处理，需要包含人口学信息、重点疾病确诊信息、疾病相关因素信息、就诊症状与诊断信息、实验室检验信息、病理、手术、化疗、医嘱用药模块。</w:t>
            </w:r>
          </w:p>
        </w:tc>
      </w:tr>
      <w:tr w14:paraId="4512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vMerge w:val="continue"/>
            <w:vAlign w:val="center"/>
          </w:tcPr>
          <w:p w14:paraId="36F8A342">
            <w:pPr>
              <w:pStyle w:val="968"/>
              <w:widowControl w:val="0"/>
              <w:spacing w:line="288" w:lineRule="auto"/>
              <w:ind w:firstLine="0" w:firstLineChars="0"/>
              <w:jc w:val="center"/>
              <w:rPr>
                <w:rFonts w:cs="宋体"/>
                <w:color w:val="auto"/>
                <w:szCs w:val="24"/>
              </w:rPr>
            </w:pPr>
          </w:p>
        </w:tc>
        <w:tc>
          <w:tcPr>
            <w:tcW w:w="680" w:type="pct"/>
            <w:vAlign w:val="center"/>
          </w:tcPr>
          <w:p w14:paraId="7B9BE108">
            <w:pPr>
              <w:pStyle w:val="968"/>
              <w:widowControl w:val="0"/>
              <w:spacing w:line="288" w:lineRule="auto"/>
              <w:ind w:firstLine="0" w:firstLineChars="0"/>
              <w:jc w:val="center"/>
              <w:rPr>
                <w:rFonts w:cs="宋体"/>
                <w:color w:val="auto"/>
                <w:szCs w:val="24"/>
              </w:rPr>
            </w:pPr>
            <w:r>
              <w:rPr>
                <w:rFonts w:hint="eastAsia" w:cs="宋体"/>
                <w:color w:val="auto"/>
                <w:szCs w:val="24"/>
              </w:rPr>
              <w:t>数据</w:t>
            </w:r>
          </w:p>
          <w:p w14:paraId="2614E9BE">
            <w:pPr>
              <w:pStyle w:val="968"/>
              <w:widowControl w:val="0"/>
              <w:spacing w:line="288" w:lineRule="auto"/>
              <w:ind w:firstLine="0" w:firstLineChars="0"/>
              <w:jc w:val="center"/>
              <w:rPr>
                <w:rFonts w:cs="宋体"/>
                <w:color w:val="auto"/>
                <w:szCs w:val="24"/>
              </w:rPr>
            </w:pPr>
            <w:r>
              <w:rPr>
                <w:rFonts w:hint="eastAsia" w:cs="宋体"/>
                <w:color w:val="auto"/>
                <w:szCs w:val="24"/>
              </w:rPr>
              <w:t>标准化</w:t>
            </w:r>
          </w:p>
        </w:tc>
        <w:tc>
          <w:tcPr>
            <w:tcW w:w="3789" w:type="pct"/>
          </w:tcPr>
          <w:p w14:paraId="0B57DEFD">
            <w:pPr>
              <w:pStyle w:val="968"/>
              <w:widowControl w:val="0"/>
              <w:spacing w:line="288" w:lineRule="auto"/>
              <w:ind w:firstLine="0" w:firstLineChars="0"/>
              <w:jc w:val="both"/>
              <w:rPr>
                <w:rFonts w:cs="宋体"/>
                <w:color w:val="auto"/>
                <w:kern w:val="0"/>
                <w:szCs w:val="24"/>
              </w:rPr>
            </w:pPr>
            <w:r>
              <w:rPr>
                <w:rFonts w:hint="eastAsia" w:cs="宋体"/>
                <w:color w:val="auto"/>
                <w:kern w:val="0"/>
                <w:szCs w:val="24"/>
              </w:rPr>
              <w:t>需支持基于国内、国际、医疗行业、国际疾病指南等标准，例如ICD11\ICD9、HL7CD、医学主题词表（MeSH），观测指标标识符逻辑命名与编码系统（LOINC）、药品词典规范-CFDA、ATC分类、国家卫计委医疗机构诊疗科目名录、国际性肿瘤数据库结构\肿瘤学国际诊治指南等，对采集数据进行数据标准化处理。</w:t>
            </w:r>
          </w:p>
        </w:tc>
      </w:tr>
      <w:tr w14:paraId="03B59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vMerge w:val="restart"/>
            <w:vAlign w:val="center"/>
          </w:tcPr>
          <w:p w14:paraId="6B75FEB1">
            <w:pPr>
              <w:pStyle w:val="968"/>
              <w:widowControl w:val="0"/>
              <w:spacing w:line="288" w:lineRule="auto"/>
              <w:ind w:firstLine="0" w:firstLineChars="0"/>
              <w:jc w:val="center"/>
              <w:rPr>
                <w:rFonts w:cs="宋体"/>
                <w:color w:val="auto"/>
                <w:szCs w:val="24"/>
              </w:rPr>
            </w:pPr>
            <w:r>
              <w:rPr>
                <w:rFonts w:hint="eastAsia" w:cs="宋体"/>
                <w:color w:val="auto"/>
                <w:szCs w:val="24"/>
              </w:rPr>
              <w:t>数据驾驶舱</w:t>
            </w:r>
          </w:p>
        </w:tc>
        <w:tc>
          <w:tcPr>
            <w:tcW w:w="680" w:type="pct"/>
            <w:vAlign w:val="center"/>
          </w:tcPr>
          <w:p w14:paraId="28B8B79A">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kern w:val="0"/>
                <w:sz w:val="24"/>
                <w:lang w:bidi="ar"/>
              </w:rPr>
              <w:t>数据</w:t>
            </w:r>
          </w:p>
          <w:p w14:paraId="5168469E">
            <w:pPr>
              <w:widowControl/>
              <w:adjustRightInd/>
              <w:spacing w:line="288" w:lineRule="auto"/>
              <w:jc w:val="center"/>
              <w:textAlignment w:val="top"/>
              <w:rPr>
                <w:rFonts w:ascii="宋体" w:hAnsi="宋体" w:cs="宋体"/>
                <w:color w:val="auto"/>
                <w:sz w:val="24"/>
              </w:rPr>
            </w:pPr>
            <w:r>
              <w:rPr>
                <w:rFonts w:hint="eastAsia" w:ascii="宋体" w:hAnsi="宋体" w:cs="宋体"/>
                <w:color w:val="auto"/>
                <w:kern w:val="0"/>
                <w:sz w:val="24"/>
                <w:lang w:bidi="ar"/>
              </w:rPr>
              <w:t>概览</w:t>
            </w:r>
          </w:p>
        </w:tc>
        <w:tc>
          <w:tcPr>
            <w:tcW w:w="3789" w:type="pct"/>
          </w:tcPr>
          <w:p w14:paraId="2869F3AA">
            <w:pPr>
              <w:pStyle w:val="968"/>
              <w:widowControl w:val="0"/>
              <w:spacing w:line="288" w:lineRule="auto"/>
              <w:ind w:firstLine="0" w:firstLineChars="0"/>
              <w:jc w:val="both"/>
              <w:rPr>
                <w:rFonts w:cs="宋体"/>
                <w:color w:val="auto"/>
                <w:kern w:val="0"/>
                <w:szCs w:val="24"/>
              </w:rPr>
            </w:pPr>
            <w:r>
              <w:rPr>
                <w:rFonts w:hint="eastAsia" w:cs="宋体"/>
                <w:color w:val="auto"/>
                <w:kern w:val="0"/>
                <w:szCs w:val="24"/>
              </w:rPr>
              <w:t>需支持展示所有患者在库内总体情况和各个模块分布统计，包括全院患者总数，就诊人次数据、时间范围等信息。</w:t>
            </w:r>
          </w:p>
        </w:tc>
      </w:tr>
      <w:tr w14:paraId="539F4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vMerge w:val="continue"/>
            <w:shd w:val="clear" w:color="auto" w:fill="auto"/>
            <w:vAlign w:val="center"/>
          </w:tcPr>
          <w:p w14:paraId="68D07310">
            <w:pPr>
              <w:pStyle w:val="968"/>
              <w:widowControl w:val="0"/>
              <w:spacing w:line="288" w:lineRule="auto"/>
              <w:ind w:firstLine="0" w:firstLineChars="0"/>
              <w:jc w:val="center"/>
              <w:rPr>
                <w:rFonts w:cs="宋体"/>
                <w:color w:val="auto"/>
                <w:szCs w:val="24"/>
              </w:rPr>
            </w:pPr>
          </w:p>
        </w:tc>
        <w:tc>
          <w:tcPr>
            <w:tcW w:w="680" w:type="pct"/>
            <w:tcBorders>
              <w:top w:val="single" w:color="auto" w:sz="4" w:space="0"/>
              <w:left w:val="single" w:color="auto" w:sz="4" w:space="0"/>
              <w:bottom w:val="single" w:color="auto" w:sz="4" w:space="0"/>
              <w:right w:val="single" w:color="auto" w:sz="4" w:space="0"/>
            </w:tcBorders>
            <w:shd w:val="clear" w:color="000000" w:fill="FFFFFF"/>
            <w:vAlign w:val="center"/>
          </w:tcPr>
          <w:p w14:paraId="1FDB1989">
            <w:pPr>
              <w:pStyle w:val="968"/>
              <w:widowControl w:val="0"/>
              <w:spacing w:line="288" w:lineRule="auto"/>
              <w:ind w:firstLine="0" w:firstLineChars="0"/>
              <w:jc w:val="center"/>
              <w:rPr>
                <w:rFonts w:cs="宋体"/>
                <w:color w:val="auto"/>
                <w:kern w:val="0"/>
                <w:szCs w:val="24"/>
              </w:rPr>
            </w:pPr>
            <w:r>
              <w:rPr>
                <w:rFonts w:hint="eastAsia" w:cs="宋体"/>
                <w:color w:val="auto"/>
                <w:kern w:val="0"/>
                <w:szCs w:val="24"/>
              </w:rPr>
              <w:t>库内患者量走势</w:t>
            </w:r>
          </w:p>
        </w:tc>
        <w:tc>
          <w:tcPr>
            <w:tcW w:w="3789" w:type="pct"/>
            <w:tcBorders>
              <w:top w:val="single" w:color="auto" w:sz="4" w:space="0"/>
              <w:left w:val="nil"/>
              <w:bottom w:val="single" w:color="auto" w:sz="4" w:space="0"/>
              <w:right w:val="single" w:color="auto" w:sz="4" w:space="0"/>
            </w:tcBorders>
            <w:shd w:val="clear" w:color="000000" w:fill="FFFFFF"/>
            <w:vAlign w:val="center"/>
          </w:tcPr>
          <w:p w14:paraId="336F65C0">
            <w:pPr>
              <w:pStyle w:val="968"/>
              <w:widowControl w:val="0"/>
              <w:spacing w:line="288" w:lineRule="auto"/>
              <w:ind w:firstLine="0" w:firstLineChars="0"/>
              <w:jc w:val="both"/>
              <w:rPr>
                <w:rFonts w:cs="宋体"/>
                <w:color w:val="auto"/>
                <w:kern w:val="0"/>
                <w:szCs w:val="24"/>
              </w:rPr>
            </w:pPr>
            <w:r>
              <w:rPr>
                <w:rFonts w:hint="eastAsia" w:cs="宋体"/>
                <w:color w:val="auto"/>
                <w:kern w:val="0"/>
                <w:szCs w:val="24"/>
              </w:rPr>
              <w:t>需支持查看库内数据更新发生的患者数量走势，可支持查看指定时间范围。</w:t>
            </w:r>
          </w:p>
        </w:tc>
      </w:tr>
      <w:tr w14:paraId="6ECE8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vMerge w:val="continue"/>
            <w:vAlign w:val="center"/>
          </w:tcPr>
          <w:p w14:paraId="216AC7F6">
            <w:pPr>
              <w:pStyle w:val="968"/>
              <w:widowControl w:val="0"/>
              <w:spacing w:line="288" w:lineRule="auto"/>
              <w:ind w:firstLine="0" w:firstLineChars="0"/>
              <w:jc w:val="center"/>
              <w:rPr>
                <w:rFonts w:cs="宋体"/>
                <w:color w:val="auto"/>
                <w:szCs w:val="24"/>
              </w:rPr>
            </w:pPr>
          </w:p>
        </w:tc>
        <w:tc>
          <w:tcPr>
            <w:tcW w:w="680" w:type="pct"/>
            <w:tcBorders>
              <w:top w:val="nil"/>
              <w:left w:val="single" w:color="auto" w:sz="4" w:space="0"/>
              <w:bottom w:val="single" w:color="auto" w:sz="4" w:space="0"/>
              <w:right w:val="single" w:color="auto" w:sz="4" w:space="0"/>
            </w:tcBorders>
            <w:vAlign w:val="center"/>
          </w:tcPr>
          <w:p w14:paraId="1885EF07">
            <w:pPr>
              <w:pStyle w:val="968"/>
              <w:widowControl w:val="0"/>
              <w:spacing w:line="288" w:lineRule="auto"/>
              <w:ind w:firstLine="0" w:firstLineChars="0"/>
              <w:jc w:val="center"/>
              <w:rPr>
                <w:rFonts w:cs="宋体"/>
                <w:color w:val="auto"/>
                <w:kern w:val="0"/>
                <w:szCs w:val="24"/>
              </w:rPr>
            </w:pPr>
            <w:r>
              <w:rPr>
                <w:rFonts w:hint="eastAsia" w:cs="宋体"/>
                <w:color w:val="auto"/>
                <w:kern w:val="0"/>
                <w:szCs w:val="24"/>
              </w:rPr>
              <w:t>各科室数据概览</w:t>
            </w:r>
          </w:p>
        </w:tc>
        <w:tc>
          <w:tcPr>
            <w:tcW w:w="3789" w:type="pct"/>
            <w:tcBorders>
              <w:top w:val="nil"/>
              <w:left w:val="nil"/>
              <w:bottom w:val="single" w:color="auto" w:sz="4" w:space="0"/>
              <w:right w:val="single" w:color="auto" w:sz="4" w:space="0"/>
            </w:tcBorders>
            <w:vAlign w:val="center"/>
          </w:tcPr>
          <w:p w14:paraId="652F9E08">
            <w:pPr>
              <w:pStyle w:val="968"/>
              <w:widowControl w:val="0"/>
              <w:spacing w:line="288" w:lineRule="auto"/>
              <w:ind w:firstLine="0" w:firstLineChars="0"/>
              <w:jc w:val="both"/>
              <w:rPr>
                <w:rFonts w:cs="宋体"/>
                <w:color w:val="auto"/>
                <w:kern w:val="0"/>
                <w:szCs w:val="24"/>
              </w:rPr>
            </w:pPr>
            <w:r>
              <w:rPr>
                <w:rFonts w:hint="eastAsia" w:cs="宋体"/>
                <w:color w:val="auto"/>
                <w:kern w:val="0"/>
                <w:szCs w:val="24"/>
              </w:rPr>
              <w:t>需支持按照医院科室组织结构进行数据与科室机构的标准化处理；允许按科室勾选，便于查看对应科室的数据分布，确保数据的组织化和易于管理。</w:t>
            </w:r>
          </w:p>
        </w:tc>
      </w:tr>
      <w:tr w14:paraId="3F6FC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530" w:type="pct"/>
            <w:vMerge w:val="continue"/>
            <w:vAlign w:val="center"/>
          </w:tcPr>
          <w:p w14:paraId="03E37ABB">
            <w:pPr>
              <w:pStyle w:val="968"/>
              <w:widowControl w:val="0"/>
              <w:spacing w:line="288" w:lineRule="auto"/>
              <w:ind w:firstLine="0" w:firstLineChars="0"/>
              <w:jc w:val="center"/>
              <w:rPr>
                <w:rFonts w:cs="宋体"/>
                <w:color w:val="auto"/>
                <w:szCs w:val="24"/>
              </w:rPr>
            </w:pPr>
          </w:p>
        </w:tc>
        <w:tc>
          <w:tcPr>
            <w:tcW w:w="680" w:type="pct"/>
            <w:vMerge w:val="restart"/>
            <w:vAlign w:val="center"/>
          </w:tcPr>
          <w:p w14:paraId="48E81081">
            <w:pPr>
              <w:widowControl/>
              <w:adjustRightInd/>
              <w:spacing w:line="288" w:lineRule="auto"/>
              <w:jc w:val="center"/>
              <w:textAlignment w:val="top"/>
              <w:rPr>
                <w:rFonts w:ascii="宋体" w:hAnsi="宋体" w:cs="宋体"/>
                <w:color w:val="auto"/>
                <w:sz w:val="24"/>
              </w:rPr>
            </w:pPr>
            <w:r>
              <w:rPr>
                <w:rFonts w:hint="eastAsia" w:ascii="宋体" w:hAnsi="宋体" w:cs="宋体"/>
                <w:color w:val="auto"/>
                <w:sz w:val="24"/>
              </w:rPr>
              <w:t>可视化</w:t>
            </w:r>
          </w:p>
          <w:p w14:paraId="09CE0407">
            <w:pPr>
              <w:widowControl/>
              <w:adjustRightInd/>
              <w:spacing w:line="288" w:lineRule="auto"/>
              <w:jc w:val="center"/>
              <w:textAlignment w:val="top"/>
              <w:rPr>
                <w:rFonts w:ascii="宋体" w:hAnsi="宋体" w:cs="宋体"/>
                <w:color w:val="auto"/>
                <w:sz w:val="24"/>
              </w:rPr>
            </w:pPr>
            <w:r>
              <w:rPr>
                <w:rFonts w:hint="eastAsia" w:ascii="宋体" w:hAnsi="宋体" w:cs="宋体"/>
                <w:color w:val="auto"/>
                <w:sz w:val="24"/>
              </w:rPr>
              <w:t>分析</w:t>
            </w:r>
          </w:p>
        </w:tc>
        <w:tc>
          <w:tcPr>
            <w:tcW w:w="3789" w:type="pct"/>
          </w:tcPr>
          <w:p w14:paraId="3F7D27E1">
            <w:pPr>
              <w:widowControl/>
              <w:adjustRightInd/>
              <w:spacing w:line="288" w:lineRule="auto"/>
              <w:jc w:val="left"/>
              <w:textAlignment w:val="top"/>
              <w:rPr>
                <w:rFonts w:ascii="宋体" w:hAnsi="宋体" w:cs="宋体"/>
                <w:color w:val="auto"/>
                <w:kern w:val="0"/>
                <w:sz w:val="24"/>
              </w:rPr>
            </w:pPr>
            <w:r>
              <w:rPr>
                <w:rFonts w:hint="eastAsia" w:ascii="宋体" w:hAnsi="宋体" w:cs="宋体"/>
                <w:color w:val="auto"/>
                <w:kern w:val="0"/>
                <w:sz w:val="24"/>
              </w:rPr>
              <w:t>1）需支持对库内数据的可视化分析，包括患者相关数据、疾病相关数据等的统计分布。</w:t>
            </w:r>
          </w:p>
        </w:tc>
      </w:tr>
      <w:tr w14:paraId="66287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530" w:type="pct"/>
            <w:vMerge w:val="continue"/>
            <w:vAlign w:val="center"/>
          </w:tcPr>
          <w:p w14:paraId="3EB61383">
            <w:pPr>
              <w:pStyle w:val="968"/>
              <w:widowControl w:val="0"/>
              <w:spacing w:line="288" w:lineRule="auto"/>
              <w:ind w:firstLine="0" w:firstLineChars="0"/>
              <w:jc w:val="center"/>
              <w:rPr>
                <w:rFonts w:cs="宋体"/>
                <w:color w:val="auto"/>
                <w:szCs w:val="24"/>
              </w:rPr>
            </w:pPr>
          </w:p>
        </w:tc>
        <w:tc>
          <w:tcPr>
            <w:tcW w:w="680" w:type="pct"/>
            <w:vMerge w:val="continue"/>
            <w:vAlign w:val="center"/>
          </w:tcPr>
          <w:p w14:paraId="6A1766D9">
            <w:pPr>
              <w:widowControl/>
              <w:adjustRightInd/>
              <w:spacing w:line="288" w:lineRule="auto"/>
              <w:jc w:val="center"/>
              <w:textAlignment w:val="top"/>
              <w:rPr>
                <w:rFonts w:ascii="宋体" w:hAnsi="宋体" w:cs="宋体"/>
                <w:color w:val="auto"/>
                <w:sz w:val="24"/>
              </w:rPr>
            </w:pPr>
          </w:p>
        </w:tc>
        <w:tc>
          <w:tcPr>
            <w:tcW w:w="3789" w:type="pct"/>
          </w:tcPr>
          <w:p w14:paraId="1ED18001">
            <w:pPr>
              <w:widowControl/>
              <w:adjustRightInd/>
              <w:spacing w:line="288" w:lineRule="auto"/>
              <w:jc w:val="left"/>
              <w:textAlignment w:val="top"/>
              <w:rPr>
                <w:rFonts w:ascii="宋体" w:hAnsi="宋体" w:cs="宋体"/>
                <w:color w:val="auto"/>
                <w:kern w:val="0"/>
                <w:sz w:val="24"/>
              </w:rPr>
            </w:pPr>
            <w:r>
              <w:rPr>
                <w:rFonts w:hint="eastAsia" w:ascii="宋体" w:hAnsi="宋体" w:cs="宋体"/>
                <w:color w:val="auto"/>
                <w:kern w:val="0"/>
                <w:sz w:val="24"/>
              </w:rPr>
              <w:t>2）需支持自定义设置展示指标，所设置的展示指标与账户绑定联动。</w:t>
            </w:r>
          </w:p>
        </w:tc>
      </w:tr>
      <w:tr w14:paraId="66D82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vMerge w:val="restart"/>
            <w:vAlign w:val="center"/>
          </w:tcPr>
          <w:p w14:paraId="38C893B6">
            <w:pPr>
              <w:pStyle w:val="968"/>
              <w:widowControl w:val="0"/>
              <w:spacing w:line="288" w:lineRule="auto"/>
              <w:ind w:firstLine="0" w:firstLineChars="0"/>
              <w:jc w:val="center"/>
              <w:rPr>
                <w:rFonts w:cs="宋体"/>
                <w:color w:val="auto"/>
                <w:szCs w:val="24"/>
              </w:rPr>
            </w:pPr>
            <w:r>
              <w:rPr>
                <w:rFonts w:hint="eastAsia" w:cs="宋体"/>
                <w:color w:val="auto"/>
                <w:szCs w:val="24"/>
              </w:rPr>
              <w:t>大数据搜索</w:t>
            </w:r>
          </w:p>
        </w:tc>
        <w:tc>
          <w:tcPr>
            <w:tcW w:w="680" w:type="pct"/>
            <w:vMerge w:val="restart"/>
            <w:vAlign w:val="center"/>
          </w:tcPr>
          <w:p w14:paraId="01D78F47">
            <w:pPr>
              <w:pStyle w:val="968"/>
              <w:widowControl w:val="0"/>
              <w:spacing w:line="288" w:lineRule="auto"/>
              <w:ind w:firstLine="0" w:firstLineChars="0"/>
              <w:jc w:val="center"/>
              <w:rPr>
                <w:rFonts w:cs="宋体"/>
                <w:color w:val="auto"/>
                <w:szCs w:val="24"/>
              </w:rPr>
            </w:pPr>
            <w:r>
              <w:rPr>
                <w:rFonts w:hint="eastAsia" w:cs="宋体"/>
                <w:color w:val="auto"/>
                <w:szCs w:val="24"/>
              </w:rPr>
              <w:t>快捷</w:t>
            </w:r>
          </w:p>
          <w:p w14:paraId="45A04852">
            <w:pPr>
              <w:pStyle w:val="968"/>
              <w:widowControl w:val="0"/>
              <w:spacing w:line="288" w:lineRule="auto"/>
              <w:ind w:firstLine="0" w:firstLineChars="0"/>
              <w:jc w:val="center"/>
              <w:rPr>
                <w:rFonts w:cs="宋体"/>
                <w:color w:val="auto"/>
                <w:szCs w:val="24"/>
              </w:rPr>
            </w:pPr>
            <w:r>
              <w:rPr>
                <w:rFonts w:hint="eastAsia" w:cs="宋体"/>
                <w:color w:val="auto"/>
                <w:szCs w:val="24"/>
              </w:rPr>
              <w:t>搜索</w:t>
            </w:r>
          </w:p>
        </w:tc>
        <w:tc>
          <w:tcPr>
            <w:tcW w:w="3789" w:type="pct"/>
          </w:tcPr>
          <w:p w14:paraId="31034E1B">
            <w:pPr>
              <w:adjustRightInd/>
              <w:spacing w:before="78" w:after="78" w:line="288" w:lineRule="auto"/>
              <w:rPr>
                <w:rFonts w:ascii="宋体" w:hAnsi="宋体" w:cs="宋体"/>
                <w:color w:val="auto"/>
                <w:kern w:val="0"/>
                <w:sz w:val="24"/>
              </w:rPr>
            </w:pPr>
            <w:r>
              <w:rPr>
                <w:rFonts w:hint="eastAsia" w:ascii="宋体" w:hAnsi="宋体" w:cs="宋体"/>
                <w:color w:val="auto"/>
                <w:kern w:val="0"/>
                <w:sz w:val="24"/>
              </w:rPr>
              <w:t>1）需支持关键词检索，根据关键字快速搜索全库符合条件的患者。</w:t>
            </w:r>
          </w:p>
        </w:tc>
      </w:tr>
      <w:tr w14:paraId="39721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vMerge w:val="continue"/>
            <w:vAlign w:val="center"/>
          </w:tcPr>
          <w:p w14:paraId="0CE5E9FA">
            <w:pPr>
              <w:pStyle w:val="968"/>
              <w:widowControl w:val="0"/>
              <w:spacing w:line="288" w:lineRule="auto"/>
              <w:ind w:firstLine="0" w:firstLineChars="0"/>
              <w:jc w:val="center"/>
              <w:rPr>
                <w:rFonts w:cs="宋体"/>
                <w:color w:val="auto"/>
                <w:szCs w:val="24"/>
              </w:rPr>
            </w:pPr>
          </w:p>
        </w:tc>
        <w:tc>
          <w:tcPr>
            <w:tcW w:w="680" w:type="pct"/>
            <w:vMerge w:val="continue"/>
            <w:vAlign w:val="center"/>
          </w:tcPr>
          <w:p w14:paraId="6B4DD0DE">
            <w:pPr>
              <w:pStyle w:val="968"/>
              <w:widowControl w:val="0"/>
              <w:spacing w:line="288" w:lineRule="auto"/>
              <w:ind w:firstLine="0" w:firstLineChars="0"/>
              <w:jc w:val="center"/>
              <w:rPr>
                <w:rFonts w:cs="宋体"/>
                <w:color w:val="auto"/>
                <w:szCs w:val="24"/>
              </w:rPr>
            </w:pPr>
          </w:p>
        </w:tc>
        <w:tc>
          <w:tcPr>
            <w:tcW w:w="3789" w:type="pct"/>
          </w:tcPr>
          <w:p w14:paraId="2352C591">
            <w:pPr>
              <w:widowControl/>
              <w:adjustRightInd/>
              <w:spacing w:line="288" w:lineRule="auto"/>
              <w:textAlignment w:val="top"/>
              <w:rPr>
                <w:rFonts w:ascii="宋体" w:hAnsi="宋体" w:cs="宋体"/>
                <w:color w:val="auto"/>
                <w:kern w:val="0"/>
                <w:sz w:val="24"/>
              </w:rPr>
            </w:pPr>
            <w:r>
              <w:rPr>
                <w:rFonts w:hint="eastAsia" w:ascii="宋体" w:hAnsi="宋体" w:cs="宋体"/>
                <w:color w:val="auto"/>
                <w:kern w:val="0"/>
                <w:sz w:val="24"/>
                <w:lang w:bidi="ar"/>
              </w:rPr>
              <w:t>2）</w:t>
            </w:r>
            <w:r>
              <w:rPr>
                <w:rFonts w:hint="eastAsia" w:ascii="宋体" w:hAnsi="宋体" w:cs="宋体"/>
                <w:color w:val="auto"/>
                <w:kern w:val="0"/>
                <w:sz w:val="24"/>
              </w:rPr>
              <w:t>需</w:t>
            </w:r>
            <w:r>
              <w:rPr>
                <w:rFonts w:hint="eastAsia" w:ascii="宋体" w:hAnsi="宋体" w:cs="宋体"/>
                <w:color w:val="auto"/>
                <w:kern w:val="0"/>
                <w:sz w:val="24"/>
                <w:lang w:bidi="ar"/>
              </w:rPr>
              <w:t>支持关键词智能标准词推荐，实现精准匹配和扩大召回范围。</w:t>
            </w:r>
          </w:p>
        </w:tc>
      </w:tr>
      <w:tr w14:paraId="40AAA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vMerge w:val="continue"/>
            <w:vAlign w:val="center"/>
          </w:tcPr>
          <w:p w14:paraId="698F1C36">
            <w:pPr>
              <w:pStyle w:val="968"/>
              <w:widowControl w:val="0"/>
              <w:spacing w:line="288" w:lineRule="auto"/>
              <w:ind w:firstLine="0" w:firstLineChars="0"/>
              <w:jc w:val="center"/>
              <w:rPr>
                <w:rFonts w:cs="宋体"/>
                <w:color w:val="auto"/>
                <w:szCs w:val="24"/>
              </w:rPr>
            </w:pPr>
          </w:p>
        </w:tc>
        <w:tc>
          <w:tcPr>
            <w:tcW w:w="680" w:type="pct"/>
            <w:vMerge w:val="continue"/>
            <w:vAlign w:val="center"/>
          </w:tcPr>
          <w:p w14:paraId="323A3463">
            <w:pPr>
              <w:pStyle w:val="968"/>
              <w:widowControl w:val="0"/>
              <w:spacing w:line="288" w:lineRule="auto"/>
              <w:ind w:firstLine="0" w:firstLineChars="0"/>
              <w:jc w:val="center"/>
              <w:rPr>
                <w:rFonts w:cs="宋体"/>
                <w:color w:val="auto"/>
                <w:szCs w:val="24"/>
              </w:rPr>
            </w:pPr>
          </w:p>
        </w:tc>
        <w:tc>
          <w:tcPr>
            <w:tcW w:w="3789" w:type="pct"/>
          </w:tcPr>
          <w:p w14:paraId="7DF87B99">
            <w:pPr>
              <w:widowControl/>
              <w:adjustRightInd/>
              <w:spacing w:line="288" w:lineRule="auto"/>
              <w:textAlignment w:val="top"/>
              <w:rPr>
                <w:rFonts w:ascii="宋体" w:hAnsi="宋体" w:cs="宋体"/>
                <w:color w:val="auto"/>
                <w:kern w:val="0"/>
                <w:sz w:val="24"/>
              </w:rPr>
            </w:pPr>
            <w:r>
              <w:rPr>
                <w:rFonts w:hint="eastAsia" w:ascii="宋体" w:hAnsi="宋体" w:cs="宋体"/>
                <w:color w:val="auto"/>
                <w:kern w:val="0"/>
                <w:sz w:val="24"/>
                <w:lang w:bidi="ar"/>
              </w:rPr>
              <w:t>3）</w:t>
            </w:r>
            <w:r>
              <w:rPr>
                <w:rFonts w:hint="eastAsia" w:ascii="宋体" w:hAnsi="宋体" w:cs="宋体"/>
                <w:color w:val="auto"/>
                <w:kern w:val="0"/>
                <w:sz w:val="24"/>
              </w:rPr>
              <w:t>需</w:t>
            </w:r>
            <w:r>
              <w:rPr>
                <w:rFonts w:hint="eastAsia" w:ascii="宋体" w:hAnsi="宋体" w:cs="宋体"/>
                <w:color w:val="auto"/>
                <w:kern w:val="0"/>
                <w:sz w:val="24"/>
                <w:lang w:bidi="ar"/>
              </w:rPr>
              <w:t>支持高亮展示命中的诊断关键词，点击对应的命中结果可直接跳转至该患者360中符合条件的诊断记录。</w:t>
            </w:r>
          </w:p>
        </w:tc>
      </w:tr>
      <w:tr w14:paraId="7757B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vMerge w:val="continue"/>
            <w:vAlign w:val="center"/>
          </w:tcPr>
          <w:p w14:paraId="6CFA1501">
            <w:pPr>
              <w:pStyle w:val="968"/>
              <w:widowControl w:val="0"/>
              <w:spacing w:line="288" w:lineRule="auto"/>
              <w:ind w:firstLine="0" w:firstLineChars="0"/>
              <w:jc w:val="center"/>
              <w:rPr>
                <w:rFonts w:cs="宋体"/>
                <w:color w:val="auto"/>
                <w:szCs w:val="24"/>
              </w:rPr>
            </w:pPr>
          </w:p>
        </w:tc>
        <w:tc>
          <w:tcPr>
            <w:tcW w:w="680" w:type="pct"/>
            <w:vMerge w:val="continue"/>
            <w:vAlign w:val="center"/>
          </w:tcPr>
          <w:p w14:paraId="5104BD00">
            <w:pPr>
              <w:pStyle w:val="968"/>
              <w:widowControl w:val="0"/>
              <w:spacing w:line="288" w:lineRule="auto"/>
              <w:ind w:firstLine="0" w:firstLineChars="0"/>
              <w:jc w:val="center"/>
              <w:rPr>
                <w:rFonts w:cs="宋体"/>
                <w:color w:val="auto"/>
                <w:szCs w:val="24"/>
              </w:rPr>
            </w:pPr>
          </w:p>
        </w:tc>
        <w:tc>
          <w:tcPr>
            <w:tcW w:w="3789" w:type="pct"/>
          </w:tcPr>
          <w:p w14:paraId="3DD389BC">
            <w:pPr>
              <w:widowControl/>
              <w:adjustRightInd/>
              <w:spacing w:line="288" w:lineRule="auto"/>
              <w:textAlignment w:val="top"/>
              <w:rPr>
                <w:rFonts w:ascii="宋体" w:hAnsi="宋体" w:cs="宋体"/>
                <w:color w:val="auto"/>
                <w:kern w:val="0"/>
                <w:sz w:val="24"/>
              </w:rPr>
            </w:pPr>
            <w:r>
              <w:rPr>
                <w:rFonts w:hint="eastAsia" w:ascii="宋体" w:hAnsi="宋体" w:cs="宋体"/>
                <w:color w:val="auto"/>
                <w:kern w:val="0"/>
                <w:sz w:val="24"/>
                <w:lang w:bidi="ar"/>
              </w:rPr>
              <w:t>4）</w:t>
            </w:r>
            <w:r>
              <w:rPr>
                <w:rFonts w:hint="eastAsia" w:ascii="宋体" w:hAnsi="宋体" w:cs="宋体"/>
                <w:color w:val="auto"/>
                <w:kern w:val="0"/>
                <w:sz w:val="24"/>
              </w:rPr>
              <w:t>需</w:t>
            </w:r>
            <w:r>
              <w:rPr>
                <w:rFonts w:hint="eastAsia" w:ascii="宋体" w:hAnsi="宋体" w:cs="宋体"/>
                <w:color w:val="auto"/>
                <w:kern w:val="0"/>
                <w:sz w:val="24"/>
                <w:lang w:bidi="ar"/>
              </w:rPr>
              <w:t>支持搜索结果的二次筛选，可根据就诊时间、就诊类型、就诊科室、手术名称等类别进行数据筛选。</w:t>
            </w:r>
          </w:p>
        </w:tc>
      </w:tr>
      <w:tr w14:paraId="0A844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vMerge w:val="continue"/>
            <w:vAlign w:val="center"/>
          </w:tcPr>
          <w:p w14:paraId="7B36109F">
            <w:pPr>
              <w:pStyle w:val="968"/>
              <w:widowControl w:val="0"/>
              <w:spacing w:line="288" w:lineRule="auto"/>
              <w:ind w:firstLine="0" w:firstLineChars="0"/>
              <w:jc w:val="center"/>
              <w:rPr>
                <w:rFonts w:cs="宋体"/>
                <w:color w:val="auto"/>
                <w:szCs w:val="24"/>
              </w:rPr>
            </w:pPr>
          </w:p>
        </w:tc>
        <w:tc>
          <w:tcPr>
            <w:tcW w:w="680" w:type="pct"/>
            <w:vMerge w:val="restart"/>
            <w:vAlign w:val="center"/>
          </w:tcPr>
          <w:p w14:paraId="64289487">
            <w:pPr>
              <w:pStyle w:val="968"/>
              <w:widowControl w:val="0"/>
              <w:spacing w:line="288" w:lineRule="auto"/>
              <w:ind w:firstLine="0" w:firstLineChars="0"/>
              <w:jc w:val="center"/>
              <w:rPr>
                <w:rFonts w:cs="宋体"/>
                <w:color w:val="auto"/>
                <w:szCs w:val="24"/>
              </w:rPr>
            </w:pPr>
            <w:r>
              <w:rPr>
                <w:rFonts w:hint="eastAsia" w:cs="宋体"/>
                <w:color w:val="auto"/>
                <w:szCs w:val="24"/>
              </w:rPr>
              <w:t>条件</w:t>
            </w:r>
          </w:p>
          <w:p w14:paraId="03D6E71F">
            <w:pPr>
              <w:pStyle w:val="968"/>
              <w:widowControl w:val="0"/>
              <w:spacing w:line="288" w:lineRule="auto"/>
              <w:ind w:firstLine="0" w:firstLineChars="0"/>
              <w:jc w:val="center"/>
              <w:rPr>
                <w:rFonts w:cs="宋体"/>
                <w:color w:val="auto"/>
                <w:szCs w:val="24"/>
              </w:rPr>
            </w:pPr>
            <w:r>
              <w:rPr>
                <w:rFonts w:hint="eastAsia" w:cs="宋体"/>
                <w:color w:val="auto"/>
                <w:szCs w:val="24"/>
              </w:rPr>
              <w:t>搜索</w:t>
            </w:r>
          </w:p>
        </w:tc>
        <w:tc>
          <w:tcPr>
            <w:tcW w:w="3789" w:type="pct"/>
          </w:tcPr>
          <w:p w14:paraId="666D4F33">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1）</w:t>
            </w:r>
            <w:r>
              <w:rPr>
                <w:rFonts w:hint="eastAsia" w:ascii="宋体" w:hAnsi="宋体" w:cs="宋体"/>
                <w:color w:val="auto"/>
                <w:kern w:val="0"/>
                <w:sz w:val="24"/>
              </w:rPr>
              <w:t>需</w:t>
            </w:r>
            <w:r>
              <w:rPr>
                <w:rFonts w:hint="eastAsia" w:ascii="宋体" w:hAnsi="宋体" w:cs="宋体"/>
                <w:color w:val="auto"/>
                <w:kern w:val="0"/>
                <w:sz w:val="24"/>
                <w:lang w:bidi="ar"/>
              </w:rPr>
              <w:t>支持选用结构化条件以及原文条件。支持从预设的结构化选项中选择条件进行精准检索或者模糊检索；支持对病历原文使用关键词进行搜索，用于模糊匹配特定信息。</w:t>
            </w:r>
          </w:p>
        </w:tc>
      </w:tr>
      <w:tr w14:paraId="3AD67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vMerge w:val="continue"/>
            <w:vAlign w:val="center"/>
          </w:tcPr>
          <w:p w14:paraId="0FB98E8B">
            <w:pPr>
              <w:pStyle w:val="968"/>
              <w:widowControl w:val="0"/>
              <w:spacing w:line="288" w:lineRule="auto"/>
              <w:ind w:firstLine="0" w:firstLineChars="0"/>
              <w:jc w:val="center"/>
              <w:rPr>
                <w:rFonts w:cs="宋体"/>
                <w:color w:val="auto"/>
                <w:szCs w:val="24"/>
              </w:rPr>
            </w:pPr>
          </w:p>
        </w:tc>
        <w:tc>
          <w:tcPr>
            <w:tcW w:w="680" w:type="pct"/>
            <w:vMerge w:val="continue"/>
            <w:vAlign w:val="center"/>
          </w:tcPr>
          <w:p w14:paraId="5C9E2550">
            <w:pPr>
              <w:pStyle w:val="968"/>
              <w:widowControl w:val="0"/>
              <w:spacing w:line="288" w:lineRule="auto"/>
              <w:ind w:firstLine="480"/>
              <w:jc w:val="center"/>
              <w:rPr>
                <w:rFonts w:cs="宋体"/>
                <w:color w:val="auto"/>
                <w:szCs w:val="24"/>
              </w:rPr>
            </w:pPr>
          </w:p>
        </w:tc>
        <w:tc>
          <w:tcPr>
            <w:tcW w:w="3789" w:type="pct"/>
          </w:tcPr>
          <w:p w14:paraId="3A0A5E75">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2）</w:t>
            </w:r>
            <w:r>
              <w:rPr>
                <w:rFonts w:hint="eastAsia" w:ascii="宋体" w:hAnsi="宋体" w:cs="宋体"/>
                <w:color w:val="auto"/>
                <w:kern w:val="0"/>
                <w:sz w:val="24"/>
              </w:rPr>
              <w:t>需</w:t>
            </w:r>
            <w:r>
              <w:rPr>
                <w:rFonts w:hint="eastAsia" w:ascii="宋体" w:hAnsi="宋体" w:cs="宋体"/>
                <w:color w:val="auto"/>
                <w:kern w:val="0"/>
                <w:sz w:val="24"/>
                <w:lang w:bidi="ar"/>
              </w:rPr>
              <w:t>支持用户将常用的检索字段设置为“常用字段”。这些字段会再检索字段选择窗口进行置顶，便于用户快速访问，从而提升使用效率和操作便捷性。</w:t>
            </w:r>
          </w:p>
        </w:tc>
      </w:tr>
      <w:tr w14:paraId="4BECD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vMerge w:val="continue"/>
            <w:vAlign w:val="center"/>
          </w:tcPr>
          <w:p w14:paraId="50200D55">
            <w:pPr>
              <w:pStyle w:val="968"/>
              <w:widowControl w:val="0"/>
              <w:spacing w:line="288" w:lineRule="auto"/>
              <w:ind w:firstLine="0" w:firstLineChars="0"/>
              <w:jc w:val="center"/>
              <w:rPr>
                <w:rFonts w:cs="宋体"/>
                <w:color w:val="auto"/>
                <w:szCs w:val="24"/>
              </w:rPr>
            </w:pPr>
          </w:p>
        </w:tc>
        <w:tc>
          <w:tcPr>
            <w:tcW w:w="680" w:type="pct"/>
            <w:vMerge w:val="continue"/>
            <w:vAlign w:val="center"/>
          </w:tcPr>
          <w:p w14:paraId="78AC6824">
            <w:pPr>
              <w:pStyle w:val="968"/>
              <w:widowControl w:val="0"/>
              <w:spacing w:line="288" w:lineRule="auto"/>
              <w:ind w:firstLine="0" w:firstLineChars="0"/>
              <w:jc w:val="center"/>
              <w:rPr>
                <w:rFonts w:cs="宋体"/>
                <w:color w:val="auto"/>
                <w:szCs w:val="24"/>
              </w:rPr>
            </w:pPr>
          </w:p>
        </w:tc>
        <w:tc>
          <w:tcPr>
            <w:tcW w:w="3789" w:type="pct"/>
          </w:tcPr>
          <w:p w14:paraId="09242D5C">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sz w:val="24"/>
              </w:rPr>
              <w:t>3</w:t>
            </w:r>
            <w:r>
              <w:rPr>
                <w:rFonts w:hint="eastAsia" w:ascii="宋体" w:hAnsi="宋体" w:cs="宋体"/>
                <w:color w:val="auto"/>
                <w:kern w:val="0"/>
                <w:sz w:val="24"/>
                <w:lang w:bidi="ar"/>
              </w:rPr>
              <w:t>）</w:t>
            </w:r>
            <w:r>
              <w:rPr>
                <w:rFonts w:hint="eastAsia" w:ascii="宋体" w:hAnsi="宋体" w:cs="宋体"/>
                <w:color w:val="auto"/>
                <w:kern w:val="0"/>
                <w:sz w:val="24"/>
              </w:rPr>
              <w:t>需</w:t>
            </w:r>
            <w:r>
              <w:rPr>
                <w:rFonts w:hint="eastAsia" w:ascii="宋体" w:hAnsi="宋体" w:cs="宋体"/>
                <w:color w:val="auto"/>
                <w:kern w:val="0"/>
                <w:sz w:val="24"/>
                <w:lang w:bidi="ar"/>
              </w:rPr>
              <w:t>支持以条件树形式进行多级组合条件可视化筛选，组合条件之间支持 “and \or ”多层逻辑关系的嵌套组合。</w:t>
            </w:r>
          </w:p>
        </w:tc>
      </w:tr>
      <w:tr w14:paraId="3C710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vMerge w:val="continue"/>
            <w:vAlign w:val="center"/>
          </w:tcPr>
          <w:p w14:paraId="57A8AC4B">
            <w:pPr>
              <w:pStyle w:val="968"/>
              <w:widowControl w:val="0"/>
              <w:spacing w:line="288" w:lineRule="auto"/>
              <w:ind w:firstLine="0" w:firstLineChars="0"/>
              <w:jc w:val="center"/>
              <w:rPr>
                <w:rFonts w:cs="宋体"/>
                <w:color w:val="auto"/>
                <w:szCs w:val="24"/>
              </w:rPr>
            </w:pPr>
          </w:p>
        </w:tc>
        <w:tc>
          <w:tcPr>
            <w:tcW w:w="680" w:type="pct"/>
            <w:vMerge w:val="continue"/>
            <w:vAlign w:val="center"/>
          </w:tcPr>
          <w:p w14:paraId="7CE6AE35">
            <w:pPr>
              <w:pStyle w:val="968"/>
              <w:widowControl w:val="0"/>
              <w:spacing w:line="288" w:lineRule="auto"/>
              <w:ind w:firstLine="0" w:firstLineChars="0"/>
              <w:jc w:val="center"/>
              <w:rPr>
                <w:rFonts w:cs="宋体"/>
                <w:color w:val="auto"/>
                <w:szCs w:val="24"/>
              </w:rPr>
            </w:pPr>
          </w:p>
        </w:tc>
        <w:tc>
          <w:tcPr>
            <w:tcW w:w="3789" w:type="pct"/>
          </w:tcPr>
          <w:p w14:paraId="38B615D9">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4）</w:t>
            </w:r>
            <w:r>
              <w:rPr>
                <w:rFonts w:hint="eastAsia" w:ascii="宋体" w:hAnsi="宋体" w:cs="宋体"/>
                <w:color w:val="auto"/>
                <w:kern w:val="0"/>
                <w:sz w:val="24"/>
              </w:rPr>
              <w:t>需</w:t>
            </w:r>
            <w:r>
              <w:rPr>
                <w:rFonts w:hint="eastAsia" w:ascii="宋体" w:hAnsi="宋体" w:cs="宋体"/>
                <w:color w:val="auto"/>
                <w:kern w:val="0"/>
                <w:sz w:val="24"/>
                <w:lang w:bidi="ar"/>
              </w:rPr>
              <w:t>支持筛选条件在“纳入、排除”选项之间灵活切换。</w:t>
            </w:r>
          </w:p>
        </w:tc>
      </w:tr>
      <w:tr w14:paraId="339EF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30" w:type="pct"/>
            <w:vMerge w:val="continue"/>
            <w:vAlign w:val="center"/>
          </w:tcPr>
          <w:p w14:paraId="56A2B46E">
            <w:pPr>
              <w:pStyle w:val="968"/>
              <w:widowControl w:val="0"/>
              <w:spacing w:line="288" w:lineRule="auto"/>
              <w:ind w:firstLine="0" w:firstLineChars="0"/>
              <w:jc w:val="center"/>
              <w:rPr>
                <w:rFonts w:cs="宋体"/>
                <w:color w:val="auto"/>
                <w:szCs w:val="24"/>
              </w:rPr>
            </w:pPr>
          </w:p>
        </w:tc>
        <w:tc>
          <w:tcPr>
            <w:tcW w:w="680" w:type="pct"/>
            <w:vMerge w:val="continue"/>
            <w:vAlign w:val="center"/>
          </w:tcPr>
          <w:p w14:paraId="3AF0C93C">
            <w:pPr>
              <w:pStyle w:val="968"/>
              <w:widowControl w:val="0"/>
              <w:spacing w:line="288" w:lineRule="auto"/>
              <w:ind w:firstLine="0" w:firstLineChars="0"/>
              <w:jc w:val="center"/>
              <w:rPr>
                <w:rFonts w:cs="宋体"/>
                <w:color w:val="auto"/>
                <w:szCs w:val="24"/>
              </w:rPr>
            </w:pPr>
          </w:p>
        </w:tc>
        <w:tc>
          <w:tcPr>
            <w:tcW w:w="3789" w:type="pct"/>
          </w:tcPr>
          <w:p w14:paraId="4264E481">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5）</w:t>
            </w:r>
            <w:r>
              <w:rPr>
                <w:rFonts w:hint="eastAsia" w:ascii="宋体" w:hAnsi="宋体" w:cs="宋体"/>
                <w:color w:val="auto"/>
                <w:kern w:val="0"/>
                <w:sz w:val="24"/>
              </w:rPr>
              <w:t>需</w:t>
            </w:r>
            <w:r>
              <w:rPr>
                <w:rFonts w:hint="eastAsia" w:ascii="宋体" w:hAnsi="宋体" w:cs="宋体"/>
                <w:color w:val="auto"/>
                <w:kern w:val="0"/>
                <w:sz w:val="24"/>
                <w:lang w:bidi="ar"/>
              </w:rPr>
              <w:t>支持根据搜索记过实时计算命中的患者数，用户可即刻感知搜索效果，根据需要及时调整筛选条件。</w:t>
            </w:r>
          </w:p>
        </w:tc>
      </w:tr>
      <w:tr w14:paraId="72823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vMerge w:val="continue"/>
            <w:shd w:val="clear" w:color="auto" w:fill="auto"/>
            <w:vAlign w:val="center"/>
          </w:tcPr>
          <w:p w14:paraId="75688E5F">
            <w:pPr>
              <w:pStyle w:val="968"/>
              <w:widowControl w:val="0"/>
              <w:spacing w:line="288" w:lineRule="auto"/>
              <w:ind w:firstLine="0" w:firstLineChars="0"/>
              <w:jc w:val="center"/>
              <w:rPr>
                <w:rFonts w:cs="宋体"/>
                <w:color w:val="auto"/>
                <w:szCs w:val="24"/>
              </w:rPr>
            </w:pPr>
          </w:p>
        </w:tc>
        <w:tc>
          <w:tcPr>
            <w:tcW w:w="680" w:type="pct"/>
            <w:vMerge w:val="restart"/>
            <w:shd w:val="clear" w:color="auto" w:fill="auto"/>
            <w:vAlign w:val="center"/>
          </w:tcPr>
          <w:p w14:paraId="472AC813">
            <w:pPr>
              <w:pStyle w:val="968"/>
              <w:widowControl w:val="0"/>
              <w:spacing w:line="288" w:lineRule="auto"/>
              <w:ind w:firstLine="0" w:firstLineChars="0"/>
              <w:jc w:val="center"/>
              <w:rPr>
                <w:rFonts w:cs="宋体"/>
                <w:color w:val="auto"/>
                <w:szCs w:val="24"/>
              </w:rPr>
            </w:pPr>
            <w:r>
              <w:rPr>
                <w:rFonts w:hint="eastAsia" w:cs="宋体"/>
                <w:color w:val="auto"/>
                <w:szCs w:val="24"/>
              </w:rPr>
              <w:t>事件-时间检索</w:t>
            </w:r>
          </w:p>
        </w:tc>
        <w:tc>
          <w:tcPr>
            <w:tcW w:w="3789" w:type="pct"/>
            <w:tcBorders>
              <w:top w:val="single" w:color="auto" w:sz="4" w:space="0"/>
              <w:left w:val="single" w:color="auto" w:sz="4" w:space="0"/>
              <w:bottom w:val="single" w:color="auto" w:sz="4" w:space="0"/>
              <w:right w:val="single" w:color="auto" w:sz="4" w:space="0"/>
            </w:tcBorders>
            <w:shd w:val="clear" w:color="000000" w:fill="FFFFFF"/>
            <w:vAlign w:val="center"/>
          </w:tcPr>
          <w:p w14:paraId="4F4A5A97">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1）</w:t>
            </w:r>
            <w:r>
              <w:rPr>
                <w:rFonts w:hint="eastAsia" w:ascii="宋体" w:hAnsi="宋体" w:cs="宋体"/>
                <w:color w:val="auto"/>
                <w:kern w:val="0"/>
                <w:sz w:val="24"/>
              </w:rPr>
              <w:t>需</w:t>
            </w:r>
            <w:r>
              <w:rPr>
                <w:rFonts w:hint="eastAsia" w:ascii="宋体" w:hAnsi="宋体" w:cs="宋体"/>
                <w:color w:val="auto"/>
                <w:kern w:val="0"/>
                <w:sz w:val="24"/>
                <w:lang w:bidi="ar"/>
              </w:rPr>
              <w:t>支持与条件筛选结合，进行“事件-时间”式筛选。</w:t>
            </w:r>
          </w:p>
        </w:tc>
      </w:tr>
      <w:tr w14:paraId="6DA91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vMerge w:val="continue"/>
            <w:shd w:val="clear" w:color="auto" w:fill="auto"/>
            <w:vAlign w:val="center"/>
          </w:tcPr>
          <w:p w14:paraId="09693E47">
            <w:pPr>
              <w:pStyle w:val="968"/>
              <w:widowControl w:val="0"/>
              <w:spacing w:line="288" w:lineRule="auto"/>
              <w:ind w:firstLine="0" w:firstLineChars="0"/>
              <w:jc w:val="center"/>
              <w:rPr>
                <w:rFonts w:cs="宋体"/>
                <w:color w:val="auto"/>
                <w:szCs w:val="24"/>
              </w:rPr>
            </w:pPr>
          </w:p>
        </w:tc>
        <w:tc>
          <w:tcPr>
            <w:tcW w:w="680" w:type="pct"/>
            <w:vMerge w:val="continue"/>
            <w:shd w:val="clear" w:color="auto" w:fill="auto"/>
            <w:vAlign w:val="center"/>
          </w:tcPr>
          <w:p w14:paraId="2586D0FB">
            <w:pPr>
              <w:pStyle w:val="968"/>
              <w:widowControl w:val="0"/>
              <w:spacing w:line="288" w:lineRule="auto"/>
              <w:ind w:firstLine="0" w:firstLineChars="0"/>
              <w:jc w:val="center"/>
              <w:rPr>
                <w:rFonts w:cs="宋体"/>
                <w:color w:val="auto"/>
                <w:szCs w:val="24"/>
              </w:rPr>
            </w:pPr>
          </w:p>
        </w:tc>
        <w:tc>
          <w:tcPr>
            <w:tcW w:w="3789" w:type="pct"/>
            <w:tcBorders>
              <w:top w:val="nil"/>
              <w:left w:val="single" w:color="auto" w:sz="4" w:space="0"/>
              <w:bottom w:val="single" w:color="auto" w:sz="4" w:space="0"/>
              <w:right w:val="single" w:color="auto" w:sz="4" w:space="0"/>
            </w:tcBorders>
            <w:shd w:val="clear" w:color="000000" w:fill="FFFFFF"/>
            <w:vAlign w:val="center"/>
          </w:tcPr>
          <w:p w14:paraId="400C06F3">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▲2）</w:t>
            </w:r>
            <w:r>
              <w:rPr>
                <w:rFonts w:hint="eastAsia" w:ascii="宋体" w:hAnsi="宋体" w:cs="宋体"/>
                <w:color w:val="auto"/>
                <w:kern w:val="0"/>
                <w:sz w:val="24"/>
              </w:rPr>
              <w:t>需</w:t>
            </w:r>
            <w:r>
              <w:rPr>
                <w:rFonts w:hint="eastAsia" w:ascii="宋体" w:hAnsi="宋体" w:cs="宋体"/>
                <w:color w:val="auto"/>
                <w:kern w:val="0"/>
                <w:sz w:val="24"/>
                <w:lang w:bidi="ar"/>
              </w:rPr>
              <w:t>支持设置包括末次、每次、第一次至第十次，精确定义前、后时间范围。</w:t>
            </w:r>
          </w:p>
          <w:p w14:paraId="287362FC">
            <w:pPr>
              <w:widowControl/>
              <w:adjustRightInd/>
              <w:spacing w:line="288" w:lineRule="auto"/>
              <w:textAlignment w:val="top"/>
              <w:rPr>
                <w:rFonts w:ascii="宋体" w:hAnsi="宋体" w:cs="宋体"/>
                <w:color w:val="auto"/>
                <w:kern w:val="0"/>
                <w:sz w:val="24"/>
                <w:lang w:bidi="ar"/>
              </w:rPr>
            </w:pPr>
            <w:r>
              <w:rPr>
                <w:rFonts w:hint="eastAsia" w:ascii="宋体" w:hAnsi="宋体" w:cs="宋体"/>
                <w:b/>
                <w:bCs/>
                <w:color w:val="auto"/>
                <w:kern w:val="0"/>
                <w:sz w:val="24"/>
                <w:lang w:bidi="ar"/>
              </w:rPr>
              <w:t>注：投标人须在投标文件中提供相关证明截图材料作为佐证，未提供或无法证明的本项即为负偏离。</w:t>
            </w:r>
          </w:p>
        </w:tc>
      </w:tr>
      <w:tr w14:paraId="14044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vMerge w:val="continue"/>
            <w:shd w:val="clear" w:color="auto" w:fill="auto"/>
            <w:vAlign w:val="center"/>
          </w:tcPr>
          <w:p w14:paraId="0A8BBE85">
            <w:pPr>
              <w:pStyle w:val="968"/>
              <w:widowControl w:val="0"/>
              <w:spacing w:line="288" w:lineRule="auto"/>
              <w:ind w:firstLine="0" w:firstLineChars="0"/>
              <w:jc w:val="center"/>
              <w:rPr>
                <w:rFonts w:cs="宋体"/>
                <w:color w:val="auto"/>
                <w:szCs w:val="24"/>
              </w:rPr>
            </w:pPr>
          </w:p>
        </w:tc>
        <w:tc>
          <w:tcPr>
            <w:tcW w:w="680" w:type="pct"/>
            <w:vMerge w:val="continue"/>
            <w:shd w:val="clear" w:color="auto" w:fill="auto"/>
            <w:vAlign w:val="center"/>
          </w:tcPr>
          <w:p w14:paraId="2E189D4E">
            <w:pPr>
              <w:pStyle w:val="968"/>
              <w:widowControl w:val="0"/>
              <w:spacing w:line="288" w:lineRule="auto"/>
              <w:ind w:firstLine="0" w:firstLineChars="0"/>
              <w:jc w:val="center"/>
              <w:rPr>
                <w:rFonts w:cs="宋体"/>
                <w:color w:val="auto"/>
                <w:szCs w:val="24"/>
              </w:rPr>
            </w:pPr>
          </w:p>
        </w:tc>
        <w:tc>
          <w:tcPr>
            <w:tcW w:w="3789" w:type="pct"/>
            <w:tcBorders>
              <w:top w:val="nil"/>
              <w:left w:val="single" w:color="auto" w:sz="4" w:space="0"/>
              <w:bottom w:val="single" w:color="auto" w:sz="4" w:space="0"/>
              <w:right w:val="single" w:color="auto" w:sz="4" w:space="0"/>
            </w:tcBorders>
            <w:shd w:val="clear" w:color="000000" w:fill="FFFFFF"/>
            <w:vAlign w:val="center"/>
          </w:tcPr>
          <w:p w14:paraId="01577A87">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3）</w:t>
            </w:r>
            <w:r>
              <w:rPr>
                <w:rFonts w:hint="eastAsia" w:ascii="宋体" w:hAnsi="宋体" w:cs="宋体"/>
                <w:color w:val="auto"/>
                <w:kern w:val="0"/>
                <w:sz w:val="24"/>
              </w:rPr>
              <w:t>需</w:t>
            </w:r>
            <w:r>
              <w:rPr>
                <w:rFonts w:hint="eastAsia" w:ascii="宋体" w:hAnsi="宋体" w:cs="宋体"/>
                <w:color w:val="auto"/>
                <w:kern w:val="0"/>
                <w:sz w:val="24"/>
                <w:lang w:bidi="ar"/>
              </w:rPr>
              <w:t>支持灵活配置时间范围内多个限定条件及其之间的关系。</w:t>
            </w:r>
          </w:p>
        </w:tc>
      </w:tr>
      <w:tr w14:paraId="74E6D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vMerge w:val="continue"/>
            <w:shd w:val="clear" w:color="auto" w:fill="auto"/>
            <w:vAlign w:val="center"/>
          </w:tcPr>
          <w:p w14:paraId="02543E2F">
            <w:pPr>
              <w:pStyle w:val="968"/>
              <w:widowControl w:val="0"/>
              <w:spacing w:line="288" w:lineRule="auto"/>
              <w:ind w:firstLine="0" w:firstLineChars="0"/>
              <w:jc w:val="center"/>
              <w:rPr>
                <w:rFonts w:cs="宋体"/>
                <w:color w:val="auto"/>
                <w:szCs w:val="24"/>
              </w:rPr>
            </w:pPr>
          </w:p>
        </w:tc>
        <w:tc>
          <w:tcPr>
            <w:tcW w:w="680" w:type="pct"/>
            <w:vMerge w:val="continue"/>
            <w:shd w:val="clear" w:color="auto" w:fill="auto"/>
            <w:vAlign w:val="center"/>
          </w:tcPr>
          <w:p w14:paraId="74E23C44">
            <w:pPr>
              <w:pStyle w:val="968"/>
              <w:widowControl w:val="0"/>
              <w:spacing w:line="288" w:lineRule="auto"/>
              <w:ind w:firstLine="0" w:firstLineChars="0"/>
              <w:jc w:val="center"/>
              <w:rPr>
                <w:rFonts w:cs="宋体"/>
                <w:color w:val="auto"/>
                <w:szCs w:val="24"/>
              </w:rPr>
            </w:pPr>
          </w:p>
        </w:tc>
        <w:tc>
          <w:tcPr>
            <w:tcW w:w="3789" w:type="pct"/>
            <w:tcBorders>
              <w:top w:val="nil"/>
              <w:left w:val="single" w:color="auto" w:sz="4" w:space="0"/>
              <w:bottom w:val="single" w:color="auto" w:sz="4" w:space="0"/>
              <w:right w:val="single" w:color="auto" w:sz="4" w:space="0"/>
            </w:tcBorders>
            <w:shd w:val="clear" w:color="000000" w:fill="FFFFFF"/>
            <w:vAlign w:val="center"/>
          </w:tcPr>
          <w:p w14:paraId="262F0530">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4）</w:t>
            </w:r>
            <w:r>
              <w:rPr>
                <w:rFonts w:hint="eastAsia" w:ascii="宋体" w:hAnsi="宋体" w:cs="宋体"/>
                <w:color w:val="auto"/>
                <w:kern w:val="0"/>
                <w:sz w:val="24"/>
              </w:rPr>
              <w:t>需</w:t>
            </w:r>
            <w:r>
              <w:rPr>
                <w:rFonts w:hint="eastAsia" w:ascii="宋体" w:hAnsi="宋体" w:cs="宋体"/>
                <w:color w:val="auto"/>
                <w:kern w:val="0"/>
                <w:sz w:val="24"/>
                <w:lang w:bidi="ar"/>
              </w:rPr>
              <w:t>支持定义事件在时间范围内发生的次数，例如，首次病理确诊后2个月内进行1次及以上肝癌相关手术的患者。</w:t>
            </w:r>
          </w:p>
        </w:tc>
      </w:tr>
      <w:tr w14:paraId="1FCAB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vMerge w:val="continue"/>
            <w:vAlign w:val="center"/>
          </w:tcPr>
          <w:p w14:paraId="5763E40D">
            <w:pPr>
              <w:pStyle w:val="968"/>
              <w:widowControl w:val="0"/>
              <w:spacing w:line="288" w:lineRule="auto"/>
              <w:ind w:firstLine="0" w:firstLineChars="0"/>
              <w:jc w:val="center"/>
              <w:rPr>
                <w:rFonts w:cs="宋体"/>
                <w:color w:val="auto"/>
                <w:szCs w:val="24"/>
              </w:rPr>
            </w:pPr>
          </w:p>
        </w:tc>
        <w:tc>
          <w:tcPr>
            <w:tcW w:w="680" w:type="pct"/>
            <w:vAlign w:val="center"/>
          </w:tcPr>
          <w:p w14:paraId="2E30A5F5">
            <w:pPr>
              <w:pStyle w:val="968"/>
              <w:widowControl w:val="0"/>
              <w:spacing w:line="288" w:lineRule="auto"/>
              <w:ind w:firstLine="0" w:firstLineChars="0"/>
              <w:jc w:val="center"/>
              <w:rPr>
                <w:rFonts w:cs="宋体"/>
                <w:color w:val="auto"/>
                <w:szCs w:val="24"/>
              </w:rPr>
            </w:pPr>
            <w:r>
              <w:rPr>
                <w:rFonts w:hint="eastAsia" w:cs="宋体"/>
                <w:color w:val="auto"/>
                <w:szCs w:val="24"/>
              </w:rPr>
              <w:t>患者号精确搜索</w:t>
            </w:r>
          </w:p>
        </w:tc>
        <w:tc>
          <w:tcPr>
            <w:tcW w:w="3789" w:type="pct"/>
            <w:vAlign w:val="center"/>
          </w:tcPr>
          <w:p w14:paraId="1B5B7CAD">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rPr>
              <w:t>需</w:t>
            </w:r>
            <w:r>
              <w:rPr>
                <w:rFonts w:hint="eastAsia" w:ascii="宋体" w:hAnsi="宋体" w:cs="宋体"/>
                <w:color w:val="auto"/>
                <w:kern w:val="0"/>
                <w:sz w:val="24"/>
                <w:lang w:bidi="ar"/>
              </w:rPr>
              <w:t>支持使用患者号、就诊号、住院号、门诊号、病案号进行批量精确搜索。</w:t>
            </w:r>
          </w:p>
        </w:tc>
      </w:tr>
      <w:tr w14:paraId="79ADC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vMerge w:val="continue"/>
            <w:vAlign w:val="center"/>
          </w:tcPr>
          <w:p w14:paraId="3EB76D03">
            <w:pPr>
              <w:pStyle w:val="968"/>
              <w:widowControl w:val="0"/>
              <w:spacing w:line="288" w:lineRule="auto"/>
              <w:ind w:firstLine="0" w:firstLineChars="0"/>
              <w:jc w:val="center"/>
              <w:rPr>
                <w:rFonts w:cs="宋体"/>
                <w:color w:val="auto"/>
                <w:szCs w:val="24"/>
              </w:rPr>
            </w:pPr>
          </w:p>
        </w:tc>
        <w:tc>
          <w:tcPr>
            <w:tcW w:w="680" w:type="pct"/>
            <w:vAlign w:val="center"/>
          </w:tcPr>
          <w:p w14:paraId="1DDDE6D5">
            <w:pPr>
              <w:pStyle w:val="968"/>
              <w:widowControl w:val="0"/>
              <w:spacing w:line="288" w:lineRule="auto"/>
              <w:ind w:firstLine="0" w:firstLineChars="0"/>
              <w:jc w:val="center"/>
              <w:rPr>
                <w:rFonts w:cs="宋体"/>
                <w:color w:val="auto"/>
                <w:szCs w:val="24"/>
              </w:rPr>
            </w:pPr>
            <w:r>
              <w:rPr>
                <w:rFonts w:hint="eastAsia" w:cs="宋体"/>
                <w:color w:val="auto"/>
                <w:szCs w:val="24"/>
              </w:rPr>
              <w:t>搜索结果展示</w:t>
            </w:r>
          </w:p>
        </w:tc>
        <w:tc>
          <w:tcPr>
            <w:tcW w:w="3789" w:type="pct"/>
          </w:tcPr>
          <w:p w14:paraId="64ED2B94">
            <w:pPr>
              <w:widowControl/>
              <w:adjustRightInd/>
              <w:spacing w:line="288" w:lineRule="auto"/>
              <w:jc w:val="left"/>
              <w:textAlignment w:val="top"/>
              <w:rPr>
                <w:rFonts w:ascii="宋体" w:hAnsi="宋体" w:cs="宋体"/>
                <w:color w:val="auto"/>
                <w:kern w:val="0"/>
                <w:sz w:val="24"/>
                <w:lang w:bidi="ar"/>
              </w:rPr>
            </w:pPr>
            <w:r>
              <w:rPr>
                <w:rFonts w:hint="eastAsia" w:ascii="宋体" w:hAnsi="宋体" w:cs="宋体"/>
                <w:color w:val="auto"/>
                <w:kern w:val="0"/>
                <w:sz w:val="24"/>
              </w:rPr>
              <w:t>需</w:t>
            </w:r>
            <w:r>
              <w:rPr>
                <w:rFonts w:hint="eastAsia" w:ascii="宋体" w:hAnsi="宋体" w:cs="宋体"/>
                <w:color w:val="auto"/>
                <w:kern w:val="0"/>
                <w:sz w:val="24"/>
                <w:lang w:bidi="ar"/>
              </w:rPr>
              <w:t>支持搜索结果以可视化数据列表形式展现，展现内容包括患者的基本信息和关键疾病信息。</w:t>
            </w:r>
          </w:p>
        </w:tc>
      </w:tr>
      <w:tr w14:paraId="42EED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530" w:type="pct"/>
            <w:vMerge w:val="continue"/>
            <w:vAlign w:val="center"/>
          </w:tcPr>
          <w:p w14:paraId="19E26BAF">
            <w:pPr>
              <w:pStyle w:val="968"/>
              <w:widowControl w:val="0"/>
              <w:spacing w:line="288" w:lineRule="auto"/>
              <w:ind w:firstLine="0" w:firstLineChars="0"/>
              <w:jc w:val="center"/>
              <w:rPr>
                <w:rFonts w:cs="宋体"/>
                <w:color w:val="auto"/>
                <w:szCs w:val="24"/>
              </w:rPr>
            </w:pPr>
          </w:p>
        </w:tc>
        <w:tc>
          <w:tcPr>
            <w:tcW w:w="680" w:type="pct"/>
            <w:vAlign w:val="center"/>
          </w:tcPr>
          <w:p w14:paraId="1E49E06F">
            <w:pPr>
              <w:pStyle w:val="968"/>
              <w:widowControl w:val="0"/>
              <w:spacing w:line="288" w:lineRule="auto"/>
              <w:ind w:firstLine="0" w:firstLineChars="0"/>
              <w:jc w:val="center"/>
              <w:rPr>
                <w:rFonts w:cs="宋体"/>
                <w:color w:val="auto"/>
                <w:szCs w:val="24"/>
              </w:rPr>
            </w:pPr>
            <w:r>
              <w:rPr>
                <w:rFonts w:hint="eastAsia" w:cs="宋体"/>
                <w:color w:val="auto"/>
                <w:szCs w:val="24"/>
              </w:rPr>
              <w:t>搜索结果分析</w:t>
            </w:r>
          </w:p>
        </w:tc>
        <w:tc>
          <w:tcPr>
            <w:tcW w:w="3789" w:type="pct"/>
          </w:tcPr>
          <w:p w14:paraId="1333BD39">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rPr>
              <w:t>需</w:t>
            </w:r>
            <w:r>
              <w:rPr>
                <w:rFonts w:hint="eastAsia" w:ascii="宋体" w:hAnsi="宋体" w:cs="宋体"/>
                <w:color w:val="auto"/>
                <w:kern w:val="0"/>
                <w:sz w:val="24"/>
                <w:lang w:bidi="ar"/>
              </w:rPr>
              <w:t>支持对筛选出的数据进行分析。用户可自定义分析字段，进行包括饼图、柱图等描述性统计分析以及对定量指标的有效数据、缺失数据均值、最大值、最小值、均值标准差、中位数等相关分析。</w:t>
            </w:r>
          </w:p>
        </w:tc>
      </w:tr>
      <w:tr w14:paraId="3B9FA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vMerge w:val="continue"/>
            <w:vAlign w:val="center"/>
          </w:tcPr>
          <w:p w14:paraId="60D49701">
            <w:pPr>
              <w:pStyle w:val="968"/>
              <w:widowControl w:val="0"/>
              <w:spacing w:line="288" w:lineRule="auto"/>
              <w:ind w:firstLine="0" w:firstLineChars="0"/>
              <w:jc w:val="center"/>
              <w:rPr>
                <w:rFonts w:cs="宋体"/>
                <w:color w:val="auto"/>
                <w:szCs w:val="24"/>
              </w:rPr>
            </w:pPr>
          </w:p>
        </w:tc>
        <w:tc>
          <w:tcPr>
            <w:tcW w:w="680" w:type="pct"/>
            <w:vMerge w:val="restart"/>
            <w:vAlign w:val="center"/>
          </w:tcPr>
          <w:p w14:paraId="56B1F4AD">
            <w:pPr>
              <w:pStyle w:val="968"/>
              <w:widowControl w:val="0"/>
              <w:spacing w:line="288" w:lineRule="auto"/>
              <w:ind w:firstLine="0" w:firstLineChars="0"/>
              <w:jc w:val="center"/>
              <w:rPr>
                <w:rFonts w:cs="宋体"/>
                <w:color w:val="auto"/>
                <w:szCs w:val="24"/>
              </w:rPr>
            </w:pPr>
            <w:r>
              <w:rPr>
                <w:rFonts w:hint="eastAsia" w:cs="宋体"/>
                <w:color w:val="auto"/>
                <w:szCs w:val="24"/>
              </w:rPr>
              <w:t>搜索结果导出</w:t>
            </w:r>
          </w:p>
        </w:tc>
        <w:tc>
          <w:tcPr>
            <w:tcW w:w="3789" w:type="pct"/>
          </w:tcPr>
          <w:p w14:paraId="04047F98">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1）</w:t>
            </w:r>
            <w:r>
              <w:rPr>
                <w:rFonts w:hint="eastAsia" w:ascii="宋体" w:hAnsi="宋体" w:cs="宋体"/>
                <w:color w:val="auto"/>
                <w:kern w:val="0"/>
                <w:sz w:val="24"/>
              </w:rPr>
              <w:t>需</w:t>
            </w:r>
            <w:r>
              <w:rPr>
                <w:rFonts w:hint="eastAsia" w:ascii="宋体" w:hAnsi="宋体" w:cs="宋体"/>
                <w:color w:val="auto"/>
                <w:kern w:val="0"/>
                <w:sz w:val="24"/>
                <w:lang w:bidi="ar"/>
              </w:rPr>
              <w:t>支持对筛选结果做数据的表单导出，如excel格式。</w:t>
            </w:r>
          </w:p>
        </w:tc>
      </w:tr>
      <w:tr w14:paraId="6EE1C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vMerge w:val="continue"/>
          </w:tcPr>
          <w:p w14:paraId="781DA88E">
            <w:pPr>
              <w:pStyle w:val="968"/>
              <w:widowControl w:val="0"/>
              <w:spacing w:line="288" w:lineRule="auto"/>
              <w:ind w:firstLine="0" w:firstLineChars="0"/>
              <w:jc w:val="center"/>
              <w:rPr>
                <w:rFonts w:cs="宋体"/>
                <w:color w:val="auto"/>
                <w:szCs w:val="24"/>
              </w:rPr>
            </w:pPr>
          </w:p>
        </w:tc>
        <w:tc>
          <w:tcPr>
            <w:tcW w:w="680" w:type="pct"/>
            <w:vMerge w:val="continue"/>
            <w:vAlign w:val="center"/>
          </w:tcPr>
          <w:p w14:paraId="24D8399D">
            <w:pPr>
              <w:pStyle w:val="968"/>
              <w:widowControl w:val="0"/>
              <w:spacing w:line="288" w:lineRule="auto"/>
              <w:ind w:firstLine="0" w:firstLineChars="0"/>
              <w:jc w:val="center"/>
              <w:rPr>
                <w:rFonts w:cs="宋体"/>
                <w:color w:val="auto"/>
                <w:szCs w:val="24"/>
              </w:rPr>
            </w:pPr>
          </w:p>
        </w:tc>
        <w:tc>
          <w:tcPr>
            <w:tcW w:w="3789" w:type="pct"/>
          </w:tcPr>
          <w:p w14:paraId="1626F06A">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2）</w:t>
            </w:r>
            <w:r>
              <w:rPr>
                <w:rFonts w:hint="eastAsia" w:ascii="宋体" w:hAnsi="宋体" w:cs="宋体"/>
                <w:color w:val="auto"/>
                <w:kern w:val="0"/>
                <w:sz w:val="24"/>
              </w:rPr>
              <w:t>需</w:t>
            </w:r>
            <w:r>
              <w:rPr>
                <w:rFonts w:hint="eastAsia" w:ascii="宋体" w:hAnsi="宋体" w:cs="宋体"/>
                <w:color w:val="auto"/>
                <w:kern w:val="0"/>
                <w:sz w:val="24"/>
                <w:lang w:bidi="ar"/>
              </w:rPr>
              <w:t>支持用户选择对可溯源的患者编号、病案号、检查号进行脱敏导出。</w:t>
            </w:r>
          </w:p>
        </w:tc>
      </w:tr>
      <w:tr w14:paraId="58677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0" w:type="pct"/>
            <w:vMerge w:val="continue"/>
          </w:tcPr>
          <w:p w14:paraId="6644486A">
            <w:pPr>
              <w:pStyle w:val="968"/>
              <w:widowControl w:val="0"/>
              <w:spacing w:line="288" w:lineRule="auto"/>
              <w:ind w:firstLine="0" w:firstLineChars="0"/>
              <w:jc w:val="center"/>
              <w:rPr>
                <w:rFonts w:cs="宋体"/>
                <w:color w:val="auto"/>
                <w:szCs w:val="24"/>
              </w:rPr>
            </w:pPr>
          </w:p>
        </w:tc>
        <w:tc>
          <w:tcPr>
            <w:tcW w:w="680" w:type="pct"/>
            <w:vAlign w:val="center"/>
          </w:tcPr>
          <w:p w14:paraId="649B03AA">
            <w:pPr>
              <w:widowControl/>
              <w:adjustRightInd/>
              <w:spacing w:line="288" w:lineRule="auto"/>
              <w:jc w:val="center"/>
              <w:textAlignment w:val="top"/>
              <w:rPr>
                <w:rFonts w:ascii="宋体" w:hAnsi="宋体" w:cs="宋体"/>
                <w:color w:val="auto"/>
                <w:sz w:val="24"/>
              </w:rPr>
            </w:pPr>
            <w:r>
              <w:rPr>
                <w:rFonts w:hint="eastAsia" w:ascii="宋体" w:hAnsi="宋体" w:cs="宋体"/>
                <w:color w:val="auto"/>
                <w:kern w:val="0"/>
                <w:sz w:val="24"/>
                <w:lang w:bidi="ar"/>
              </w:rPr>
              <w:t>筛选记录和筛选收藏夹</w:t>
            </w:r>
          </w:p>
        </w:tc>
        <w:tc>
          <w:tcPr>
            <w:tcW w:w="3789" w:type="pct"/>
            <w:vAlign w:val="center"/>
          </w:tcPr>
          <w:p w14:paraId="29E885F3">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rPr>
              <w:t>需</w:t>
            </w:r>
            <w:r>
              <w:rPr>
                <w:rFonts w:hint="eastAsia" w:ascii="宋体" w:hAnsi="宋体" w:cs="宋体"/>
                <w:color w:val="auto"/>
                <w:kern w:val="0"/>
                <w:sz w:val="24"/>
                <w:lang w:bidi="ar"/>
              </w:rPr>
              <w:t>支持记录筛选记录查看；支持保存常用的筛选条件进入收藏夹，可一键点击恢复筛选。</w:t>
            </w:r>
          </w:p>
        </w:tc>
      </w:tr>
      <w:tr w14:paraId="5E9A6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vMerge w:val="restart"/>
            <w:shd w:val="clear" w:color="auto" w:fill="auto"/>
            <w:vAlign w:val="center"/>
          </w:tcPr>
          <w:p w14:paraId="138F2E19">
            <w:pPr>
              <w:pStyle w:val="968"/>
              <w:widowControl w:val="0"/>
              <w:spacing w:line="288" w:lineRule="auto"/>
              <w:ind w:firstLine="0" w:firstLineChars="0"/>
              <w:jc w:val="center"/>
              <w:rPr>
                <w:rFonts w:cs="宋体"/>
                <w:color w:val="auto"/>
                <w:szCs w:val="24"/>
              </w:rPr>
            </w:pPr>
            <w:r>
              <w:rPr>
                <w:rFonts w:hint="eastAsia" w:cs="宋体"/>
                <w:color w:val="auto"/>
                <w:szCs w:val="24"/>
              </w:rPr>
              <w:t>患者科研病历数据全景视图</w:t>
            </w:r>
          </w:p>
        </w:tc>
        <w:tc>
          <w:tcPr>
            <w:tcW w:w="680" w:type="pct"/>
            <w:tcBorders>
              <w:top w:val="single" w:color="auto" w:sz="4" w:space="0"/>
              <w:left w:val="single" w:color="auto" w:sz="4" w:space="0"/>
              <w:bottom w:val="single" w:color="auto" w:sz="4" w:space="0"/>
              <w:right w:val="single" w:color="auto" w:sz="4" w:space="0"/>
            </w:tcBorders>
            <w:shd w:val="clear" w:color="000000" w:fill="FFFFFF"/>
            <w:vAlign w:val="center"/>
          </w:tcPr>
          <w:p w14:paraId="76E83298">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kern w:val="0"/>
                <w:sz w:val="24"/>
                <w:lang w:bidi="ar"/>
              </w:rPr>
              <w:t>患者时间轴</w:t>
            </w:r>
          </w:p>
        </w:tc>
        <w:tc>
          <w:tcPr>
            <w:tcW w:w="3789" w:type="pct"/>
            <w:tcBorders>
              <w:top w:val="single" w:color="auto" w:sz="4" w:space="0"/>
              <w:left w:val="nil"/>
              <w:bottom w:val="single" w:color="auto" w:sz="4" w:space="0"/>
              <w:right w:val="single" w:color="auto" w:sz="4" w:space="0"/>
            </w:tcBorders>
            <w:shd w:val="clear" w:color="000000" w:fill="FFFFFF"/>
            <w:vAlign w:val="center"/>
          </w:tcPr>
          <w:p w14:paraId="44E9F64B">
            <w:pPr>
              <w:widowControl/>
              <w:adjustRightInd/>
              <w:spacing w:line="288" w:lineRule="auto"/>
              <w:jc w:val="left"/>
              <w:textAlignment w:val="top"/>
              <w:rPr>
                <w:rFonts w:ascii="宋体" w:hAnsi="宋体" w:cs="宋体"/>
                <w:color w:val="auto"/>
                <w:kern w:val="0"/>
                <w:sz w:val="24"/>
                <w:lang w:bidi="ar"/>
              </w:rPr>
            </w:pPr>
            <w:r>
              <w:rPr>
                <w:rFonts w:hint="eastAsia" w:ascii="宋体" w:hAnsi="宋体" w:cs="宋体"/>
                <w:color w:val="auto"/>
                <w:kern w:val="0"/>
                <w:sz w:val="24"/>
              </w:rPr>
              <w:t>需</w:t>
            </w:r>
            <w:r>
              <w:rPr>
                <w:rFonts w:hint="eastAsia" w:ascii="宋体" w:hAnsi="宋体" w:cs="宋体"/>
                <w:color w:val="auto"/>
                <w:kern w:val="0"/>
                <w:sz w:val="24"/>
                <w:lang w:bidi="ar"/>
              </w:rPr>
              <w:t>支持以时间轴形式查看患者诊疗全周期的数据，记录患者在每一个时间节点的检验、检查、诊断以及治疗等数据，建立患者全景视图。</w:t>
            </w:r>
          </w:p>
        </w:tc>
      </w:tr>
      <w:tr w14:paraId="5C9AC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vMerge w:val="continue"/>
            <w:shd w:val="clear" w:color="auto" w:fill="auto"/>
            <w:vAlign w:val="center"/>
          </w:tcPr>
          <w:p w14:paraId="6434B990">
            <w:pPr>
              <w:pStyle w:val="968"/>
              <w:widowControl w:val="0"/>
              <w:spacing w:line="288" w:lineRule="auto"/>
              <w:ind w:firstLine="0" w:firstLineChars="0"/>
              <w:jc w:val="center"/>
              <w:rPr>
                <w:rFonts w:cs="宋体"/>
                <w:color w:val="auto"/>
                <w:szCs w:val="24"/>
              </w:rPr>
            </w:pPr>
          </w:p>
        </w:tc>
        <w:tc>
          <w:tcPr>
            <w:tcW w:w="680" w:type="pct"/>
            <w:vMerge w:val="restart"/>
            <w:shd w:val="clear" w:color="auto" w:fill="auto"/>
            <w:vAlign w:val="center"/>
          </w:tcPr>
          <w:p w14:paraId="55BFAFE3">
            <w:pPr>
              <w:pStyle w:val="968"/>
              <w:widowControl w:val="0"/>
              <w:spacing w:line="288" w:lineRule="auto"/>
              <w:ind w:firstLine="0" w:firstLineChars="0"/>
              <w:jc w:val="center"/>
              <w:rPr>
                <w:rFonts w:cs="宋体"/>
                <w:color w:val="auto"/>
                <w:szCs w:val="24"/>
              </w:rPr>
            </w:pPr>
            <w:r>
              <w:rPr>
                <w:rFonts w:hint="eastAsia" w:cs="宋体"/>
                <w:color w:val="auto"/>
                <w:szCs w:val="24"/>
              </w:rPr>
              <w:t>患者360详情</w:t>
            </w:r>
          </w:p>
        </w:tc>
        <w:tc>
          <w:tcPr>
            <w:tcW w:w="3789" w:type="pct"/>
            <w:tcBorders>
              <w:top w:val="single" w:color="auto" w:sz="4" w:space="0"/>
              <w:left w:val="single" w:color="auto" w:sz="4" w:space="0"/>
              <w:bottom w:val="single" w:color="auto" w:sz="4" w:space="0"/>
              <w:right w:val="single" w:color="auto" w:sz="4" w:space="0"/>
            </w:tcBorders>
            <w:shd w:val="clear" w:color="000000" w:fill="FFFFFF"/>
            <w:vAlign w:val="center"/>
          </w:tcPr>
          <w:p w14:paraId="35CB8ADB">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1）</w:t>
            </w:r>
            <w:r>
              <w:rPr>
                <w:rFonts w:hint="eastAsia" w:ascii="宋体" w:hAnsi="宋体" w:cs="宋体"/>
                <w:color w:val="auto"/>
                <w:kern w:val="0"/>
                <w:sz w:val="24"/>
              </w:rPr>
              <w:t>需</w:t>
            </w:r>
            <w:r>
              <w:rPr>
                <w:rFonts w:hint="eastAsia" w:ascii="宋体" w:hAnsi="宋体" w:cs="宋体"/>
                <w:color w:val="auto"/>
                <w:kern w:val="0"/>
                <w:sz w:val="24"/>
                <w:lang w:bidi="ar"/>
              </w:rPr>
              <w:t>支持对患者结构化病历数据的展示，涵盖患者基本信息、入院记录、检验报告、检查报告、病理报告等。</w:t>
            </w:r>
          </w:p>
        </w:tc>
      </w:tr>
      <w:tr w14:paraId="53244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vMerge w:val="continue"/>
            <w:shd w:val="clear" w:color="auto" w:fill="auto"/>
          </w:tcPr>
          <w:p w14:paraId="383425D5">
            <w:pPr>
              <w:pStyle w:val="968"/>
              <w:widowControl w:val="0"/>
              <w:spacing w:line="288" w:lineRule="auto"/>
              <w:ind w:firstLine="0" w:firstLineChars="0"/>
              <w:jc w:val="center"/>
              <w:rPr>
                <w:rFonts w:cs="宋体"/>
                <w:color w:val="auto"/>
                <w:szCs w:val="24"/>
              </w:rPr>
            </w:pPr>
          </w:p>
        </w:tc>
        <w:tc>
          <w:tcPr>
            <w:tcW w:w="680" w:type="pct"/>
            <w:vMerge w:val="continue"/>
            <w:shd w:val="clear" w:color="auto" w:fill="auto"/>
          </w:tcPr>
          <w:p w14:paraId="439C3744">
            <w:pPr>
              <w:adjustRightInd/>
              <w:spacing w:line="288" w:lineRule="auto"/>
              <w:jc w:val="center"/>
              <w:rPr>
                <w:rFonts w:ascii="宋体" w:hAnsi="宋体" w:cs="宋体"/>
                <w:color w:val="auto"/>
                <w:sz w:val="24"/>
              </w:rPr>
            </w:pPr>
          </w:p>
        </w:tc>
        <w:tc>
          <w:tcPr>
            <w:tcW w:w="3789" w:type="pct"/>
            <w:tcBorders>
              <w:top w:val="nil"/>
              <w:left w:val="single" w:color="auto" w:sz="4" w:space="0"/>
              <w:bottom w:val="single" w:color="auto" w:sz="4" w:space="0"/>
              <w:right w:val="single" w:color="auto" w:sz="4" w:space="0"/>
            </w:tcBorders>
            <w:shd w:val="clear" w:color="000000" w:fill="FFFFFF"/>
            <w:vAlign w:val="center"/>
          </w:tcPr>
          <w:p w14:paraId="5B011234">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2）</w:t>
            </w:r>
            <w:r>
              <w:rPr>
                <w:rFonts w:hint="eastAsia" w:ascii="宋体" w:hAnsi="宋体" w:cs="宋体"/>
                <w:color w:val="auto"/>
                <w:kern w:val="0"/>
                <w:sz w:val="24"/>
              </w:rPr>
              <w:t>需</w:t>
            </w:r>
            <w:r>
              <w:rPr>
                <w:rFonts w:hint="eastAsia" w:ascii="宋体" w:hAnsi="宋体" w:cs="宋体"/>
                <w:color w:val="auto"/>
                <w:kern w:val="0"/>
                <w:sz w:val="24"/>
                <w:lang w:bidi="ar"/>
              </w:rPr>
              <w:t>支持表格视图和摘要视图之间自由切换数据展示方式，以满足不同的查看需求和偏好。</w:t>
            </w:r>
          </w:p>
        </w:tc>
      </w:tr>
      <w:tr w14:paraId="385C5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vMerge w:val="continue"/>
            <w:shd w:val="clear" w:color="auto" w:fill="auto"/>
          </w:tcPr>
          <w:p w14:paraId="30EA6D89">
            <w:pPr>
              <w:pStyle w:val="968"/>
              <w:widowControl w:val="0"/>
              <w:spacing w:line="288" w:lineRule="auto"/>
              <w:ind w:firstLine="0" w:firstLineChars="0"/>
              <w:jc w:val="center"/>
              <w:rPr>
                <w:rFonts w:cs="宋体"/>
                <w:color w:val="auto"/>
                <w:szCs w:val="24"/>
              </w:rPr>
            </w:pPr>
          </w:p>
        </w:tc>
        <w:tc>
          <w:tcPr>
            <w:tcW w:w="680" w:type="pct"/>
            <w:vMerge w:val="continue"/>
            <w:shd w:val="clear" w:color="auto" w:fill="auto"/>
          </w:tcPr>
          <w:p w14:paraId="2C78E196">
            <w:pPr>
              <w:pStyle w:val="968"/>
              <w:widowControl w:val="0"/>
              <w:spacing w:line="288" w:lineRule="auto"/>
              <w:ind w:firstLine="0" w:firstLineChars="0"/>
              <w:jc w:val="center"/>
              <w:rPr>
                <w:rFonts w:cs="宋体"/>
                <w:color w:val="auto"/>
                <w:szCs w:val="24"/>
              </w:rPr>
            </w:pPr>
          </w:p>
        </w:tc>
        <w:tc>
          <w:tcPr>
            <w:tcW w:w="3789" w:type="pct"/>
            <w:tcBorders>
              <w:top w:val="nil"/>
              <w:left w:val="single" w:color="auto" w:sz="4" w:space="0"/>
              <w:bottom w:val="single" w:color="auto" w:sz="4" w:space="0"/>
              <w:right w:val="single" w:color="auto" w:sz="4" w:space="0"/>
            </w:tcBorders>
            <w:shd w:val="clear" w:color="000000" w:fill="FFFFFF"/>
            <w:vAlign w:val="center"/>
          </w:tcPr>
          <w:p w14:paraId="3472EF8A">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3）</w:t>
            </w:r>
            <w:r>
              <w:rPr>
                <w:rFonts w:hint="eastAsia" w:ascii="宋体" w:hAnsi="宋体" w:cs="宋体"/>
                <w:color w:val="auto"/>
                <w:kern w:val="0"/>
                <w:sz w:val="24"/>
              </w:rPr>
              <w:t>需</w:t>
            </w:r>
            <w:r>
              <w:rPr>
                <w:rFonts w:hint="eastAsia" w:ascii="宋体" w:hAnsi="宋体" w:cs="宋体"/>
                <w:color w:val="auto"/>
                <w:kern w:val="0"/>
                <w:sz w:val="24"/>
                <w:lang w:bidi="ar"/>
              </w:rPr>
              <w:t>支持自定义数据模块字段的显示与隐藏，并允许通过拖拽操作调整字段的展示顺序。</w:t>
            </w:r>
          </w:p>
        </w:tc>
      </w:tr>
      <w:tr w14:paraId="3D3B8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vMerge w:val="continue"/>
            <w:shd w:val="clear" w:color="auto" w:fill="auto"/>
          </w:tcPr>
          <w:p w14:paraId="49575CEC">
            <w:pPr>
              <w:pStyle w:val="968"/>
              <w:widowControl w:val="0"/>
              <w:spacing w:line="288" w:lineRule="auto"/>
              <w:ind w:firstLine="0" w:firstLineChars="0"/>
              <w:jc w:val="center"/>
              <w:rPr>
                <w:rFonts w:cs="宋体"/>
                <w:color w:val="auto"/>
                <w:szCs w:val="24"/>
              </w:rPr>
            </w:pPr>
          </w:p>
        </w:tc>
        <w:tc>
          <w:tcPr>
            <w:tcW w:w="680" w:type="pct"/>
            <w:vMerge w:val="continue"/>
            <w:shd w:val="clear" w:color="auto" w:fill="auto"/>
          </w:tcPr>
          <w:p w14:paraId="3794AED0">
            <w:pPr>
              <w:pStyle w:val="968"/>
              <w:widowControl w:val="0"/>
              <w:spacing w:line="288" w:lineRule="auto"/>
              <w:ind w:firstLine="0" w:firstLineChars="0"/>
              <w:jc w:val="center"/>
              <w:rPr>
                <w:rFonts w:cs="宋体"/>
                <w:color w:val="auto"/>
                <w:szCs w:val="24"/>
              </w:rPr>
            </w:pPr>
          </w:p>
        </w:tc>
        <w:tc>
          <w:tcPr>
            <w:tcW w:w="3789" w:type="pct"/>
            <w:tcBorders>
              <w:top w:val="nil"/>
              <w:left w:val="single" w:color="auto" w:sz="4" w:space="0"/>
              <w:bottom w:val="single" w:color="auto" w:sz="4" w:space="0"/>
              <w:right w:val="single" w:color="auto" w:sz="4" w:space="0"/>
            </w:tcBorders>
            <w:shd w:val="clear" w:color="000000" w:fill="FFFFFF"/>
            <w:vAlign w:val="center"/>
          </w:tcPr>
          <w:p w14:paraId="5E033CAC">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4）</w:t>
            </w:r>
            <w:r>
              <w:rPr>
                <w:rFonts w:hint="eastAsia" w:ascii="宋体" w:hAnsi="宋体" w:cs="宋体"/>
                <w:color w:val="auto"/>
                <w:kern w:val="0"/>
                <w:sz w:val="24"/>
              </w:rPr>
              <w:t>需</w:t>
            </w:r>
            <w:r>
              <w:rPr>
                <w:rFonts w:hint="eastAsia" w:ascii="宋体" w:hAnsi="宋体" w:cs="宋体"/>
                <w:color w:val="auto"/>
                <w:kern w:val="0"/>
                <w:sz w:val="24"/>
                <w:lang w:bidi="ar"/>
              </w:rPr>
              <w:t>支持关键字段的筛选功能，通过这些字段快速定位患者病历内容。</w:t>
            </w:r>
          </w:p>
        </w:tc>
      </w:tr>
      <w:tr w14:paraId="1BC60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vMerge w:val="continue"/>
            <w:shd w:val="clear" w:color="auto" w:fill="auto"/>
          </w:tcPr>
          <w:p w14:paraId="30BF43E3">
            <w:pPr>
              <w:pStyle w:val="968"/>
              <w:widowControl w:val="0"/>
              <w:spacing w:line="288" w:lineRule="auto"/>
              <w:ind w:firstLine="0" w:firstLineChars="0"/>
              <w:jc w:val="center"/>
              <w:rPr>
                <w:rFonts w:cs="宋体"/>
                <w:color w:val="auto"/>
                <w:szCs w:val="24"/>
              </w:rPr>
            </w:pPr>
          </w:p>
        </w:tc>
        <w:tc>
          <w:tcPr>
            <w:tcW w:w="680" w:type="pct"/>
            <w:vMerge w:val="continue"/>
            <w:shd w:val="clear" w:color="auto" w:fill="auto"/>
          </w:tcPr>
          <w:p w14:paraId="349C300F">
            <w:pPr>
              <w:pStyle w:val="968"/>
              <w:widowControl w:val="0"/>
              <w:spacing w:line="288" w:lineRule="auto"/>
              <w:ind w:firstLine="0" w:firstLineChars="0"/>
              <w:jc w:val="center"/>
              <w:rPr>
                <w:rFonts w:cs="宋体"/>
                <w:color w:val="auto"/>
                <w:szCs w:val="24"/>
              </w:rPr>
            </w:pPr>
          </w:p>
        </w:tc>
        <w:tc>
          <w:tcPr>
            <w:tcW w:w="3789" w:type="pct"/>
            <w:tcBorders>
              <w:top w:val="nil"/>
              <w:left w:val="single" w:color="auto" w:sz="4" w:space="0"/>
              <w:bottom w:val="single" w:color="auto" w:sz="4" w:space="0"/>
              <w:right w:val="single" w:color="auto" w:sz="4" w:space="0"/>
            </w:tcBorders>
            <w:shd w:val="clear" w:color="000000" w:fill="FFFFFF"/>
            <w:vAlign w:val="center"/>
          </w:tcPr>
          <w:p w14:paraId="66EC8C0F">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5）</w:t>
            </w:r>
            <w:r>
              <w:rPr>
                <w:rFonts w:hint="eastAsia" w:ascii="宋体" w:hAnsi="宋体" w:cs="宋体"/>
                <w:color w:val="auto"/>
                <w:kern w:val="0"/>
                <w:sz w:val="24"/>
              </w:rPr>
              <w:t>需</w:t>
            </w:r>
            <w:r>
              <w:rPr>
                <w:rFonts w:hint="eastAsia" w:ascii="宋体" w:hAnsi="宋体" w:cs="宋体"/>
                <w:color w:val="auto"/>
                <w:kern w:val="0"/>
                <w:sz w:val="24"/>
                <w:lang w:bidi="ar"/>
              </w:rPr>
              <w:t>支持在检验模块自定义并查看检验指标的时序变化图，从而可以直观地观察和分析指标随时间的变化趋势。</w:t>
            </w:r>
          </w:p>
        </w:tc>
      </w:tr>
      <w:tr w14:paraId="6C3D1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vMerge w:val="continue"/>
            <w:shd w:val="clear" w:color="auto" w:fill="auto"/>
          </w:tcPr>
          <w:p w14:paraId="174B47EF">
            <w:pPr>
              <w:pStyle w:val="968"/>
              <w:widowControl w:val="0"/>
              <w:spacing w:line="288" w:lineRule="auto"/>
              <w:ind w:firstLine="0" w:firstLineChars="0"/>
              <w:jc w:val="center"/>
              <w:rPr>
                <w:rFonts w:cs="宋体"/>
                <w:color w:val="auto"/>
                <w:szCs w:val="24"/>
              </w:rPr>
            </w:pPr>
          </w:p>
        </w:tc>
        <w:tc>
          <w:tcPr>
            <w:tcW w:w="680" w:type="pct"/>
            <w:vMerge w:val="continue"/>
            <w:shd w:val="clear" w:color="auto" w:fill="auto"/>
          </w:tcPr>
          <w:p w14:paraId="3E13518C">
            <w:pPr>
              <w:pStyle w:val="968"/>
              <w:widowControl w:val="0"/>
              <w:spacing w:line="288" w:lineRule="auto"/>
              <w:ind w:firstLine="0" w:firstLineChars="0"/>
              <w:jc w:val="center"/>
              <w:rPr>
                <w:rFonts w:cs="宋体"/>
                <w:color w:val="auto"/>
                <w:szCs w:val="24"/>
              </w:rPr>
            </w:pPr>
          </w:p>
        </w:tc>
        <w:tc>
          <w:tcPr>
            <w:tcW w:w="3789" w:type="pct"/>
            <w:tcBorders>
              <w:top w:val="nil"/>
              <w:left w:val="single" w:color="auto" w:sz="4" w:space="0"/>
              <w:bottom w:val="single" w:color="auto" w:sz="4" w:space="0"/>
              <w:right w:val="single" w:color="auto" w:sz="4" w:space="0"/>
            </w:tcBorders>
            <w:shd w:val="clear" w:color="000000" w:fill="FFFFFF"/>
            <w:vAlign w:val="center"/>
          </w:tcPr>
          <w:p w14:paraId="062C4AC5">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6）为方便随时比对患者的病历数据，系统需要支持以左右对照的形式展示患者病历结构化内容和原始的病历原文信息。</w:t>
            </w:r>
          </w:p>
        </w:tc>
      </w:tr>
      <w:tr w14:paraId="2333B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vMerge w:val="continue"/>
          </w:tcPr>
          <w:p w14:paraId="7DEA562F">
            <w:pPr>
              <w:pStyle w:val="968"/>
              <w:widowControl w:val="0"/>
              <w:spacing w:line="288" w:lineRule="auto"/>
              <w:ind w:firstLine="0" w:firstLineChars="0"/>
              <w:jc w:val="center"/>
              <w:rPr>
                <w:rFonts w:cs="宋体"/>
                <w:color w:val="auto"/>
                <w:szCs w:val="24"/>
              </w:rPr>
            </w:pPr>
          </w:p>
        </w:tc>
        <w:tc>
          <w:tcPr>
            <w:tcW w:w="680" w:type="pct"/>
            <w:vMerge w:val="restart"/>
            <w:vAlign w:val="center"/>
          </w:tcPr>
          <w:p w14:paraId="21F944C8">
            <w:pPr>
              <w:pStyle w:val="968"/>
              <w:widowControl w:val="0"/>
              <w:spacing w:line="288" w:lineRule="auto"/>
              <w:ind w:firstLine="0" w:firstLineChars="0"/>
              <w:jc w:val="center"/>
              <w:rPr>
                <w:rFonts w:cs="宋体"/>
                <w:color w:val="auto"/>
                <w:szCs w:val="24"/>
              </w:rPr>
            </w:pPr>
            <w:r>
              <w:rPr>
                <w:rFonts w:hint="eastAsia" w:cs="宋体"/>
                <w:color w:val="auto"/>
                <w:szCs w:val="24"/>
              </w:rPr>
              <w:t>患者病</w:t>
            </w:r>
          </w:p>
          <w:p w14:paraId="72D0824C">
            <w:pPr>
              <w:pStyle w:val="968"/>
              <w:widowControl w:val="0"/>
              <w:spacing w:line="288" w:lineRule="auto"/>
              <w:ind w:firstLine="0" w:firstLineChars="0"/>
              <w:jc w:val="center"/>
              <w:rPr>
                <w:rFonts w:cs="宋体"/>
                <w:color w:val="auto"/>
                <w:szCs w:val="24"/>
              </w:rPr>
            </w:pPr>
            <w:r>
              <w:rPr>
                <w:rFonts w:hint="eastAsia" w:cs="宋体"/>
                <w:color w:val="auto"/>
                <w:szCs w:val="24"/>
              </w:rPr>
              <w:t>案夹</w:t>
            </w:r>
          </w:p>
        </w:tc>
        <w:tc>
          <w:tcPr>
            <w:tcW w:w="3789" w:type="pct"/>
          </w:tcPr>
          <w:p w14:paraId="44238F0D">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1）</w:t>
            </w:r>
            <w:r>
              <w:rPr>
                <w:rFonts w:hint="eastAsia" w:ascii="宋体" w:hAnsi="宋体" w:cs="宋体"/>
                <w:color w:val="auto"/>
                <w:kern w:val="0"/>
                <w:sz w:val="24"/>
              </w:rPr>
              <w:t>需</w:t>
            </w:r>
            <w:r>
              <w:rPr>
                <w:rFonts w:hint="eastAsia" w:ascii="宋体" w:hAnsi="宋体" w:cs="宋体"/>
                <w:color w:val="auto"/>
                <w:kern w:val="0"/>
                <w:sz w:val="24"/>
                <w:lang w:bidi="ar"/>
              </w:rPr>
              <w:t>支持按就诊维度对患者病历信息进行聚合展示，显示患者历次就诊的类别及就诊信息摘要，并根据就诊时间进行排序，便于快速访问和分析患者的历史病历信。</w:t>
            </w:r>
          </w:p>
        </w:tc>
      </w:tr>
      <w:tr w14:paraId="042A0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vMerge w:val="continue"/>
          </w:tcPr>
          <w:p w14:paraId="13544878">
            <w:pPr>
              <w:pStyle w:val="968"/>
              <w:widowControl w:val="0"/>
              <w:spacing w:line="288" w:lineRule="auto"/>
              <w:ind w:firstLine="0" w:firstLineChars="0"/>
              <w:jc w:val="center"/>
              <w:rPr>
                <w:rFonts w:cs="宋体"/>
                <w:color w:val="auto"/>
                <w:szCs w:val="24"/>
              </w:rPr>
            </w:pPr>
          </w:p>
        </w:tc>
        <w:tc>
          <w:tcPr>
            <w:tcW w:w="680" w:type="pct"/>
            <w:vMerge w:val="continue"/>
            <w:vAlign w:val="center"/>
          </w:tcPr>
          <w:p w14:paraId="236CEC80">
            <w:pPr>
              <w:pStyle w:val="968"/>
              <w:widowControl w:val="0"/>
              <w:spacing w:line="288" w:lineRule="auto"/>
              <w:ind w:firstLine="0" w:firstLineChars="0"/>
              <w:jc w:val="center"/>
              <w:rPr>
                <w:rFonts w:cs="宋体"/>
                <w:color w:val="auto"/>
                <w:szCs w:val="24"/>
              </w:rPr>
            </w:pPr>
          </w:p>
        </w:tc>
        <w:tc>
          <w:tcPr>
            <w:tcW w:w="3789" w:type="pct"/>
          </w:tcPr>
          <w:p w14:paraId="24B9BA3A">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2）</w:t>
            </w:r>
            <w:r>
              <w:rPr>
                <w:rFonts w:hint="eastAsia" w:ascii="宋体" w:hAnsi="宋体" w:cs="宋体"/>
                <w:color w:val="auto"/>
                <w:kern w:val="0"/>
                <w:sz w:val="24"/>
              </w:rPr>
              <w:t>需</w:t>
            </w:r>
            <w:r>
              <w:rPr>
                <w:rFonts w:hint="eastAsia" w:ascii="宋体" w:hAnsi="宋体" w:cs="宋体"/>
                <w:color w:val="auto"/>
                <w:kern w:val="0"/>
                <w:sz w:val="24"/>
                <w:lang w:bidi="ar"/>
              </w:rPr>
              <w:t>支持按照就诊类型、就诊时间范围筛选，并可查看对应的病历详情。</w:t>
            </w:r>
          </w:p>
        </w:tc>
      </w:tr>
      <w:tr w14:paraId="25BB5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vMerge w:val="continue"/>
          </w:tcPr>
          <w:p w14:paraId="5A6B18F1">
            <w:pPr>
              <w:pStyle w:val="968"/>
              <w:widowControl w:val="0"/>
              <w:spacing w:line="288" w:lineRule="auto"/>
              <w:ind w:firstLine="0" w:firstLineChars="0"/>
              <w:jc w:val="center"/>
              <w:rPr>
                <w:rFonts w:cs="宋体"/>
                <w:color w:val="auto"/>
                <w:szCs w:val="24"/>
              </w:rPr>
            </w:pPr>
          </w:p>
        </w:tc>
        <w:tc>
          <w:tcPr>
            <w:tcW w:w="680" w:type="pct"/>
            <w:vMerge w:val="continue"/>
            <w:vAlign w:val="center"/>
          </w:tcPr>
          <w:p w14:paraId="59A8BDED">
            <w:pPr>
              <w:pStyle w:val="968"/>
              <w:widowControl w:val="0"/>
              <w:spacing w:line="288" w:lineRule="auto"/>
              <w:ind w:firstLine="0" w:firstLineChars="0"/>
              <w:jc w:val="center"/>
              <w:rPr>
                <w:rFonts w:cs="宋体"/>
                <w:color w:val="auto"/>
                <w:szCs w:val="24"/>
              </w:rPr>
            </w:pPr>
          </w:p>
        </w:tc>
        <w:tc>
          <w:tcPr>
            <w:tcW w:w="3789" w:type="pct"/>
          </w:tcPr>
          <w:p w14:paraId="398B07E9">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3）</w:t>
            </w:r>
            <w:r>
              <w:rPr>
                <w:rFonts w:hint="eastAsia" w:ascii="宋体" w:hAnsi="宋体" w:cs="宋体"/>
                <w:color w:val="auto"/>
                <w:kern w:val="0"/>
                <w:sz w:val="24"/>
              </w:rPr>
              <w:t>需</w:t>
            </w:r>
            <w:r>
              <w:rPr>
                <w:rFonts w:hint="eastAsia" w:ascii="宋体" w:hAnsi="宋体" w:cs="宋体"/>
                <w:color w:val="auto"/>
                <w:kern w:val="0"/>
                <w:sz w:val="24"/>
                <w:lang w:bidi="ar"/>
              </w:rPr>
              <w:t>支持用户查看指定病案夹下的病历详情。</w:t>
            </w:r>
          </w:p>
        </w:tc>
      </w:tr>
      <w:tr w14:paraId="5AC77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vMerge w:val="continue"/>
          </w:tcPr>
          <w:p w14:paraId="1EBF8FE4">
            <w:pPr>
              <w:pStyle w:val="968"/>
              <w:widowControl w:val="0"/>
              <w:spacing w:line="288" w:lineRule="auto"/>
              <w:ind w:firstLine="0" w:firstLineChars="0"/>
              <w:jc w:val="center"/>
              <w:rPr>
                <w:rFonts w:cs="宋体"/>
                <w:color w:val="auto"/>
                <w:szCs w:val="24"/>
              </w:rPr>
            </w:pPr>
          </w:p>
        </w:tc>
        <w:tc>
          <w:tcPr>
            <w:tcW w:w="680" w:type="pct"/>
            <w:vMerge w:val="restart"/>
            <w:vAlign w:val="center"/>
          </w:tcPr>
          <w:p w14:paraId="35FFF0ED">
            <w:pPr>
              <w:pStyle w:val="968"/>
              <w:widowControl w:val="0"/>
              <w:spacing w:line="288" w:lineRule="auto"/>
              <w:ind w:firstLine="0" w:firstLineChars="0"/>
              <w:jc w:val="center"/>
              <w:rPr>
                <w:rFonts w:cs="宋体"/>
                <w:color w:val="auto"/>
                <w:szCs w:val="24"/>
              </w:rPr>
            </w:pPr>
            <w:r>
              <w:rPr>
                <w:rFonts w:hint="eastAsia" w:cs="宋体"/>
                <w:color w:val="auto"/>
                <w:szCs w:val="24"/>
              </w:rPr>
              <w:t>结构化</w:t>
            </w:r>
          </w:p>
          <w:p w14:paraId="36CA786F">
            <w:pPr>
              <w:pStyle w:val="968"/>
              <w:widowControl w:val="0"/>
              <w:spacing w:line="288" w:lineRule="auto"/>
              <w:ind w:firstLine="0" w:firstLineChars="0"/>
              <w:jc w:val="center"/>
              <w:rPr>
                <w:rFonts w:cs="宋体"/>
                <w:color w:val="auto"/>
                <w:szCs w:val="24"/>
              </w:rPr>
            </w:pPr>
            <w:r>
              <w:rPr>
                <w:rFonts w:hint="eastAsia" w:cs="宋体"/>
                <w:color w:val="auto"/>
                <w:szCs w:val="24"/>
              </w:rPr>
              <w:t>数据溯源</w:t>
            </w:r>
          </w:p>
        </w:tc>
        <w:tc>
          <w:tcPr>
            <w:tcW w:w="3789" w:type="pct"/>
          </w:tcPr>
          <w:p w14:paraId="107B06FB">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1）</w:t>
            </w:r>
            <w:r>
              <w:rPr>
                <w:rFonts w:hint="eastAsia" w:ascii="宋体" w:hAnsi="宋体" w:cs="宋体"/>
                <w:color w:val="auto"/>
                <w:kern w:val="0"/>
                <w:sz w:val="24"/>
              </w:rPr>
              <w:t>需</w:t>
            </w:r>
            <w:r>
              <w:rPr>
                <w:rFonts w:hint="eastAsia" w:ascii="宋体" w:hAnsi="宋体" w:cs="宋体"/>
                <w:color w:val="auto"/>
                <w:kern w:val="0"/>
                <w:sz w:val="24"/>
                <w:lang w:bidi="ar"/>
              </w:rPr>
              <w:t>支持患者临床结构化数据与原始数据溯源，实现结构化结果在原文中的快速定位。</w:t>
            </w:r>
          </w:p>
        </w:tc>
      </w:tr>
      <w:tr w14:paraId="1A5A7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vMerge w:val="continue"/>
          </w:tcPr>
          <w:p w14:paraId="31479718">
            <w:pPr>
              <w:pStyle w:val="968"/>
              <w:widowControl w:val="0"/>
              <w:spacing w:line="288" w:lineRule="auto"/>
              <w:ind w:firstLine="0" w:firstLineChars="0"/>
              <w:jc w:val="center"/>
              <w:rPr>
                <w:rFonts w:cs="宋体"/>
                <w:color w:val="auto"/>
                <w:szCs w:val="24"/>
              </w:rPr>
            </w:pPr>
          </w:p>
        </w:tc>
        <w:tc>
          <w:tcPr>
            <w:tcW w:w="680" w:type="pct"/>
            <w:vMerge w:val="continue"/>
          </w:tcPr>
          <w:p w14:paraId="227C4CBC">
            <w:pPr>
              <w:pStyle w:val="968"/>
              <w:widowControl w:val="0"/>
              <w:spacing w:line="288" w:lineRule="auto"/>
              <w:ind w:firstLine="0" w:firstLineChars="0"/>
              <w:jc w:val="center"/>
              <w:rPr>
                <w:rFonts w:cs="宋体"/>
                <w:color w:val="auto"/>
                <w:szCs w:val="24"/>
              </w:rPr>
            </w:pPr>
          </w:p>
        </w:tc>
        <w:tc>
          <w:tcPr>
            <w:tcW w:w="3789" w:type="pct"/>
          </w:tcPr>
          <w:p w14:paraId="15989A0C">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2）</w:t>
            </w:r>
            <w:r>
              <w:rPr>
                <w:rFonts w:hint="eastAsia" w:ascii="宋体" w:hAnsi="宋体" w:cs="宋体"/>
                <w:color w:val="auto"/>
                <w:kern w:val="0"/>
                <w:sz w:val="24"/>
              </w:rPr>
              <w:t>需</w:t>
            </w:r>
            <w:r>
              <w:rPr>
                <w:rFonts w:hint="eastAsia" w:ascii="宋体" w:hAnsi="宋体" w:cs="宋体"/>
                <w:color w:val="auto"/>
                <w:kern w:val="0"/>
                <w:sz w:val="24"/>
                <w:lang w:bidi="ar"/>
              </w:rPr>
              <w:t>支持结构化数据取值逻辑展现，包括取值来源、原始数据摘要展示等。</w:t>
            </w:r>
          </w:p>
        </w:tc>
      </w:tr>
      <w:tr w14:paraId="7E618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vMerge w:val="continue"/>
          </w:tcPr>
          <w:p w14:paraId="1BC8052A">
            <w:pPr>
              <w:pStyle w:val="968"/>
              <w:widowControl w:val="0"/>
              <w:spacing w:line="288" w:lineRule="auto"/>
              <w:ind w:firstLine="0" w:firstLineChars="0"/>
              <w:jc w:val="center"/>
              <w:rPr>
                <w:rFonts w:cs="宋体"/>
                <w:color w:val="auto"/>
                <w:szCs w:val="24"/>
              </w:rPr>
            </w:pPr>
          </w:p>
        </w:tc>
        <w:tc>
          <w:tcPr>
            <w:tcW w:w="680" w:type="pct"/>
            <w:vMerge w:val="continue"/>
          </w:tcPr>
          <w:p w14:paraId="637AE862">
            <w:pPr>
              <w:pStyle w:val="968"/>
              <w:widowControl w:val="0"/>
              <w:spacing w:line="288" w:lineRule="auto"/>
              <w:ind w:firstLine="0" w:firstLineChars="0"/>
              <w:jc w:val="center"/>
              <w:rPr>
                <w:rFonts w:cs="宋体"/>
                <w:color w:val="auto"/>
                <w:szCs w:val="24"/>
              </w:rPr>
            </w:pPr>
          </w:p>
        </w:tc>
        <w:tc>
          <w:tcPr>
            <w:tcW w:w="3789" w:type="pct"/>
          </w:tcPr>
          <w:p w14:paraId="7D31E66B">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3）</w:t>
            </w:r>
            <w:r>
              <w:rPr>
                <w:rFonts w:hint="eastAsia" w:ascii="宋体" w:hAnsi="宋体" w:cs="宋体"/>
                <w:color w:val="auto"/>
                <w:kern w:val="0"/>
                <w:sz w:val="24"/>
              </w:rPr>
              <w:t>需</w:t>
            </w:r>
            <w:r>
              <w:rPr>
                <w:rFonts w:hint="eastAsia" w:ascii="宋体" w:hAnsi="宋体" w:cs="宋体"/>
                <w:color w:val="auto"/>
                <w:kern w:val="0"/>
                <w:sz w:val="24"/>
                <w:lang w:bidi="ar"/>
              </w:rPr>
              <w:t>支持结构化数据一键定位取值原文，并实时高亮显示标记结果。</w:t>
            </w:r>
          </w:p>
        </w:tc>
      </w:tr>
      <w:tr w14:paraId="0AD2E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vMerge w:val="continue"/>
          </w:tcPr>
          <w:p w14:paraId="7EE53D21">
            <w:pPr>
              <w:pStyle w:val="968"/>
              <w:widowControl w:val="0"/>
              <w:spacing w:line="288" w:lineRule="auto"/>
              <w:ind w:firstLine="0" w:firstLineChars="0"/>
              <w:jc w:val="center"/>
              <w:rPr>
                <w:rFonts w:cs="宋体"/>
                <w:color w:val="auto"/>
                <w:szCs w:val="24"/>
              </w:rPr>
            </w:pPr>
          </w:p>
        </w:tc>
        <w:tc>
          <w:tcPr>
            <w:tcW w:w="680" w:type="pct"/>
            <w:vAlign w:val="center"/>
          </w:tcPr>
          <w:p w14:paraId="3B671366">
            <w:pPr>
              <w:widowControl/>
              <w:adjustRightInd/>
              <w:spacing w:line="288" w:lineRule="auto"/>
              <w:jc w:val="center"/>
              <w:textAlignment w:val="top"/>
              <w:rPr>
                <w:rFonts w:ascii="宋体" w:hAnsi="宋体" w:cs="宋体"/>
                <w:color w:val="auto"/>
                <w:sz w:val="24"/>
              </w:rPr>
            </w:pPr>
            <w:r>
              <w:rPr>
                <w:rFonts w:hint="eastAsia" w:ascii="宋体" w:hAnsi="宋体" w:cs="宋体"/>
                <w:color w:val="auto"/>
                <w:sz w:val="24"/>
              </w:rPr>
              <w:t>病历原文</w:t>
            </w:r>
          </w:p>
        </w:tc>
        <w:tc>
          <w:tcPr>
            <w:tcW w:w="3789" w:type="pct"/>
          </w:tcPr>
          <w:p w14:paraId="7C6005FE">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rPr>
              <w:t>需</w:t>
            </w:r>
            <w:r>
              <w:rPr>
                <w:rFonts w:hint="eastAsia" w:ascii="宋体" w:hAnsi="宋体" w:cs="宋体"/>
                <w:color w:val="auto"/>
                <w:kern w:val="0"/>
                <w:sz w:val="24"/>
                <w:lang w:bidi="ar"/>
              </w:rPr>
              <w:t>支持门诊、住院等类别的各类原始文书和检验检查数据的分模块展示，包括门诊病历、住院病历、病案首页、检查记录、检验报告、医嘱记录等数据内容，确保信息的有序性。</w:t>
            </w:r>
          </w:p>
        </w:tc>
      </w:tr>
      <w:tr w14:paraId="0641B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vMerge w:val="continue"/>
            <w:shd w:val="clear" w:color="auto" w:fill="auto"/>
          </w:tcPr>
          <w:p w14:paraId="5917E082">
            <w:pPr>
              <w:pStyle w:val="968"/>
              <w:widowControl w:val="0"/>
              <w:spacing w:line="288" w:lineRule="auto"/>
              <w:ind w:firstLine="0" w:firstLineChars="0"/>
              <w:jc w:val="center"/>
              <w:rPr>
                <w:rFonts w:cs="宋体"/>
                <w:color w:val="auto"/>
                <w:szCs w:val="24"/>
              </w:rPr>
            </w:pPr>
          </w:p>
        </w:tc>
        <w:tc>
          <w:tcPr>
            <w:tcW w:w="680" w:type="pct"/>
            <w:tcBorders>
              <w:top w:val="single" w:color="auto" w:sz="4" w:space="0"/>
              <w:left w:val="single" w:color="auto" w:sz="4" w:space="0"/>
              <w:bottom w:val="single" w:color="auto" w:sz="4" w:space="0"/>
              <w:right w:val="single" w:color="auto" w:sz="4" w:space="0"/>
            </w:tcBorders>
            <w:shd w:val="clear" w:color="000000" w:fill="FFFFFF"/>
            <w:vAlign w:val="center"/>
          </w:tcPr>
          <w:p w14:paraId="040CCA46">
            <w:pPr>
              <w:widowControl/>
              <w:adjustRightInd/>
              <w:spacing w:line="288" w:lineRule="auto"/>
              <w:jc w:val="center"/>
              <w:textAlignment w:val="top"/>
              <w:rPr>
                <w:rFonts w:ascii="宋体" w:hAnsi="宋体" w:cs="宋体"/>
                <w:color w:val="auto"/>
                <w:sz w:val="24"/>
              </w:rPr>
            </w:pPr>
            <w:r>
              <w:rPr>
                <w:rFonts w:hint="eastAsia" w:ascii="宋体" w:hAnsi="宋体" w:cs="宋体"/>
                <w:color w:val="auto"/>
                <w:sz w:val="24"/>
              </w:rPr>
              <w:t>患者</w:t>
            </w:r>
          </w:p>
          <w:p w14:paraId="79B89A3F">
            <w:pPr>
              <w:widowControl/>
              <w:adjustRightInd/>
              <w:spacing w:line="288" w:lineRule="auto"/>
              <w:jc w:val="center"/>
              <w:textAlignment w:val="top"/>
              <w:rPr>
                <w:rFonts w:ascii="宋体" w:hAnsi="宋体" w:cs="宋体"/>
                <w:color w:val="auto"/>
                <w:sz w:val="24"/>
              </w:rPr>
            </w:pPr>
            <w:r>
              <w:rPr>
                <w:rFonts w:hint="eastAsia" w:ascii="宋体" w:hAnsi="宋体" w:cs="宋体"/>
                <w:color w:val="auto"/>
                <w:sz w:val="24"/>
              </w:rPr>
              <w:t>收藏夹</w:t>
            </w:r>
          </w:p>
        </w:tc>
        <w:tc>
          <w:tcPr>
            <w:tcW w:w="3789" w:type="pct"/>
            <w:tcBorders>
              <w:top w:val="single" w:color="auto" w:sz="4" w:space="0"/>
              <w:left w:val="nil"/>
              <w:bottom w:val="single" w:color="auto" w:sz="4" w:space="0"/>
              <w:right w:val="single" w:color="auto" w:sz="4" w:space="0"/>
            </w:tcBorders>
            <w:shd w:val="clear" w:color="000000" w:fill="FFFFFF"/>
            <w:vAlign w:val="center"/>
          </w:tcPr>
          <w:p w14:paraId="3A025348">
            <w:pPr>
              <w:widowControl/>
              <w:adjustRightInd/>
              <w:spacing w:line="288" w:lineRule="auto"/>
              <w:jc w:val="left"/>
              <w:textAlignment w:val="top"/>
              <w:rPr>
                <w:rFonts w:ascii="宋体" w:hAnsi="宋体" w:cs="宋体"/>
                <w:color w:val="auto"/>
                <w:sz w:val="24"/>
              </w:rPr>
            </w:pPr>
            <w:r>
              <w:rPr>
                <w:rFonts w:hint="eastAsia" w:ascii="宋体" w:hAnsi="宋体" w:cs="宋体"/>
                <w:color w:val="auto"/>
                <w:kern w:val="0"/>
                <w:sz w:val="24"/>
              </w:rPr>
              <w:t>需</w:t>
            </w:r>
            <w:r>
              <w:rPr>
                <w:rFonts w:hint="eastAsia" w:ascii="宋体" w:hAnsi="宋体" w:cs="宋体"/>
                <w:color w:val="auto"/>
                <w:sz w:val="24"/>
              </w:rPr>
              <w:t>支持患者数据收藏管理，对于感兴趣的典型患者，可加入“收藏夹”，进行快速查阅，并且可将特定患者号入特定的项目组。</w:t>
            </w:r>
          </w:p>
        </w:tc>
      </w:tr>
      <w:tr w14:paraId="236A0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vMerge w:val="restart"/>
            <w:vAlign w:val="center"/>
          </w:tcPr>
          <w:p w14:paraId="21FC0E01">
            <w:pPr>
              <w:pStyle w:val="968"/>
              <w:widowControl w:val="0"/>
              <w:spacing w:line="288" w:lineRule="auto"/>
              <w:ind w:firstLine="0" w:firstLineChars="0"/>
              <w:jc w:val="center"/>
              <w:rPr>
                <w:rFonts w:cs="宋体"/>
                <w:color w:val="auto"/>
                <w:szCs w:val="24"/>
              </w:rPr>
            </w:pPr>
            <w:r>
              <w:rPr>
                <w:rFonts w:hint="eastAsia" w:cs="宋体"/>
                <w:color w:val="auto"/>
                <w:szCs w:val="24"/>
              </w:rPr>
              <w:t>回顾性人群队列科研项目</w:t>
            </w:r>
          </w:p>
        </w:tc>
        <w:tc>
          <w:tcPr>
            <w:tcW w:w="680" w:type="pct"/>
            <w:vMerge w:val="restart"/>
            <w:vAlign w:val="center"/>
          </w:tcPr>
          <w:p w14:paraId="5DB20844">
            <w:pPr>
              <w:pStyle w:val="968"/>
              <w:widowControl w:val="0"/>
              <w:spacing w:line="288" w:lineRule="auto"/>
              <w:ind w:firstLine="0" w:firstLineChars="0"/>
              <w:jc w:val="center"/>
              <w:rPr>
                <w:rFonts w:cs="宋体"/>
                <w:color w:val="auto"/>
                <w:szCs w:val="24"/>
              </w:rPr>
            </w:pPr>
            <w:r>
              <w:rPr>
                <w:rFonts w:hint="eastAsia" w:cs="宋体"/>
                <w:color w:val="auto"/>
                <w:szCs w:val="24"/>
              </w:rPr>
              <w:t>研究队</w:t>
            </w:r>
          </w:p>
          <w:p w14:paraId="11F3F29F">
            <w:pPr>
              <w:pStyle w:val="968"/>
              <w:widowControl w:val="0"/>
              <w:spacing w:line="288" w:lineRule="auto"/>
              <w:ind w:firstLine="0" w:firstLineChars="0"/>
              <w:jc w:val="center"/>
              <w:rPr>
                <w:rFonts w:cs="宋体"/>
                <w:color w:val="auto"/>
                <w:szCs w:val="24"/>
              </w:rPr>
            </w:pPr>
            <w:r>
              <w:rPr>
                <w:rFonts w:hint="eastAsia" w:cs="宋体"/>
                <w:color w:val="auto"/>
                <w:szCs w:val="24"/>
              </w:rPr>
              <w:t>列管理</w:t>
            </w:r>
          </w:p>
        </w:tc>
        <w:tc>
          <w:tcPr>
            <w:tcW w:w="3789" w:type="pct"/>
          </w:tcPr>
          <w:p w14:paraId="56AF700A">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1）</w:t>
            </w:r>
            <w:r>
              <w:rPr>
                <w:rFonts w:hint="eastAsia" w:ascii="宋体" w:hAnsi="宋体" w:cs="宋体"/>
                <w:color w:val="auto"/>
                <w:kern w:val="0"/>
                <w:sz w:val="24"/>
              </w:rPr>
              <w:t>需</w:t>
            </w:r>
            <w:r>
              <w:rPr>
                <w:rFonts w:hint="eastAsia" w:ascii="宋体" w:hAnsi="宋体" w:cs="宋体"/>
                <w:color w:val="auto"/>
                <w:kern w:val="0"/>
                <w:sz w:val="24"/>
                <w:lang w:bidi="ar"/>
              </w:rPr>
              <w:t>支持以条件筛选和患者ID的搜索方式筛选符合入组的患者，并将搜索出的患者作为队列保存进项目。</w:t>
            </w:r>
          </w:p>
        </w:tc>
      </w:tr>
      <w:tr w14:paraId="6E5BA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vMerge w:val="continue"/>
            <w:vAlign w:val="center"/>
          </w:tcPr>
          <w:p w14:paraId="354AE085">
            <w:pPr>
              <w:pStyle w:val="968"/>
              <w:widowControl w:val="0"/>
              <w:spacing w:line="288" w:lineRule="auto"/>
              <w:ind w:firstLine="0" w:firstLineChars="0"/>
              <w:jc w:val="center"/>
              <w:rPr>
                <w:rFonts w:cs="宋体"/>
                <w:color w:val="auto"/>
                <w:szCs w:val="24"/>
              </w:rPr>
            </w:pPr>
          </w:p>
        </w:tc>
        <w:tc>
          <w:tcPr>
            <w:tcW w:w="680" w:type="pct"/>
            <w:vMerge w:val="continue"/>
            <w:vAlign w:val="center"/>
          </w:tcPr>
          <w:p w14:paraId="1494168D">
            <w:pPr>
              <w:pStyle w:val="968"/>
              <w:widowControl w:val="0"/>
              <w:spacing w:line="288" w:lineRule="auto"/>
              <w:ind w:firstLine="0" w:firstLineChars="0"/>
              <w:jc w:val="center"/>
              <w:rPr>
                <w:rFonts w:cs="宋体"/>
                <w:color w:val="auto"/>
                <w:szCs w:val="24"/>
              </w:rPr>
            </w:pPr>
          </w:p>
        </w:tc>
        <w:tc>
          <w:tcPr>
            <w:tcW w:w="3789" w:type="pct"/>
          </w:tcPr>
          <w:p w14:paraId="1031D699">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sz w:val="24"/>
              </w:rPr>
              <w:t>▲</w:t>
            </w:r>
            <w:r>
              <w:rPr>
                <w:rFonts w:hint="eastAsia" w:ascii="宋体" w:hAnsi="宋体" w:cs="宋体"/>
                <w:color w:val="auto"/>
                <w:kern w:val="0"/>
                <w:sz w:val="24"/>
                <w:lang w:bidi="ar"/>
              </w:rPr>
              <w:t>2）</w:t>
            </w:r>
            <w:r>
              <w:rPr>
                <w:rFonts w:hint="eastAsia" w:ascii="宋体" w:hAnsi="宋体" w:cs="宋体"/>
                <w:color w:val="auto"/>
                <w:kern w:val="0"/>
                <w:sz w:val="24"/>
              </w:rPr>
              <w:t>需支持查看和调整队列对应的筛选条件，根据修改的后筛选结果更新研究数据，并提供增量更新和覆盖更新两种模式</w:t>
            </w:r>
            <w:r>
              <w:rPr>
                <w:rFonts w:hint="eastAsia" w:ascii="宋体" w:hAnsi="宋体" w:cs="宋体"/>
                <w:color w:val="auto"/>
                <w:kern w:val="0"/>
                <w:sz w:val="24"/>
                <w:lang w:bidi="ar"/>
              </w:rPr>
              <w:t>。</w:t>
            </w:r>
          </w:p>
          <w:p w14:paraId="630267F9">
            <w:pPr>
              <w:widowControl/>
              <w:adjustRightInd/>
              <w:spacing w:line="288" w:lineRule="auto"/>
              <w:textAlignment w:val="top"/>
              <w:rPr>
                <w:rFonts w:ascii="宋体" w:hAnsi="宋体" w:cs="宋体"/>
                <w:color w:val="auto"/>
                <w:kern w:val="0"/>
                <w:sz w:val="24"/>
                <w:lang w:bidi="ar"/>
              </w:rPr>
            </w:pPr>
            <w:r>
              <w:rPr>
                <w:rFonts w:hint="eastAsia" w:ascii="宋体" w:hAnsi="宋体" w:cs="宋体"/>
                <w:b/>
                <w:bCs/>
                <w:color w:val="auto"/>
                <w:kern w:val="0"/>
                <w:sz w:val="24"/>
                <w:lang w:bidi="ar"/>
              </w:rPr>
              <w:t>注：投标人须在投标文件中提供相关证明截图材料作为佐证，未提供或无法证明的本项即为负偏离。</w:t>
            </w:r>
          </w:p>
        </w:tc>
      </w:tr>
      <w:tr w14:paraId="57181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vMerge w:val="continue"/>
            <w:vAlign w:val="center"/>
          </w:tcPr>
          <w:p w14:paraId="4CCB7BA4">
            <w:pPr>
              <w:pStyle w:val="968"/>
              <w:widowControl w:val="0"/>
              <w:spacing w:line="288" w:lineRule="auto"/>
              <w:ind w:firstLine="0" w:firstLineChars="0"/>
              <w:jc w:val="center"/>
              <w:rPr>
                <w:rFonts w:cs="宋体"/>
                <w:color w:val="auto"/>
                <w:szCs w:val="24"/>
              </w:rPr>
            </w:pPr>
          </w:p>
        </w:tc>
        <w:tc>
          <w:tcPr>
            <w:tcW w:w="680" w:type="pct"/>
            <w:vMerge w:val="restart"/>
            <w:vAlign w:val="center"/>
          </w:tcPr>
          <w:p w14:paraId="35531706">
            <w:pPr>
              <w:pStyle w:val="968"/>
              <w:widowControl w:val="0"/>
              <w:spacing w:line="288" w:lineRule="auto"/>
              <w:ind w:firstLine="0" w:firstLineChars="0"/>
              <w:jc w:val="center"/>
              <w:rPr>
                <w:rFonts w:cs="宋体"/>
                <w:color w:val="auto"/>
                <w:szCs w:val="24"/>
              </w:rPr>
            </w:pPr>
            <w:r>
              <w:rPr>
                <w:rFonts w:hint="eastAsia" w:cs="宋体"/>
                <w:color w:val="auto"/>
                <w:szCs w:val="24"/>
              </w:rPr>
              <w:t>研究变量设置与管理</w:t>
            </w:r>
          </w:p>
        </w:tc>
        <w:tc>
          <w:tcPr>
            <w:tcW w:w="3789" w:type="pct"/>
          </w:tcPr>
          <w:p w14:paraId="4FA70FDB">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1）</w:t>
            </w:r>
            <w:r>
              <w:rPr>
                <w:rFonts w:hint="eastAsia" w:ascii="宋体" w:hAnsi="宋体" w:cs="宋体"/>
                <w:color w:val="auto"/>
                <w:kern w:val="0"/>
                <w:sz w:val="24"/>
              </w:rPr>
              <w:t>需</w:t>
            </w:r>
            <w:r>
              <w:rPr>
                <w:rFonts w:hint="eastAsia" w:ascii="宋体" w:hAnsi="宋体" w:cs="宋体"/>
                <w:color w:val="auto"/>
                <w:kern w:val="0"/>
                <w:sz w:val="24"/>
                <w:lang w:bidi="ar"/>
              </w:rPr>
              <w:t>支持创建和管理多个变量组。用户可以从预设的结构化选项中选择变量作为变量组下的研究变量，并允许自定义变量组名称。</w:t>
            </w:r>
          </w:p>
        </w:tc>
      </w:tr>
      <w:tr w14:paraId="51C8B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vMerge w:val="continue"/>
            <w:vAlign w:val="center"/>
          </w:tcPr>
          <w:p w14:paraId="51BAD317">
            <w:pPr>
              <w:pStyle w:val="968"/>
              <w:widowControl w:val="0"/>
              <w:spacing w:line="288" w:lineRule="auto"/>
              <w:ind w:firstLine="0" w:firstLineChars="0"/>
              <w:jc w:val="center"/>
              <w:rPr>
                <w:rFonts w:cs="宋体"/>
                <w:color w:val="auto"/>
                <w:szCs w:val="24"/>
              </w:rPr>
            </w:pPr>
          </w:p>
        </w:tc>
        <w:tc>
          <w:tcPr>
            <w:tcW w:w="680" w:type="pct"/>
            <w:vMerge w:val="continue"/>
            <w:vAlign w:val="center"/>
          </w:tcPr>
          <w:p w14:paraId="0740FC7D">
            <w:pPr>
              <w:pStyle w:val="968"/>
              <w:widowControl w:val="0"/>
              <w:spacing w:line="288" w:lineRule="auto"/>
              <w:ind w:firstLine="0" w:firstLineChars="0"/>
              <w:jc w:val="center"/>
              <w:rPr>
                <w:rFonts w:cs="宋体"/>
                <w:color w:val="auto"/>
                <w:szCs w:val="24"/>
              </w:rPr>
            </w:pPr>
          </w:p>
        </w:tc>
        <w:tc>
          <w:tcPr>
            <w:tcW w:w="3789" w:type="pct"/>
          </w:tcPr>
          <w:p w14:paraId="632306CC">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sz w:val="24"/>
              </w:rPr>
              <w:t>▲</w:t>
            </w:r>
            <w:r>
              <w:rPr>
                <w:rFonts w:hint="eastAsia" w:ascii="宋体" w:hAnsi="宋体" w:cs="宋体"/>
                <w:color w:val="auto"/>
                <w:kern w:val="0"/>
                <w:sz w:val="24"/>
                <w:lang w:bidi="ar"/>
              </w:rPr>
              <w:t>2）</w:t>
            </w:r>
            <w:r>
              <w:rPr>
                <w:rFonts w:hint="eastAsia" w:ascii="宋体" w:hAnsi="宋体" w:cs="宋体"/>
                <w:color w:val="auto"/>
                <w:kern w:val="0"/>
                <w:sz w:val="24"/>
              </w:rPr>
              <w:t>需</w:t>
            </w:r>
            <w:r>
              <w:rPr>
                <w:rFonts w:hint="eastAsia" w:ascii="宋体" w:hAnsi="宋体" w:cs="宋体"/>
                <w:color w:val="auto"/>
                <w:kern w:val="0"/>
                <w:sz w:val="24"/>
                <w:lang w:bidi="ar"/>
              </w:rPr>
              <w:t>支持设置研究变量的降维规则，如首次、第二次至第十次、末次、最近一次等。根据这些规则和设定的基线时间，系统将自动从数据库中抽取并填充数据，并展示其填充率。</w:t>
            </w:r>
            <w:r>
              <w:rPr>
                <w:rFonts w:hint="eastAsia" w:ascii="宋体" w:hAnsi="宋体" w:cs="宋体"/>
                <w:color w:val="auto"/>
                <w:kern w:val="0"/>
                <w:sz w:val="24"/>
                <w:lang w:bidi="ar"/>
              </w:rPr>
              <w:br w:type="textWrapping"/>
            </w:r>
            <w:r>
              <w:rPr>
                <w:rFonts w:hint="eastAsia" w:ascii="宋体" w:hAnsi="宋体" w:cs="宋体"/>
                <w:b/>
                <w:bCs/>
                <w:color w:val="auto"/>
                <w:kern w:val="0"/>
                <w:sz w:val="24"/>
                <w:lang w:bidi="ar"/>
              </w:rPr>
              <w:t>注：投标人须在投标文件中提供相关证明截图材料作为佐证，未提供或无法证明的本项即为负偏离。</w:t>
            </w:r>
          </w:p>
        </w:tc>
      </w:tr>
      <w:tr w14:paraId="75CA7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vMerge w:val="continue"/>
            <w:vAlign w:val="center"/>
          </w:tcPr>
          <w:p w14:paraId="1B9DE4B9">
            <w:pPr>
              <w:pStyle w:val="968"/>
              <w:widowControl w:val="0"/>
              <w:spacing w:line="288" w:lineRule="auto"/>
              <w:ind w:firstLine="0" w:firstLineChars="0"/>
              <w:jc w:val="center"/>
              <w:rPr>
                <w:rFonts w:cs="宋体"/>
                <w:color w:val="auto"/>
                <w:szCs w:val="24"/>
              </w:rPr>
            </w:pPr>
          </w:p>
        </w:tc>
        <w:tc>
          <w:tcPr>
            <w:tcW w:w="680" w:type="pct"/>
            <w:vMerge w:val="continue"/>
            <w:vAlign w:val="center"/>
          </w:tcPr>
          <w:p w14:paraId="135C4A47">
            <w:pPr>
              <w:pStyle w:val="968"/>
              <w:widowControl w:val="0"/>
              <w:spacing w:line="288" w:lineRule="auto"/>
              <w:ind w:firstLine="0" w:firstLineChars="0"/>
              <w:jc w:val="center"/>
              <w:rPr>
                <w:rFonts w:cs="宋体"/>
                <w:color w:val="auto"/>
                <w:szCs w:val="24"/>
              </w:rPr>
            </w:pPr>
          </w:p>
        </w:tc>
        <w:tc>
          <w:tcPr>
            <w:tcW w:w="3789" w:type="pct"/>
          </w:tcPr>
          <w:p w14:paraId="569A3AB1">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sz w:val="24"/>
              </w:rPr>
              <w:t>▲</w:t>
            </w:r>
            <w:r>
              <w:rPr>
                <w:rFonts w:hint="eastAsia" w:ascii="宋体" w:hAnsi="宋体" w:cs="宋体"/>
                <w:color w:val="auto"/>
                <w:kern w:val="0"/>
                <w:sz w:val="24"/>
                <w:lang w:bidi="ar"/>
              </w:rPr>
              <w:t>3）</w:t>
            </w:r>
            <w:r>
              <w:rPr>
                <w:rFonts w:hint="eastAsia" w:ascii="宋体" w:hAnsi="宋体" w:cs="宋体"/>
                <w:color w:val="auto"/>
                <w:kern w:val="0"/>
                <w:sz w:val="24"/>
              </w:rPr>
              <w:t>需</w:t>
            </w:r>
            <w:r>
              <w:rPr>
                <w:rFonts w:hint="eastAsia" w:ascii="宋体" w:hAnsi="宋体" w:cs="宋体"/>
                <w:color w:val="auto"/>
                <w:kern w:val="0"/>
                <w:sz w:val="24"/>
                <w:lang w:bidi="ar"/>
              </w:rPr>
              <w:t>支持用户自定义添加指标，可设置指标的默认规则，比如默认值、备选值等。</w:t>
            </w:r>
            <w:r>
              <w:rPr>
                <w:rFonts w:hint="eastAsia" w:ascii="宋体" w:hAnsi="宋体" w:cs="宋体"/>
                <w:color w:val="auto"/>
                <w:kern w:val="0"/>
                <w:sz w:val="24"/>
                <w:lang w:bidi="ar"/>
              </w:rPr>
              <w:br w:type="textWrapping"/>
            </w:r>
            <w:r>
              <w:rPr>
                <w:rFonts w:hint="eastAsia" w:ascii="宋体" w:hAnsi="宋体" w:cs="宋体"/>
                <w:b/>
                <w:bCs/>
                <w:color w:val="auto"/>
                <w:kern w:val="0"/>
                <w:sz w:val="24"/>
                <w:lang w:bidi="ar"/>
              </w:rPr>
              <w:t>注：投标人须在投标文件中提供相关证明截图材料作为佐证，未提供或无法证明的本项即为负偏离。</w:t>
            </w:r>
          </w:p>
        </w:tc>
      </w:tr>
      <w:tr w14:paraId="1DB17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vMerge w:val="continue"/>
            <w:vAlign w:val="center"/>
          </w:tcPr>
          <w:p w14:paraId="73E850F8">
            <w:pPr>
              <w:pStyle w:val="968"/>
              <w:widowControl w:val="0"/>
              <w:spacing w:line="288" w:lineRule="auto"/>
              <w:ind w:firstLine="0" w:firstLineChars="0"/>
              <w:jc w:val="center"/>
              <w:rPr>
                <w:rFonts w:cs="宋体"/>
                <w:color w:val="auto"/>
                <w:szCs w:val="24"/>
              </w:rPr>
            </w:pPr>
          </w:p>
        </w:tc>
        <w:tc>
          <w:tcPr>
            <w:tcW w:w="680" w:type="pct"/>
            <w:vMerge w:val="continue"/>
            <w:vAlign w:val="center"/>
          </w:tcPr>
          <w:p w14:paraId="327735CD">
            <w:pPr>
              <w:pStyle w:val="968"/>
              <w:widowControl w:val="0"/>
              <w:spacing w:line="288" w:lineRule="auto"/>
              <w:ind w:firstLine="0" w:firstLineChars="0"/>
              <w:jc w:val="center"/>
              <w:rPr>
                <w:rFonts w:cs="宋体"/>
                <w:color w:val="auto"/>
                <w:szCs w:val="24"/>
              </w:rPr>
            </w:pPr>
          </w:p>
        </w:tc>
        <w:tc>
          <w:tcPr>
            <w:tcW w:w="3789" w:type="pct"/>
          </w:tcPr>
          <w:p w14:paraId="2257CF1E">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sz w:val="24"/>
              </w:rPr>
              <w:t>▲</w:t>
            </w:r>
            <w:r>
              <w:rPr>
                <w:rFonts w:hint="eastAsia" w:ascii="宋体" w:hAnsi="宋体" w:cs="宋体"/>
                <w:color w:val="auto"/>
                <w:kern w:val="0"/>
                <w:sz w:val="24"/>
                <w:lang w:bidi="ar"/>
              </w:rPr>
              <w:t>4）</w:t>
            </w:r>
            <w:r>
              <w:rPr>
                <w:rFonts w:hint="eastAsia" w:ascii="宋体" w:hAnsi="宋体" w:cs="宋体"/>
                <w:color w:val="auto"/>
                <w:kern w:val="0"/>
                <w:sz w:val="24"/>
              </w:rPr>
              <w:t>需</w:t>
            </w:r>
            <w:r>
              <w:rPr>
                <w:rFonts w:hint="eastAsia" w:ascii="宋体" w:hAnsi="宋体" w:cs="宋体"/>
                <w:color w:val="auto"/>
                <w:kern w:val="0"/>
                <w:sz w:val="24"/>
                <w:lang w:bidi="ar"/>
              </w:rPr>
              <w:t>支持研究指标可视化点选拖拽排序，保存后指标排序规则即可更新在数据列表中。</w:t>
            </w:r>
            <w:r>
              <w:rPr>
                <w:rFonts w:hint="eastAsia" w:ascii="宋体" w:hAnsi="宋体" w:cs="宋体"/>
                <w:color w:val="auto"/>
                <w:kern w:val="0"/>
                <w:sz w:val="24"/>
                <w:lang w:bidi="ar"/>
              </w:rPr>
              <w:br w:type="textWrapping"/>
            </w:r>
            <w:r>
              <w:rPr>
                <w:rFonts w:hint="eastAsia" w:ascii="宋体" w:hAnsi="宋体" w:cs="宋体"/>
                <w:b/>
                <w:bCs/>
                <w:color w:val="auto"/>
                <w:kern w:val="0"/>
                <w:sz w:val="24"/>
                <w:lang w:bidi="ar"/>
              </w:rPr>
              <w:t>注：投标人须在投标文件中提供相关证明截图材料作为佐证，未提供或无法证明的本项即为负偏离。</w:t>
            </w:r>
          </w:p>
        </w:tc>
      </w:tr>
      <w:tr w14:paraId="41DAB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vMerge w:val="continue"/>
            <w:shd w:val="clear" w:color="auto" w:fill="auto"/>
            <w:vAlign w:val="center"/>
          </w:tcPr>
          <w:p w14:paraId="3D145CCF">
            <w:pPr>
              <w:pStyle w:val="968"/>
              <w:widowControl w:val="0"/>
              <w:spacing w:line="288" w:lineRule="auto"/>
              <w:ind w:firstLine="0" w:firstLineChars="0"/>
              <w:jc w:val="center"/>
              <w:rPr>
                <w:rFonts w:cs="宋体"/>
                <w:color w:val="auto"/>
                <w:szCs w:val="24"/>
              </w:rPr>
            </w:pPr>
          </w:p>
        </w:tc>
        <w:tc>
          <w:tcPr>
            <w:tcW w:w="680" w:type="pct"/>
            <w:vMerge w:val="restart"/>
            <w:shd w:val="clear" w:color="auto" w:fill="auto"/>
            <w:vAlign w:val="center"/>
          </w:tcPr>
          <w:p w14:paraId="513950CF">
            <w:pPr>
              <w:pStyle w:val="968"/>
              <w:widowControl w:val="0"/>
              <w:spacing w:line="288" w:lineRule="auto"/>
              <w:ind w:firstLine="0" w:firstLineChars="0"/>
              <w:jc w:val="center"/>
              <w:rPr>
                <w:rFonts w:cs="宋体"/>
                <w:color w:val="auto"/>
                <w:szCs w:val="24"/>
              </w:rPr>
            </w:pPr>
            <w:r>
              <w:rPr>
                <w:rFonts w:hint="eastAsia" w:cs="宋体"/>
                <w:color w:val="auto"/>
                <w:szCs w:val="24"/>
              </w:rPr>
              <w:t>数据修改与导入</w:t>
            </w:r>
          </w:p>
        </w:tc>
        <w:tc>
          <w:tcPr>
            <w:tcW w:w="3789" w:type="pct"/>
            <w:tcBorders>
              <w:top w:val="single" w:color="auto" w:sz="4" w:space="0"/>
              <w:left w:val="single" w:color="auto" w:sz="4" w:space="0"/>
              <w:bottom w:val="single" w:color="auto" w:sz="4" w:space="0"/>
              <w:right w:val="single" w:color="auto" w:sz="4" w:space="0"/>
            </w:tcBorders>
            <w:shd w:val="clear" w:color="000000" w:fill="FFFFFF"/>
            <w:vAlign w:val="center"/>
          </w:tcPr>
          <w:p w14:paraId="1EDDE659">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1）</w:t>
            </w:r>
            <w:r>
              <w:rPr>
                <w:rFonts w:hint="eastAsia" w:ascii="宋体" w:hAnsi="宋体" w:cs="宋体"/>
                <w:color w:val="auto"/>
                <w:kern w:val="0"/>
                <w:sz w:val="24"/>
              </w:rPr>
              <w:t>需</w:t>
            </w:r>
            <w:r>
              <w:rPr>
                <w:rFonts w:hint="eastAsia" w:ascii="宋体" w:hAnsi="宋体" w:cs="宋体"/>
                <w:color w:val="auto"/>
                <w:kern w:val="0"/>
                <w:sz w:val="24"/>
                <w:lang w:bidi="ar"/>
              </w:rPr>
              <w:t>支持在数据列表的可视化界面上进行编辑，用户可以修改或补录患者数据，确保数据的准确性和完整性。</w:t>
            </w:r>
          </w:p>
        </w:tc>
      </w:tr>
      <w:tr w14:paraId="20D34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vMerge w:val="continue"/>
            <w:shd w:val="clear" w:color="auto" w:fill="auto"/>
            <w:vAlign w:val="center"/>
          </w:tcPr>
          <w:p w14:paraId="7E1DA268">
            <w:pPr>
              <w:pStyle w:val="968"/>
              <w:widowControl w:val="0"/>
              <w:spacing w:line="288" w:lineRule="auto"/>
              <w:ind w:firstLine="0" w:firstLineChars="0"/>
              <w:jc w:val="center"/>
              <w:rPr>
                <w:rFonts w:cs="宋体"/>
                <w:color w:val="auto"/>
                <w:szCs w:val="24"/>
              </w:rPr>
            </w:pPr>
          </w:p>
        </w:tc>
        <w:tc>
          <w:tcPr>
            <w:tcW w:w="680" w:type="pct"/>
            <w:vMerge w:val="continue"/>
            <w:shd w:val="clear" w:color="auto" w:fill="auto"/>
            <w:vAlign w:val="center"/>
          </w:tcPr>
          <w:p w14:paraId="51EC5F46">
            <w:pPr>
              <w:pStyle w:val="968"/>
              <w:widowControl w:val="0"/>
              <w:spacing w:line="288" w:lineRule="auto"/>
              <w:ind w:firstLine="0" w:firstLineChars="0"/>
              <w:jc w:val="center"/>
              <w:rPr>
                <w:rFonts w:cs="宋体"/>
                <w:color w:val="auto"/>
                <w:szCs w:val="24"/>
              </w:rPr>
            </w:pPr>
          </w:p>
        </w:tc>
        <w:tc>
          <w:tcPr>
            <w:tcW w:w="3789" w:type="pct"/>
            <w:tcBorders>
              <w:top w:val="nil"/>
              <w:left w:val="single" w:color="auto" w:sz="4" w:space="0"/>
              <w:bottom w:val="single" w:color="auto" w:sz="4" w:space="0"/>
              <w:right w:val="single" w:color="auto" w:sz="4" w:space="0"/>
            </w:tcBorders>
            <w:shd w:val="clear" w:color="000000" w:fill="FFFFFF"/>
            <w:vAlign w:val="center"/>
          </w:tcPr>
          <w:p w14:paraId="740FE50E">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2）</w:t>
            </w:r>
            <w:r>
              <w:rPr>
                <w:rFonts w:hint="eastAsia" w:ascii="宋体" w:hAnsi="宋体" w:cs="宋体"/>
                <w:color w:val="auto"/>
                <w:kern w:val="0"/>
                <w:sz w:val="24"/>
              </w:rPr>
              <w:t>需</w:t>
            </w:r>
            <w:r>
              <w:rPr>
                <w:rFonts w:hint="eastAsia" w:ascii="宋体" w:hAnsi="宋体" w:cs="宋体"/>
                <w:color w:val="auto"/>
                <w:kern w:val="0"/>
                <w:sz w:val="24"/>
                <w:lang w:bidi="ar"/>
              </w:rPr>
              <w:t>支持按照系统模板批量导入线下数据至数据列表，兼容文件格式为Excel。系统将自动进行文件校验，确保数据格式的准确性。</w:t>
            </w:r>
          </w:p>
        </w:tc>
      </w:tr>
      <w:tr w14:paraId="1457F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vMerge w:val="continue"/>
            <w:shd w:val="clear" w:color="auto" w:fill="auto"/>
            <w:vAlign w:val="center"/>
          </w:tcPr>
          <w:p w14:paraId="64826E74">
            <w:pPr>
              <w:pStyle w:val="968"/>
              <w:widowControl w:val="0"/>
              <w:spacing w:line="288" w:lineRule="auto"/>
              <w:ind w:firstLine="0" w:firstLineChars="0"/>
              <w:jc w:val="center"/>
              <w:rPr>
                <w:rFonts w:cs="宋体"/>
                <w:color w:val="auto"/>
                <w:szCs w:val="24"/>
              </w:rPr>
            </w:pPr>
          </w:p>
        </w:tc>
        <w:tc>
          <w:tcPr>
            <w:tcW w:w="680" w:type="pct"/>
            <w:tcBorders>
              <w:top w:val="single" w:color="auto" w:sz="4" w:space="0"/>
              <w:left w:val="single" w:color="auto" w:sz="4" w:space="0"/>
              <w:bottom w:val="single" w:color="auto" w:sz="4" w:space="0"/>
              <w:right w:val="single" w:color="auto" w:sz="4" w:space="0"/>
            </w:tcBorders>
            <w:shd w:val="clear" w:color="000000" w:fill="FFFFFF"/>
            <w:vAlign w:val="center"/>
          </w:tcPr>
          <w:p w14:paraId="7AD443E2">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kern w:val="0"/>
                <w:sz w:val="24"/>
                <w:lang w:bidi="ar"/>
              </w:rPr>
              <w:t>按统计模式导出</w:t>
            </w:r>
          </w:p>
        </w:tc>
        <w:tc>
          <w:tcPr>
            <w:tcW w:w="3789" w:type="pct"/>
            <w:tcBorders>
              <w:top w:val="single" w:color="auto" w:sz="4" w:space="0"/>
              <w:left w:val="nil"/>
              <w:bottom w:val="single" w:color="auto" w:sz="4" w:space="0"/>
              <w:right w:val="single" w:color="auto" w:sz="4" w:space="0"/>
            </w:tcBorders>
            <w:shd w:val="clear" w:color="000000" w:fill="FFFFFF"/>
            <w:vAlign w:val="center"/>
          </w:tcPr>
          <w:p w14:paraId="3C3D3CF2">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rPr>
              <w:t>需</w:t>
            </w:r>
            <w:r>
              <w:rPr>
                <w:rFonts w:hint="eastAsia" w:ascii="宋体" w:hAnsi="宋体" w:cs="宋体"/>
                <w:color w:val="auto"/>
                <w:kern w:val="0"/>
                <w:sz w:val="24"/>
                <w:lang w:bidi="ar"/>
              </w:rPr>
              <w:t>支持将用户设置的研究变量抽取出的数据以一个患者一行的格式进行导出。导出的数据与线上患者列表数据保持一致，确保所见即所得。此外，导出格式兼容SPSS等统计分析软件的要求，满足数据分析和处理的需求。</w:t>
            </w:r>
          </w:p>
        </w:tc>
      </w:tr>
      <w:tr w14:paraId="7D8F1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vMerge w:val="continue"/>
            <w:shd w:val="clear" w:color="auto" w:fill="auto"/>
            <w:vAlign w:val="center"/>
          </w:tcPr>
          <w:p w14:paraId="0D810DD6">
            <w:pPr>
              <w:pStyle w:val="968"/>
              <w:widowControl w:val="0"/>
              <w:spacing w:line="288" w:lineRule="auto"/>
              <w:ind w:firstLine="0" w:firstLineChars="0"/>
              <w:jc w:val="center"/>
              <w:rPr>
                <w:rFonts w:cs="宋体"/>
                <w:color w:val="auto"/>
                <w:szCs w:val="24"/>
              </w:rPr>
            </w:pPr>
          </w:p>
        </w:tc>
        <w:tc>
          <w:tcPr>
            <w:tcW w:w="680" w:type="pct"/>
            <w:tcBorders>
              <w:top w:val="nil"/>
              <w:left w:val="single" w:color="auto" w:sz="4" w:space="0"/>
              <w:bottom w:val="single" w:color="auto" w:sz="4" w:space="0"/>
              <w:right w:val="single" w:color="auto" w:sz="4" w:space="0"/>
            </w:tcBorders>
            <w:shd w:val="clear" w:color="000000" w:fill="FFFFFF"/>
            <w:vAlign w:val="center"/>
          </w:tcPr>
          <w:p w14:paraId="2AFC94B3">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kern w:val="0"/>
                <w:sz w:val="24"/>
                <w:lang w:bidi="ar"/>
              </w:rPr>
              <w:t>按表单模式导出</w:t>
            </w:r>
          </w:p>
        </w:tc>
        <w:tc>
          <w:tcPr>
            <w:tcW w:w="3789" w:type="pct"/>
            <w:tcBorders>
              <w:top w:val="nil"/>
              <w:left w:val="nil"/>
              <w:bottom w:val="single" w:color="auto" w:sz="4" w:space="0"/>
              <w:right w:val="single" w:color="auto" w:sz="4" w:space="0"/>
            </w:tcBorders>
            <w:shd w:val="clear" w:color="000000" w:fill="FFFFFF"/>
            <w:vAlign w:val="center"/>
          </w:tcPr>
          <w:p w14:paraId="36E15538">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rPr>
              <w:t>需</w:t>
            </w:r>
            <w:r>
              <w:rPr>
                <w:rFonts w:hint="eastAsia" w:ascii="宋体" w:hAnsi="宋体" w:cs="宋体"/>
                <w:color w:val="auto"/>
                <w:kern w:val="0"/>
                <w:sz w:val="24"/>
                <w:lang w:bidi="ar"/>
              </w:rPr>
              <w:t>支持按患者、就诊、检查等数据维度进行表单导出。用户可以选择人口学信息、入院记录、检验报告等进行全模块导出或者选择模块下的具体字段进行导出，可实现导出效果的在线预览，导出结果以 excel 文件按照模块区分形式进行下载到本地。</w:t>
            </w:r>
          </w:p>
        </w:tc>
      </w:tr>
      <w:tr w14:paraId="7474E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0" w:type="pct"/>
            <w:vMerge w:val="continue"/>
            <w:shd w:val="clear" w:color="auto" w:fill="auto"/>
            <w:vAlign w:val="center"/>
          </w:tcPr>
          <w:p w14:paraId="754D6F85">
            <w:pPr>
              <w:pStyle w:val="968"/>
              <w:widowControl w:val="0"/>
              <w:spacing w:line="288" w:lineRule="auto"/>
              <w:ind w:firstLine="0" w:firstLineChars="0"/>
              <w:jc w:val="center"/>
              <w:rPr>
                <w:rFonts w:cs="宋体"/>
                <w:color w:val="auto"/>
                <w:szCs w:val="24"/>
              </w:rPr>
            </w:pPr>
          </w:p>
        </w:tc>
        <w:tc>
          <w:tcPr>
            <w:tcW w:w="680" w:type="pct"/>
            <w:vMerge w:val="restart"/>
            <w:tcBorders>
              <w:top w:val="single" w:color="auto" w:sz="4" w:space="0"/>
              <w:left w:val="single" w:color="auto" w:sz="4" w:space="0"/>
              <w:right w:val="single" w:color="auto" w:sz="4" w:space="0"/>
            </w:tcBorders>
            <w:shd w:val="clear" w:color="000000" w:fill="FFFFFF"/>
            <w:vAlign w:val="center"/>
          </w:tcPr>
          <w:p w14:paraId="36BC451E">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kern w:val="0"/>
                <w:sz w:val="24"/>
                <w:lang w:bidi="ar"/>
              </w:rPr>
              <w:t>数据导出管理</w:t>
            </w:r>
          </w:p>
        </w:tc>
        <w:tc>
          <w:tcPr>
            <w:tcW w:w="3789" w:type="pct"/>
            <w:tcBorders>
              <w:top w:val="single" w:color="auto" w:sz="4" w:space="0"/>
              <w:left w:val="nil"/>
              <w:bottom w:val="single" w:color="auto" w:sz="4" w:space="0"/>
              <w:right w:val="single" w:color="auto" w:sz="4" w:space="0"/>
            </w:tcBorders>
            <w:shd w:val="clear" w:color="000000" w:fill="FFFFFF"/>
            <w:vAlign w:val="center"/>
          </w:tcPr>
          <w:p w14:paraId="6FB456DA">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1）</w:t>
            </w:r>
            <w:r>
              <w:rPr>
                <w:rFonts w:hint="eastAsia" w:ascii="宋体" w:hAnsi="宋体" w:cs="宋体"/>
                <w:color w:val="auto"/>
                <w:kern w:val="0"/>
                <w:sz w:val="24"/>
              </w:rPr>
              <w:t>需支持数据导出申请与审批，根据用户的数据权限，普通科研用户导出数据时需经过线上审批，保证数据使用安全性，导出数据可进行多次下载</w:t>
            </w:r>
            <w:r>
              <w:rPr>
                <w:rFonts w:hint="eastAsia" w:ascii="宋体" w:hAnsi="宋体" w:cs="宋体"/>
                <w:color w:val="auto"/>
                <w:kern w:val="0"/>
                <w:sz w:val="24"/>
                <w:lang w:bidi="ar"/>
              </w:rPr>
              <w:t>。</w:t>
            </w:r>
          </w:p>
        </w:tc>
      </w:tr>
      <w:tr w14:paraId="50B3D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vMerge w:val="continue"/>
            <w:shd w:val="clear" w:color="auto" w:fill="auto"/>
          </w:tcPr>
          <w:p w14:paraId="443EDEF9">
            <w:pPr>
              <w:pStyle w:val="968"/>
              <w:widowControl w:val="0"/>
              <w:spacing w:line="288" w:lineRule="auto"/>
              <w:ind w:firstLine="0" w:firstLineChars="0"/>
              <w:jc w:val="center"/>
              <w:rPr>
                <w:rFonts w:cs="宋体"/>
                <w:color w:val="auto"/>
                <w:szCs w:val="24"/>
              </w:rPr>
            </w:pPr>
          </w:p>
        </w:tc>
        <w:tc>
          <w:tcPr>
            <w:tcW w:w="680" w:type="pct"/>
            <w:vMerge w:val="continue"/>
            <w:tcBorders>
              <w:left w:val="single" w:color="auto" w:sz="4" w:space="0"/>
              <w:bottom w:val="single" w:color="auto" w:sz="4" w:space="0"/>
              <w:right w:val="single" w:color="auto" w:sz="4" w:space="0"/>
            </w:tcBorders>
            <w:shd w:val="clear" w:color="auto" w:fill="auto"/>
            <w:vAlign w:val="center"/>
          </w:tcPr>
          <w:p w14:paraId="3AFCC103">
            <w:pPr>
              <w:widowControl/>
              <w:adjustRightInd/>
              <w:spacing w:line="288" w:lineRule="auto"/>
              <w:jc w:val="center"/>
              <w:textAlignment w:val="top"/>
              <w:rPr>
                <w:rFonts w:ascii="宋体" w:hAnsi="宋体" w:cs="宋体"/>
                <w:color w:val="auto"/>
                <w:kern w:val="0"/>
                <w:sz w:val="24"/>
                <w:lang w:bidi="ar"/>
              </w:rPr>
            </w:pPr>
          </w:p>
        </w:tc>
        <w:tc>
          <w:tcPr>
            <w:tcW w:w="3789" w:type="pct"/>
            <w:tcBorders>
              <w:top w:val="nil"/>
              <w:left w:val="nil"/>
              <w:bottom w:val="single" w:color="auto" w:sz="4" w:space="0"/>
              <w:right w:val="single" w:color="auto" w:sz="4" w:space="0"/>
            </w:tcBorders>
            <w:shd w:val="clear" w:color="000000" w:fill="FFFFFF"/>
            <w:vAlign w:val="center"/>
          </w:tcPr>
          <w:p w14:paraId="0D855FAB">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2）</w:t>
            </w:r>
            <w:r>
              <w:rPr>
                <w:rFonts w:hint="eastAsia" w:ascii="宋体" w:hAnsi="宋体" w:cs="宋体"/>
                <w:color w:val="auto"/>
                <w:kern w:val="0"/>
                <w:sz w:val="24"/>
              </w:rPr>
              <w:t>需</w:t>
            </w:r>
            <w:r>
              <w:rPr>
                <w:rFonts w:hint="eastAsia" w:ascii="宋体" w:hAnsi="宋体" w:cs="宋体"/>
                <w:color w:val="auto"/>
                <w:kern w:val="0"/>
                <w:sz w:val="24"/>
                <w:lang w:bidi="ar"/>
              </w:rPr>
              <w:t>支持对患者编号、门诊号、住院号、检查号等编号进行脱敏导出。</w:t>
            </w:r>
          </w:p>
        </w:tc>
      </w:tr>
      <w:tr w14:paraId="3676E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vMerge w:val="restart"/>
            <w:shd w:val="clear" w:color="auto" w:fill="auto"/>
            <w:vAlign w:val="center"/>
          </w:tcPr>
          <w:p w14:paraId="1DACC3B9">
            <w:pPr>
              <w:pStyle w:val="968"/>
              <w:widowControl w:val="0"/>
              <w:spacing w:line="288" w:lineRule="auto"/>
              <w:ind w:firstLine="0" w:firstLineChars="0"/>
              <w:jc w:val="center"/>
              <w:rPr>
                <w:rFonts w:cs="宋体"/>
                <w:color w:val="auto"/>
                <w:szCs w:val="24"/>
              </w:rPr>
            </w:pPr>
            <w:r>
              <w:rPr>
                <w:rFonts w:hint="eastAsia" w:cs="宋体"/>
                <w:color w:val="auto"/>
                <w:szCs w:val="24"/>
              </w:rPr>
              <w:t>前瞻性科研项目</w:t>
            </w:r>
          </w:p>
        </w:tc>
        <w:tc>
          <w:tcPr>
            <w:tcW w:w="680" w:type="pct"/>
            <w:vMerge w:val="restart"/>
            <w:tcBorders>
              <w:top w:val="single" w:color="auto" w:sz="4" w:space="0"/>
              <w:left w:val="single" w:color="auto" w:sz="4" w:space="0"/>
              <w:right w:val="single" w:color="auto" w:sz="4" w:space="0"/>
            </w:tcBorders>
            <w:shd w:val="clear" w:color="000000" w:fill="FFFFFF"/>
            <w:vAlign w:val="center"/>
          </w:tcPr>
          <w:p w14:paraId="07DD5179">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kern w:val="0"/>
                <w:sz w:val="24"/>
                <w:lang w:bidi="ar"/>
              </w:rPr>
              <w:t>项目</w:t>
            </w:r>
          </w:p>
          <w:p w14:paraId="508B4A73">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kern w:val="0"/>
                <w:sz w:val="24"/>
                <w:lang w:bidi="ar"/>
              </w:rPr>
              <w:t>设置</w:t>
            </w:r>
          </w:p>
        </w:tc>
        <w:tc>
          <w:tcPr>
            <w:tcW w:w="3789" w:type="pct"/>
            <w:tcBorders>
              <w:top w:val="single" w:color="auto" w:sz="4" w:space="0"/>
              <w:left w:val="nil"/>
              <w:bottom w:val="single" w:color="auto" w:sz="4" w:space="0"/>
              <w:right w:val="single" w:color="auto" w:sz="4" w:space="0"/>
            </w:tcBorders>
            <w:shd w:val="clear" w:color="000000" w:fill="FFFFFF"/>
            <w:vAlign w:val="center"/>
          </w:tcPr>
          <w:p w14:paraId="0AB40029">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1）</w:t>
            </w:r>
            <w:r>
              <w:rPr>
                <w:rFonts w:hint="eastAsia" w:ascii="宋体" w:hAnsi="宋体" w:cs="宋体"/>
                <w:color w:val="auto"/>
                <w:kern w:val="0"/>
                <w:sz w:val="24"/>
              </w:rPr>
              <w:t>需</w:t>
            </w:r>
            <w:r>
              <w:rPr>
                <w:rFonts w:hint="eastAsia" w:ascii="宋体" w:hAnsi="宋体" w:cs="宋体"/>
                <w:color w:val="auto"/>
                <w:kern w:val="0"/>
                <w:sz w:val="24"/>
                <w:lang w:bidi="ar"/>
              </w:rPr>
              <w:t>支持对前瞻性项目的项目名称、收集患者数量以及研究时长等进行灵活设置。</w:t>
            </w:r>
          </w:p>
        </w:tc>
      </w:tr>
      <w:tr w14:paraId="18BE0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vMerge w:val="continue"/>
            <w:shd w:val="clear" w:color="auto" w:fill="auto"/>
            <w:vAlign w:val="center"/>
          </w:tcPr>
          <w:p w14:paraId="0B2EC578">
            <w:pPr>
              <w:pStyle w:val="968"/>
              <w:widowControl w:val="0"/>
              <w:spacing w:line="288" w:lineRule="auto"/>
              <w:ind w:firstLine="0" w:firstLineChars="0"/>
              <w:jc w:val="center"/>
              <w:rPr>
                <w:rFonts w:cs="宋体"/>
                <w:color w:val="auto"/>
                <w:szCs w:val="24"/>
              </w:rPr>
            </w:pPr>
          </w:p>
        </w:tc>
        <w:tc>
          <w:tcPr>
            <w:tcW w:w="680" w:type="pct"/>
            <w:vMerge w:val="continue"/>
            <w:tcBorders>
              <w:top w:val="single" w:color="auto" w:sz="4" w:space="0"/>
              <w:left w:val="single" w:color="auto" w:sz="4" w:space="0"/>
              <w:right w:val="single" w:color="auto" w:sz="4" w:space="0"/>
            </w:tcBorders>
            <w:shd w:val="clear" w:color="000000" w:fill="FFFFFF"/>
            <w:vAlign w:val="center"/>
          </w:tcPr>
          <w:p w14:paraId="1C5A38CE">
            <w:pPr>
              <w:widowControl/>
              <w:adjustRightInd/>
              <w:spacing w:line="288" w:lineRule="auto"/>
              <w:jc w:val="center"/>
              <w:textAlignment w:val="top"/>
              <w:rPr>
                <w:rFonts w:ascii="宋体" w:hAnsi="宋体" w:cs="宋体"/>
                <w:color w:val="auto"/>
                <w:kern w:val="0"/>
                <w:sz w:val="24"/>
                <w:lang w:bidi="ar"/>
              </w:rPr>
            </w:pPr>
          </w:p>
        </w:tc>
        <w:tc>
          <w:tcPr>
            <w:tcW w:w="3789" w:type="pct"/>
            <w:tcBorders>
              <w:top w:val="single" w:color="auto" w:sz="4" w:space="0"/>
              <w:left w:val="nil"/>
              <w:bottom w:val="single" w:color="auto" w:sz="4" w:space="0"/>
              <w:right w:val="single" w:color="auto" w:sz="4" w:space="0"/>
            </w:tcBorders>
            <w:shd w:val="clear" w:color="000000" w:fill="FFFFFF"/>
            <w:vAlign w:val="center"/>
          </w:tcPr>
          <w:p w14:paraId="4C41F0C1">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2）</w:t>
            </w:r>
            <w:r>
              <w:rPr>
                <w:rFonts w:hint="eastAsia" w:ascii="宋体" w:hAnsi="宋体" w:cs="宋体"/>
                <w:color w:val="auto"/>
                <w:kern w:val="0"/>
                <w:sz w:val="24"/>
              </w:rPr>
              <w:t>需</w:t>
            </w:r>
            <w:r>
              <w:rPr>
                <w:rFonts w:hint="eastAsia" w:ascii="宋体" w:hAnsi="宋体" w:cs="宋体"/>
                <w:color w:val="auto"/>
                <w:kern w:val="0"/>
                <w:sz w:val="24"/>
                <w:lang w:bidi="ar"/>
              </w:rPr>
              <w:t>支持上传项目相关附件以便维护管理。</w:t>
            </w:r>
          </w:p>
        </w:tc>
      </w:tr>
      <w:tr w14:paraId="432F1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vMerge w:val="continue"/>
            <w:shd w:val="clear" w:color="auto" w:fill="auto"/>
            <w:vAlign w:val="center"/>
          </w:tcPr>
          <w:p w14:paraId="4CEA2848">
            <w:pPr>
              <w:pStyle w:val="968"/>
              <w:widowControl w:val="0"/>
              <w:spacing w:line="288" w:lineRule="auto"/>
              <w:ind w:firstLine="0" w:firstLineChars="0"/>
              <w:jc w:val="center"/>
              <w:rPr>
                <w:rFonts w:cs="宋体"/>
                <w:color w:val="auto"/>
                <w:szCs w:val="24"/>
              </w:rPr>
            </w:pPr>
          </w:p>
        </w:tc>
        <w:tc>
          <w:tcPr>
            <w:tcW w:w="680" w:type="pct"/>
            <w:vMerge w:val="continue"/>
            <w:tcBorders>
              <w:left w:val="single" w:color="auto" w:sz="4" w:space="0"/>
              <w:bottom w:val="single" w:color="auto" w:sz="4" w:space="0"/>
              <w:right w:val="single" w:color="auto" w:sz="4" w:space="0"/>
            </w:tcBorders>
            <w:shd w:val="clear" w:color="auto" w:fill="auto"/>
            <w:vAlign w:val="center"/>
          </w:tcPr>
          <w:p w14:paraId="4E18409A">
            <w:pPr>
              <w:widowControl/>
              <w:adjustRightInd/>
              <w:spacing w:line="288" w:lineRule="auto"/>
              <w:jc w:val="center"/>
              <w:textAlignment w:val="top"/>
              <w:rPr>
                <w:rFonts w:ascii="宋体" w:hAnsi="宋体" w:cs="宋体"/>
                <w:color w:val="auto"/>
                <w:kern w:val="0"/>
                <w:sz w:val="24"/>
                <w:lang w:bidi="ar"/>
              </w:rPr>
            </w:pPr>
          </w:p>
        </w:tc>
        <w:tc>
          <w:tcPr>
            <w:tcW w:w="3789" w:type="pct"/>
            <w:tcBorders>
              <w:top w:val="nil"/>
              <w:left w:val="nil"/>
              <w:bottom w:val="single" w:color="auto" w:sz="4" w:space="0"/>
              <w:right w:val="single" w:color="auto" w:sz="4" w:space="0"/>
            </w:tcBorders>
            <w:shd w:val="clear" w:color="000000" w:fill="FFFFFF"/>
            <w:vAlign w:val="center"/>
          </w:tcPr>
          <w:p w14:paraId="137323BF">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3）对于多中心模式，</w:t>
            </w:r>
            <w:r>
              <w:rPr>
                <w:rFonts w:hint="eastAsia" w:ascii="宋体" w:hAnsi="宋体" w:cs="宋体"/>
                <w:color w:val="auto"/>
                <w:kern w:val="0"/>
                <w:sz w:val="24"/>
              </w:rPr>
              <w:t>需</w:t>
            </w:r>
            <w:r>
              <w:rPr>
                <w:rFonts w:hint="eastAsia" w:ascii="宋体" w:hAnsi="宋体" w:cs="宋体"/>
                <w:color w:val="auto"/>
                <w:kern w:val="0"/>
                <w:sz w:val="24"/>
                <w:lang w:bidi="ar"/>
              </w:rPr>
              <w:t>支持根据项目研究流程灵活切换数据审核机制，可支持简单审核或多角色审核。</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①在简单审核模式下，项目角色包括录入员以及审核员，在录入员完成录入提交后由审核员审核确认；</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②在多角色审核模式下，项目角色包括数据录入员、数据审核员、数据管理员以及研究员，由数据录入员录入数据，数据审核员与数据管理员双重审核后，再由研究员确认进行电子签字。</w:t>
            </w:r>
          </w:p>
        </w:tc>
      </w:tr>
      <w:tr w14:paraId="318F7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30" w:type="pct"/>
            <w:vMerge w:val="continue"/>
            <w:shd w:val="clear" w:color="auto" w:fill="auto"/>
            <w:vAlign w:val="center"/>
          </w:tcPr>
          <w:p w14:paraId="012C7758">
            <w:pPr>
              <w:pStyle w:val="968"/>
              <w:widowControl w:val="0"/>
              <w:spacing w:line="288" w:lineRule="auto"/>
              <w:ind w:firstLine="0" w:firstLineChars="0"/>
              <w:jc w:val="center"/>
              <w:rPr>
                <w:rFonts w:cs="宋体"/>
                <w:color w:val="auto"/>
                <w:szCs w:val="24"/>
              </w:rPr>
            </w:pPr>
          </w:p>
        </w:tc>
        <w:tc>
          <w:tcPr>
            <w:tcW w:w="680" w:type="pct"/>
            <w:vMerge w:val="restart"/>
            <w:tcBorders>
              <w:top w:val="nil"/>
              <w:left w:val="single" w:color="auto" w:sz="4" w:space="0"/>
              <w:right w:val="single" w:color="auto" w:sz="4" w:space="0"/>
            </w:tcBorders>
            <w:shd w:val="clear" w:color="000000" w:fill="FFFFFF"/>
            <w:vAlign w:val="center"/>
          </w:tcPr>
          <w:p w14:paraId="21EB2D5B">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kern w:val="0"/>
                <w:sz w:val="24"/>
                <w:lang w:bidi="ar"/>
              </w:rPr>
              <w:t>成员</w:t>
            </w:r>
          </w:p>
          <w:p w14:paraId="5637D35A">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kern w:val="0"/>
                <w:sz w:val="24"/>
                <w:lang w:bidi="ar"/>
              </w:rPr>
              <w:t>管理</w:t>
            </w:r>
          </w:p>
        </w:tc>
        <w:tc>
          <w:tcPr>
            <w:tcW w:w="3789" w:type="pct"/>
            <w:tcBorders>
              <w:top w:val="nil"/>
              <w:left w:val="nil"/>
              <w:bottom w:val="single" w:color="auto" w:sz="4" w:space="0"/>
              <w:right w:val="single" w:color="auto" w:sz="4" w:space="0"/>
            </w:tcBorders>
            <w:shd w:val="clear" w:color="000000" w:fill="FFFFFF"/>
            <w:vAlign w:val="center"/>
          </w:tcPr>
          <w:p w14:paraId="36B3FA20">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1）</w:t>
            </w:r>
            <w:r>
              <w:rPr>
                <w:rFonts w:hint="eastAsia" w:ascii="宋体" w:hAnsi="宋体" w:cs="宋体"/>
                <w:color w:val="auto"/>
                <w:kern w:val="0"/>
                <w:sz w:val="24"/>
              </w:rPr>
              <w:t>需</w:t>
            </w:r>
            <w:r>
              <w:rPr>
                <w:rFonts w:hint="eastAsia" w:ascii="宋体" w:hAnsi="宋体" w:cs="宋体"/>
                <w:color w:val="auto"/>
                <w:kern w:val="0"/>
                <w:sz w:val="24"/>
                <w:lang w:bidi="ar"/>
              </w:rPr>
              <w:t>支持添加多个医疗机构实现机构分类管理。</w:t>
            </w:r>
          </w:p>
        </w:tc>
      </w:tr>
      <w:tr w14:paraId="6ACEF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vMerge w:val="continue"/>
            <w:shd w:val="clear" w:color="auto" w:fill="auto"/>
            <w:vAlign w:val="center"/>
          </w:tcPr>
          <w:p w14:paraId="6806807A">
            <w:pPr>
              <w:pStyle w:val="968"/>
              <w:widowControl w:val="0"/>
              <w:spacing w:line="288" w:lineRule="auto"/>
              <w:ind w:firstLine="0" w:firstLineChars="0"/>
              <w:jc w:val="center"/>
              <w:rPr>
                <w:rFonts w:cs="宋体"/>
                <w:color w:val="auto"/>
                <w:szCs w:val="24"/>
              </w:rPr>
            </w:pPr>
          </w:p>
        </w:tc>
        <w:tc>
          <w:tcPr>
            <w:tcW w:w="680" w:type="pct"/>
            <w:vMerge w:val="continue"/>
            <w:tcBorders>
              <w:left w:val="single" w:color="auto" w:sz="4" w:space="0"/>
              <w:right w:val="single" w:color="auto" w:sz="4" w:space="0"/>
            </w:tcBorders>
            <w:shd w:val="clear" w:color="auto" w:fill="auto"/>
            <w:vAlign w:val="center"/>
          </w:tcPr>
          <w:p w14:paraId="5C7BC11A">
            <w:pPr>
              <w:widowControl/>
              <w:adjustRightInd/>
              <w:spacing w:line="288" w:lineRule="auto"/>
              <w:jc w:val="center"/>
              <w:textAlignment w:val="top"/>
              <w:rPr>
                <w:rFonts w:ascii="宋体" w:hAnsi="宋体" w:cs="宋体"/>
                <w:color w:val="auto"/>
                <w:kern w:val="0"/>
                <w:sz w:val="24"/>
                <w:lang w:bidi="ar"/>
              </w:rPr>
            </w:pPr>
          </w:p>
        </w:tc>
        <w:tc>
          <w:tcPr>
            <w:tcW w:w="3789" w:type="pct"/>
            <w:tcBorders>
              <w:top w:val="nil"/>
              <w:left w:val="nil"/>
              <w:bottom w:val="single" w:color="auto" w:sz="4" w:space="0"/>
              <w:right w:val="single" w:color="auto" w:sz="4" w:space="0"/>
            </w:tcBorders>
            <w:shd w:val="clear" w:color="000000" w:fill="FFFFFF"/>
            <w:vAlign w:val="center"/>
          </w:tcPr>
          <w:p w14:paraId="12ABFB28">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2）</w:t>
            </w:r>
            <w:r>
              <w:rPr>
                <w:rFonts w:hint="eastAsia" w:ascii="宋体" w:hAnsi="宋体" w:cs="宋体"/>
                <w:color w:val="auto"/>
                <w:kern w:val="0"/>
                <w:sz w:val="24"/>
              </w:rPr>
              <w:t>需</w:t>
            </w:r>
            <w:r>
              <w:rPr>
                <w:rFonts w:hint="eastAsia" w:ascii="宋体" w:hAnsi="宋体" w:cs="宋体"/>
                <w:color w:val="auto"/>
                <w:kern w:val="0"/>
                <w:sz w:val="24"/>
                <w:lang w:bidi="ar"/>
              </w:rPr>
              <w:t>支持设置成员所属中心机构，并根据数据审核模式设置包含系统管理员、数据审核员、数据录入员、数据管理员、研究员等角色。</w:t>
            </w:r>
          </w:p>
        </w:tc>
      </w:tr>
      <w:tr w14:paraId="11B49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vMerge w:val="continue"/>
            <w:shd w:val="clear" w:color="auto" w:fill="auto"/>
            <w:vAlign w:val="center"/>
          </w:tcPr>
          <w:p w14:paraId="212FD225">
            <w:pPr>
              <w:pStyle w:val="968"/>
              <w:widowControl w:val="0"/>
              <w:spacing w:line="288" w:lineRule="auto"/>
              <w:ind w:firstLine="0" w:firstLineChars="0"/>
              <w:jc w:val="center"/>
              <w:rPr>
                <w:rFonts w:cs="宋体"/>
                <w:color w:val="auto"/>
                <w:szCs w:val="24"/>
              </w:rPr>
            </w:pPr>
          </w:p>
        </w:tc>
        <w:tc>
          <w:tcPr>
            <w:tcW w:w="680" w:type="pct"/>
            <w:vMerge w:val="continue"/>
            <w:tcBorders>
              <w:left w:val="single" w:color="auto" w:sz="4" w:space="0"/>
              <w:bottom w:val="single" w:color="auto" w:sz="4" w:space="0"/>
              <w:right w:val="single" w:color="auto" w:sz="4" w:space="0"/>
            </w:tcBorders>
            <w:shd w:val="clear" w:color="auto" w:fill="auto"/>
            <w:vAlign w:val="center"/>
          </w:tcPr>
          <w:p w14:paraId="429DA4A4">
            <w:pPr>
              <w:widowControl/>
              <w:adjustRightInd/>
              <w:spacing w:line="288" w:lineRule="auto"/>
              <w:jc w:val="center"/>
              <w:textAlignment w:val="top"/>
              <w:rPr>
                <w:rFonts w:ascii="宋体" w:hAnsi="宋体" w:cs="宋体"/>
                <w:color w:val="auto"/>
                <w:kern w:val="0"/>
                <w:sz w:val="24"/>
                <w:lang w:bidi="ar"/>
              </w:rPr>
            </w:pPr>
          </w:p>
        </w:tc>
        <w:tc>
          <w:tcPr>
            <w:tcW w:w="3789" w:type="pct"/>
            <w:tcBorders>
              <w:top w:val="nil"/>
              <w:left w:val="nil"/>
              <w:bottom w:val="single" w:color="auto" w:sz="4" w:space="0"/>
              <w:right w:val="single" w:color="auto" w:sz="4" w:space="0"/>
            </w:tcBorders>
            <w:shd w:val="clear" w:color="000000" w:fill="FFFFFF"/>
            <w:vAlign w:val="center"/>
          </w:tcPr>
          <w:p w14:paraId="34C20132">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3）对于多中心项目，</w:t>
            </w:r>
            <w:r>
              <w:rPr>
                <w:rFonts w:hint="eastAsia" w:ascii="宋体" w:hAnsi="宋体" w:cs="宋体"/>
                <w:color w:val="auto"/>
                <w:kern w:val="0"/>
                <w:sz w:val="24"/>
              </w:rPr>
              <w:t>需</w:t>
            </w:r>
            <w:r>
              <w:rPr>
                <w:rFonts w:hint="eastAsia" w:ascii="宋体" w:hAnsi="宋体" w:cs="宋体"/>
                <w:color w:val="auto"/>
                <w:kern w:val="0"/>
                <w:sz w:val="24"/>
                <w:lang w:bidi="ar"/>
              </w:rPr>
              <w:t>支持根据患者数据所属中心进行数据权限区分，例如A医院的成员仅可浏览属于A医院的数据。</w:t>
            </w:r>
          </w:p>
        </w:tc>
      </w:tr>
      <w:tr w14:paraId="76891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vMerge w:val="continue"/>
            <w:shd w:val="clear" w:color="auto" w:fill="auto"/>
            <w:vAlign w:val="center"/>
          </w:tcPr>
          <w:p w14:paraId="58356B36">
            <w:pPr>
              <w:pStyle w:val="968"/>
              <w:widowControl w:val="0"/>
              <w:spacing w:line="288" w:lineRule="auto"/>
              <w:ind w:firstLine="0" w:firstLineChars="0"/>
              <w:jc w:val="center"/>
              <w:rPr>
                <w:rFonts w:cs="宋体"/>
                <w:color w:val="auto"/>
                <w:szCs w:val="24"/>
              </w:rPr>
            </w:pPr>
          </w:p>
        </w:tc>
        <w:tc>
          <w:tcPr>
            <w:tcW w:w="680" w:type="pct"/>
            <w:vMerge w:val="restart"/>
            <w:tcBorders>
              <w:top w:val="nil"/>
              <w:left w:val="single" w:color="auto" w:sz="4" w:space="0"/>
              <w:right w:val="single" w:color="auto" w:sz="4" w:space="0"/>
            </w:tcBorders>
            <w:shd w:val="clear" w:color="000000" w:fill="FFFFFF"/>
            <w:vAlign w:val="center"/>
          </w:tcPr>
          <w:p w14:paraId="145EEA16">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kern w:val="0"/>
                <w:sz w:val="24"/>
                <w:lang w:bidi="ar"/>
              </w:rPr>
              <w:t>CRF表单配置</w:t>
            </w:r>
          </w:p>
        </w:tc>
        <w:tc>
          <w:tcPr>
            <w:tcW w:w="3789" w:type="pct"/>
            <w:tcBorders>
              <w:top w:val="nil"/>
              <w:left w:val="nil"/>
              <w:bottom w:val="single" w:color="auto" w:sz="4" w:space="0"/>
              <w:right w:val="single" w:color="auto" w:sz="4" w:space="0"/>
            </w:tcBorders>
            <w:shd w:val="clear" w:color="000000" w:fill="FFFFFF"/>
            <w:vAlign w:val="center"/>
          </w:tcPr>
          <w:p w14:paraId="1846FDF3">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1）</w:t>
            </w:r>
            <w:r>
              <w:rPr>
                <w:rFonts w:hint="eastAsia" w:ascii="宋体" w:hAnsi="宋体" w:cs="宋体"/>
                <w:color w:val="auto"/>
                <w:kern w:val="0"/>
                <w:sz w:val="24"/>
              </w:rPr>
              <w:t>需</w:t>
            </w:r>
            <w:r>
              <w:rPr>
                <w:rFonts w:hint="eastAsia" w:ascii="宋体" w:hAnsi="宋体" w:cs="宋体"/>
                <w:color w:val="auto"/>
                <w:kern w:val="0"/>
                <w:sz w:val="24"/>
                <w:lang w:bidi="ar"/>
              </w:rPr>
              <w:t>支持自定义创建CRF表单，可灵活配置表单目录以及表单名称。并支持引用已有表单模板、复制已有表单结构，实现表单的快速创建。</w:t>
            </w:r>
          </w:p>
        </w:tc>
      </w:tr>
      <w:tr w14:paraId="05831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vMerge w:val="continue"/>
            <w:shd w:val="clear" w:color="auto" w:fill="auto"/>
            <w:vAlign w:val="center"/>
          </w:tcPr>
          <w:p w14:paraId="0344DB3C">
            <w:pPr>
              <w:pStyle w:val="968"/>
              <w:widowControl w:val="0"/>
              <w:spacing w:line="288" w:lineRule="auto"/>
              <w:ind w:firstLine="0" w:firstLineChars="0"/>
              <w:jc w:val="center"/>
              <w:rPr>
                <w:rFonts w:cs="宋体"/>
                <w:color w:val="auto"/>
                <w:szCs w:val="24"/>
              </w:rPr>
            </w:pPr>
          </w:p>
        </w:tc>
        <w:tc>
          <w:tcPr>
            <w:tcW w:w="680" w:type="pct"/>
            <w:vMerge w:val="continue"/>
            <w:tcBorders>
              <w:left w:val="single" w:color="auto" w:sz="4" w:space="0"/>
              <w:right w:val="single" w:color="auto" w:sz="4" w:space="0"/>
            </w:tcBorders>
            <w:shd w:val="clear" w:color="auto" w:fill="auto"/>
            <w:vAlign w:val="center"/>
          </w:tcPr>
          <w:p w14:paraId="039B4991">
            <w:pPr>
              <w:widowControl/>
              <w:adjustRightInd/>
              <w:spacing w:line="288" w:lineRule="auto"/>
              <w:jc w:val="center"/>
              <w:textAlignment w:val="top"/>
              <w:rPr>
                <w:rFonts w:ascii="宋体" w:hAnsi="宋体" w:cs="宋体"/>
                <w:color w:val="auto"/>
                <w:kern w:val="0"/>
                <w:sz w:val="24"/>
                <w:lang w:bidi="ar"/>
              </w:rPr>
            </w:pPr>
          </w:p>
        </w:tc>
        <w:tc>
          <w:tcPr>
            <w:tcW w:w="3789" w:type="pct"/>
            <w:tcBorders>
              <w:top w:val="nil"/>
              <w:left w:val="nil"/>
              <w:bottom w:val="single" w:color="auto" w:sz="4" w:space="0"/>
              <w:right w:val="single" w:color="auto" w:sz="4" w:space="0"/>
            </w:tcBorders>
            <w:shd w:val="clear" w:color="000000" w:fill="FFFFFF"/>
            <w:vAlign w:val="center"/>
          </w:tcPr>
          <w:p w14:paraId="7761FF10">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2）</w:t>
            </w:r>
            <w:r>
              <w:rPr>
                <w:rFonts w:hint="eastAsia" w:ascii="宋体" w:hAnsi="宋体" w:cs="宋体"/>
                <w:color w:val="auto"/>
                <w:kern w:val="0"/>
                <w:sz w:val="24"/>
              </w:rPr>
              <w:t>需</w:t>
            </w:r>
            <w:r>
              <w:rPr>
                <w:rFonts w:hint="eastAsia" w:ascii="宋体" w:hAnsi="宋体" w:cs="宋体"/>
                <w:color w:val="auto"/>
                <w:kern w:val="0"/>
                <w:sz w:val="24"/>
                <w:lang w:bidi="ar"/>
              </w:rPr>
              <w:t>支持CRF表单模版管理，支持用户自定义表单保存为模板。</w:t>
            </w:r>
          </w:p>
        </w:tc>
      </w:tr>
      <w:tr w14:paraId="1C0A6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0" w:type="pct"/>
            <w:vMerge w:val="continue"/>
            <w:shd w:val="clear" w:color="auto" w:fill="auto"/>
            <w:vAlign w:val="center"/>
          </w:tcPr>
          <w:p w14:paraId="1087228C">
            <w:pPr>
              <w:pStyle w:val="968"/>
              <w:widowControl w:val="0"/>
              <w:spacing w:line="288" w:lineRule="auto"/>
              <w:ind w:firstLine="0" w:firstLineChars="0"/>
              <w:jc w:val="center"/>
              <w:rPr>
                <w:rFonts w:cs="宋体"/>
                <w:color w:val="auto"/>
                <w:szCs w:val="24"/>
              </w:rPr>
            </w:pPr>
          </w:p>
        </w:tc>
        <w:tc>
          <w:tcPr>
            <w:tcW w:w="680" w:type="pct"/>
            <w:vMerge w:val="continue"/>
            <w:tcBorders>
              <w:left w:val="single" w:color="auto" w:sz="4" w:space="0"/>
              <w:right w:val="single" w:color="auto" w:sz="4" w:space="0"/>
            </w:tcBorders>
            <w:shd w:val="clear" w:color="auto" w:fill="auto"/>
            <w:vAlign w:val="center"/>
          </w:tcPr>
          <w:p w14:paraId="2B451E97">
            <w:pPr>
              <w:widowControl/>
              <w:adjustRightInd/>
              <w:spacing w:line="288" w:lineRule="auto"/>
              <w:jc w:val="center"/>
              <w:textAlignment w:val="top"/>
              <w:rPr>
                <w:rFonts w:ascii="宋体" w:hAnsi="宋体" w:cs="宋体"/>
                <w:color w:val="auto"/>
                <w:kern w:val="0"/>
                <w:sz w:val="24"/>
                <w:lang w:bidi="ar"/>
              </w:rPr>
            </w:pPr>
          </w:p>
        </w:tc>
        <w:tc>
          <w:tcPr>
            <w:tcW w:w="3789" w:type="pct"/>
            <w:tcBorders>
              <w:top w:val="nil"/>
              <w:left w:val="nil"/>
              <w:bottom w:val="single" w:color="auto" w:sz="4" w:space="0"/>
              <w:right w:val="single" w:color="auto" w:sz="4" w:space="0"/>
            </w:tcBorders>
            <w:shd w:val="clear" w:color="000000" w:fill="FFFFFF"/>
            <w:vAlign w:val="center"/>
          </w:tcPr>
          <w:p w14:paraId="15B35682">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3）</w:t>
            </w:r>
            <w:r>
              <w:rPr>
                <w:rFonts w:hint="eastAsia" w:ascii="宋体" w:hAnsi="宋体" w:cs="宋体"/>
                <w:color w:val="auto"/>
                <w:kern w:val="0"/>
                <w:sz w:val="24"/>
              </w:rPr>
              <w:t>需</w:t>
            </w:r>
            <w:r>
              <w:rPr>
                <w:rFonts w:hint="eastAsia" w:ascii="宋体" w:hAnsi="宋体" w:cs="宋体"/>
                <w:color w:val="auto"/>
                <w:kern w:val="0"/>
                <w:sz w:val="24"/>
                <w:lang w:bidi="ar"/>
              </w:rPr>
              <w:t>支持多种题目类型，包括单选题、多选题、填空题、日期题、文件题、矩阵题、自增题等。其中选择类型题目可自定义设置选项、取值、必填项、默认值、展示样式等内容，文本类型题目可支持小数、整数、短文本、长文本、单位、必填、默认值等内容限制；文件题支持图片、音频、视频、word、excel、ppt、txt、pdf、zip、dicom 等文件格式。</w:t>
            </w:r>
          </w:p>
        </w:tc>
      </w:tr>
      <w:tr w14:paraId="2417A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vMerge w:val="continue"/>
            <w:shd w:val="clear" w:color="auto" w:fill="auto"/>
            <w:vAlign w:val="center"/>
          </w:tcPr>
          <w:p w14:paraId="5774A180">
            <w:pPr>
              <w:pStyle w:val="968"/>
              <w:widowControl w:val="0"/>
              <w:spacing w:line="288" w:lineRule="auto"/>
              <w:ind w:firstLine="0" w:firstLineChars="0"/>
              <w:jc w:val="center"/>
              <w:rPr>
                <w:rFonts w:cs="宋体"/>
                <w:color w:val="auto"/>
                <w:szCs w:val="24"/>
              </w:rPr>
            </w:pPr>
          </w:p>
        </w:tc>
        <w:tc>
          <w:tcPr>
            <w:tcW w:w="680" w:type="pct"/>
            <w:vMerge w:val="continue"/>
            <w:tcBorders>
              <w:left w:val="single" w:color="auto" w:sz="4" w:space="0"/>
              <w:right w:val="single" w:color="auto" w:sz="4" w:space="0"/>
            </w:tcBorders>
            <w:shd w:val="clear" w:color="auto" w:fill="auto"/>
            <w:vAlign w:val="center"/>
          </w:tcPr>
          <w:p w14:paraId="30649380">
            <w:pPr>
              <w:widowControl/>
              <w:adjustRightInd/>
              <w:spacing w:line="288" w:lineRule="auto"/>
              <w:jc w:val="center"/>
              <w:textAlignment w:val="top"/>
              <w:rPr>
                <w:rFonts w:ascii="宋体" w:hAnsi="宋体" w:cs="宋体"/>
                <w:color w:val="auto"/>
                <w:kern w:val="0"/>
                <w:sz w:val="24"/>
                <w:lang w:bidi="ar"/>
              </w:rPr>
            </w:pPr>
          </w:p>
        </w:tc>
        <w:tc>
          <w:tcPr>
            <w:tcW w:w="3789" w:type="pct"/>
            <w:tcBorders>
              <w:top w:val="nil"/>
              <w:left w:val="nil"/>
              <w:bottom w:val="single" w:color="auto" w:sz="4" w:space="0"/>
              <w:right w:val="single" w:color="auto" w:sz="4" w:space="0"/>
            </w:tcBorders>
            <w:shd w:val="clear" w:color="000000" w:fill="FFFFFF"/>
            <w:vAlign w:val="center"/>
          </w:tcPr>
          <w:p w14:paraId="1D7B73D6">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4）</w:t>
            </w:r>
            <w:r>
              <w:rPr>
                <w:rFonts w:hint="eastAsia" w:ascii="宋体" w:hAnsi="宋体" w:cs="宋体"/>
                <w:color w:val="auto"/>
                <w:kern w:val="0"/>
                <w:sz w:val="24"/>
              </w:rPr>
              <w:t>需</w:t>
            </w:r>
            <w:r>
              <w:rPr>
                <w:rFonts w:hint="eastAsia" w:ascii="宋体" w:hAnsi="宋体" w:cs="宋体"/>
                <w:color w:val="auto"/>
                <w:kern w:val="0"/>
                <w:sz w:val="24"/>
                <w:lang w:bidi="ar"/>
              </w:rPr>
              <w:t>支持临床数据标准字典，可应用字典所支持的数据字段快速完成表单配置，字典包括患者基本信息、病案首页、入院记录、病理记录、手术记录、病程记录、出院记录等模块。</w:t>
            </w:r>
          </w:p>
        </w:tc>
      </w:tr>
      <w:tr w14:paraId="0A7F9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vMerge w:val="continue"/>
            <w:shd w:val="clear" w:color="auto" w:fill="auto"/>
            <w:vAlign w:val="center"/>
          </w:tcPr>
          <w:p w14:paraId="3A5C049F">
            <w:pPr>
              <w:pStyle w:val="968"/>
              <w:widowControl w:val="0"/>
              <w:spacing w:line="288" w:lineRule="auto"/>
              <w:ind w:firstLine="0" w:firstLineChars="0"/>
              <w:jc w:val="center"/>
              <w:rPr>
                <w:rFonts w:cs="宋体"/>
                <w:color w:val="auto"/>
                <w:szCs w:val="24"/>
              </w:rPr>
            </w:pPr>
          </w:p>
        </w:tc>
        <w:tc>
          <w:tcPr>
            <w:tcW w:w="680" w:type="pct"/>
            <w:vMerge w:val="continue"/>
            <w:tcBorders>
              <w:left w:val="single" w:color="auto" w:sz="4" w:space="0"/>
              <w:right w:val="single" w:color="auto" w:sz="4" w:space="0"/>
            </w:tcBorders>
            <w:shd w:val="clear" w:color="auto" w:fill="auto"/>
            <w:vAlign w:val="center"/>
          </w:tcPr>
          <w:p w14:paraId="772A2C76">
            <w:pPr>
              <w:widowControl/>
              <w:adjustRightInd/>
              <w:spacing w:line="288" w:lineRule="auto"/>
              <w:jc w:val="center"/>
              <w:textAlignment w:val="top"/>
              <w:rPr>
                <w:rFonts w:ascii="宋体" w:hAnsi="宋体" w:cs="宋体"/>
                <w:color w:val="auto"/>
                <w:kern w:val="0"/>
                <w:sz w:val="24"/>
                <w:lang w:bidi="ar"/>
              </w:rPr>
            </w:pPr>
          </w:p>
        </w:tc>
        <w:tc>
          <w:tcPr>
            <w:tcW w:w="3789" w:type="pct"/>
            <w:tcBorders>
              <w:top w:val="nil"/>
              <w:left w:val="nil"/>
              <w:bottom w:val="single" w:color="auto" w:sz="4" w:space="0"/>
              <w:right w:val="single" w:color="auto" w:sz="4" w:space="0"/>
            </w:tcBorders>
            <w:shd w:val="clear" w:color="000000" w:fill="FFFFFF"/>
            <w:vAlign w:val="center"/>
          </w:tcPr>
          <w:p w14:paraId="27F8AFDE">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5）</w:t>
            </w:r>
            <w:r>
              <w:rPr>
                <w:rFonts w:hint="eastAsia" w:ascii="宋体" w:hAnsi="宋体" w:cs="宋体"/>
                <w:color w:val="auto"/>
                <w:kern w:val="0"/>
                <w:sz w:val="24"/>
              </w:rPr>
              <w:t>需</w:t>
            </w:r>
            <w:r>
              <w:rPr>
                <w:rFonts w:hint="eastAsia" w:ascii="宋体" w:hAnsi="宋体" w:cs="宋体"/>
                <w:color w:val="auto"/>
                <w:kern w:val="0"/>
                <w:sz w:val="24"/>
                <w:lang w:bidi="ar"/>
              </w:rPr>
              <w:t>支持设置题目之间的关联关系，例如可实现当性别取女的时候出现有无月经史的字段。</w:t>
            </w:r>
          </w:p>
        </w:tc>
      </w:tr>
      <w:tr w14:paraId="74A11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vMerge w:val="continue"/>
            <w:shd w:val="clear" w:color="auto" w:fill="auto"/>
            <w:vAlign w:val="center"/>
          </w:tcPr>
          <w:p w14:paraId="5C6A80E1">
            <w:pPr>
              <w:pStyle w:val="968"/>
              <w:widowControl w:val="0"/>
              <w:spacing w:line="288" w:lineRule="auto"/>
              <w:ind w:firstLine="0" w:firstLineChars="0"/>
              <w:jc w:val="center"/>
              <w:rPr>
                <w:rFonts w:cs="宋体"/>
                <w:color w:val="auto"/>
                <w:szCs w:val="24"/>
              </w:rPr>
            </w:pPr>
          </w:p>
        </w:tc>
        <w:tc>
          <w:tcPr>
            <w:tcW w:w="680" w:type="pct"/>
            <w:vMerge w:val="continue"/>
            <w:tcBorders>
              <w:left w:val="single" w:color="auto" w:sz="4" w:space="0"/>
              <w:right w:val="single" w:color="auto" w:sz="4" w:space="0"/>
            </w:tcBorders>
            <w:shd w:val="clear" w:color="auto" w:fill="auto"/>
            <w:vAlign w:val="center"/>
          </w:tcPr>
          <w:p w14:paraId="7CDF19D1">
            <w:pPr>
              <w:widowControl/>
              <w:adjustRightInd/>
              <w:spacing w:line="288" w:lineRule="auto"/>
              <w:jc w:val="center"/>
              <w:textAlignment w:val="top"/>
              <w:rPr>
                <w:rFonts w:ascii="宋体" w:hAnsi="宋体" w:cs="宋体"/>
                <w:color w:val="auto"/>
                <w:kern w:val="0"/>
                <w:sz w:val="24"/>
                <w:lang w:bidi="ar"/>
              </w:rPr>
            </w:pPr>
          </w:p>
        </w:tc>
        <w:tc>
          <w:tcPr>
            <w:tcW w:w="3789" w:type="pct"/>
            <w:tcBorders>
              <w:top w:val="nil"/>
              <w:left w:val="nil"/>
              <w:bottom w:val="single" w:color="auto" w:sz="4" w:space="0"/>
              <w:right w:val="single" w:color="auto" w:sz="4" w:space="0"/>
            </w:tcBorders>
            <w:shd w:val="clear" w:color="000000" w:fill="FFFFFF"/>
            <w:vAlign w:val="center"/>
          </w:tcPr>
          <w:p w14:paraId="15EE5E37">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6）</w:t>
            </w:r>
            <w:r>
              <w:rPr>
                <w:rFonts w:hint="eastAsia" w:ascii="宋体" w:hAnsi="宋体" w:cs="宋体"/>
                <w:color w:val="auto"/>
                <w:kern w:val="0"/>
                <w:sz w:val="24"/>
              </w:rPr>
              <w:t>需</w:t>
            </w:r>
            <w:r>
              <w:rPr>
                <w:rFonts w:hint="eastAsia" w:ascii="宋体" w:hAnsi="宋体" w:cs="宋体"/>
                <w:color w:val="auto"/>
                <w:kern w:val="0"/>
                <w:sz w:val="24"/>
                <w:lang w:bidi="ar"/>
              </w:rPr>
              <w:t>支持以可视化拖拽的方式创建表单题目，支持题目间位置拖动调整、题目控件复制、题目删除等交互操作。</w:t>
            </w:r>
          </w:p>
        </w:tc>
      </w:tr>
      <w:tr w14:paraId="6D3F6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vMerge w:val="continue"/>
            <w:shd w:val="clear" w:color="auto" w:fill="auto"/>
            <w:vAlign w:val="center"/>
          </w:tcPr>
          <w:p w14:paraId="640AA9CB">
            <w:pPr>
              <w:pStyle w:val="968"/>
              <w:widowControl w:val="0"/>
              <w:spacing w:line="288" w:lineRule="auto"/>
              <w:ind w:firstLine="0" w:firstLineChars="0"/>
              <w:jc w:val="center"/>
              <w:rPr>
                <w:rFonts w:cs="宋体"/>
                <w:color w:val="auto"/>
                <w:szCs w:val="24"/>
              </w:rPr>
            </w:pPr>
          </w:p>
        </w:tc>
        <w:tc>
          <w:tcPr>
            <w:tcW w:w="680" w:type="pct"/>
            <w:vMerge w:val="continue"/>
            <w:tcBorders>
              <w:left w:val="single" w:color="auto" w:sz="4" w:space="0"/>
              <w:bottom w:val="single" w:color="auto" w:sz="4" w:space="0"/>
              <w:right w:val="single" w:color="auto" w:sz="4" w:space="0"/>
            </w:tcBorders>
            <w:shd w:val="clear" w:color="auto" w:fill="auto"/>
            <w:vAlign w:val="center"/>
          </w:tcPr>
          <w:p w14:paraId="0820BF45">
            <w:pPr>
              <w:widowControl/>
              <w:adjustRightInd/>
              <w:spacing w:line="288" w:lineRule="auto"/>
              <w:jc w:val="center"/>
              <w:textAlignment w:val="top"/>
              <w:rPr>
                <w:rFonts w:ascii="宋体" w:hAnsi="宋体" w:cs="宋体"/>
                <w:color w:val="auto"/>
                <w:kern w:val="0"/>
                <w:sz w:val="24"/>
                <w:lang w:bidi="ar"/>
              </w:rPr>
            </w:pPr>
          </w:p>
        </w:tc>
        <w:tc>
          <w:tcPr>
            <w:tcW w:w="3789" w:type="pct"/>
            <w:tcBorders>
              <w:top w:val="nil"/>
              <w:left w:val="nil"/>
              <w:bottom w:val="single" w:color="auto" w:sz="4" w:space="0"/>
              <w:right w:val="single" w:color="auto" w:sz="4" w:space="0"/>
            </w:tcBorders>
            <w:shd w:val="clear" w:color="000000" w:fill="FFFFFF"/>
            <w:vAlign w:val="center"/>
          </w:tcPr>
          <w:p w14:paraId="6B566A78">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7）</w:t>
            </w:r>
            <w:r>
              <w:rPr>
                <w:rFonts w:hint="eastAsia" w:ascii="宋体" w:hAnsi="宋体" w:cs="宋体"/>
                <w:color w:val="auto"/>
                <w:kern w:val="0"/>
                <w:sz w:val="24"/>
              </w:rPr>
              <w:t>需</w:t>
            </w:r>
            <w:r>
              <w:rPr>
                <w:rFonts w:hint="eastAsia" w:ascii="宋体" w:hAnsi="宋体" w:cs="宋体"/>
                <w:color w:val="auto"/>
                <w:kern w:val="0"/>
                <w:sz w:val="24"/>
                <w:lang w:bidi="ar"/>
              </w:rPr>
              <w:t>支持表单预览，通过预览功能可随时查看表单配置效果。</w:t>
            </w:r>
          </w:p>
        </w:tc>
      </w:tr>
      <w:tr w14:paraId="4D7D7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vMerge w:val="continue"/>
            <w:shd w:val="clear" w:color="auto" w:fill="auto"/>
            <w:vAlign w:val="center"/>
          </w:tcPr>
          <w:p w14:paraId="33FE3892">
            <w:pPr>
              <w:pStyle w:val="968"/>
              <w:widowControl w:val="0"/>
              <w:spacing w:line="288" w:lineRule="auto"/>
              <w:ind w:firstLine="0" w:firstLineChars="0"/>
              <w:jc w:val="center"/>
              <w:rPr>
                <w:rFonts w:cs="宋体"/>
                <w:color w:val="auto"/>
                <w:szCs w:val="24"/>
              </w:rPr>
            </w:pPr>
          </w:p>
        </w:tc>
        <w:tc>
          <w:tcPr>
            <w:tcW w:w="680" w:type="pct"/>
            <w:tcBorders>
              <w:top w:val="nil"/>
              <w:left w:val="single" w:color="auto" w:sz="4" w:space="0"/>
              <w:bottom w:val="single" w:color="auto" w:sz="4" w:space="0"/>
              <w:right w:val="single" w:color="auto" w:sz="4" w:space="0"/>
            </w:tcBorders>
            <w:shd w:val="clear" w:color="000000" w:fill="FFFFFF"/>
            <w:vAlign w:val="center"/>
          </w:tcPr>
          <w:p w14:paraId="3ACCFEF3">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kern w:val="0"/>
                <w:sz w:val="24"/>
                <w:lang w:bidi="ar"/>
              </w:rPr>
              <w:t>项目访视配置</w:t>
            </w:r>
          </w:p>
        </w:tc>
        <w:tc>
          <w:tcPr>
            <w:tcW w:w="3789" w:type="pct"/>
            <w:tcBorders>
              <w:top w:val="nil"/>
              <w:left w:val="nil"/>
              <w:bottom w:val="single" w:color="auto" w:sz="4" w:space="0"/>
              <w:right w:val="single" w:color="auto" w:sz="4" w:space="0"/>
            </w:tcBorders>
            <w:shd w:val="clear" w:color="000000" w:fill="FFFFFF"/>
            <w:vAlign w:val="center"/>
          </w:tcPr>
          <w:p w14:paraId="655D75CF">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rPr>
              <w:t>需</w:t>
            </w:r>
            <w:r>
              <w:rPr>
                <w:rFonts w:hint="eastAsia" w:ascii="宋体" w:hAnsi="宋体" w:cs="宋体"/>
                <w:color w:val="auto"/>
                <w:kern w:val="0"/>
                <w:sz w:val="24"/>
                <w:lang w:bidi="ar"/>
              </w:rPr>
              <w:t>支持访视内容自定义配置，包括访视名称、访视类型、访视表单等，其中访式类型支持自由访式和一般访式，可根据访视需求灵活选择。</w:t>
            </w:r>
          </w:p>
        </w:tc>
      </w:tr>
      <w:tr w14:paraId="40860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vMerge w:val="continue"/>
            <w:shd w:val="clear" w:color="auto" w:fill="auto"/>
            <w:vAlign w:val="center"/>
          </w:tcPr>
          <w:p w14:paraId="61160C0F">
            <w:pPr>
              <w:pStyle w:val="968"/>
              <w:widowControl w:val="0"/>
              <w:spacing w:line="288" w:lineRule="auto"/>
              <w:ind w:firstLine="0" w:firstLineChars="0"/>
              <w:jc w:val="center"/>
              <w:rPr>
                <w:rFonts w:cs="宋体"/>
                <w:color w:val="auto"/>
                <w:szCs w:val="24"/>
              </w:rPr>
            </w:pPr>
          </w:p>
        </w:tc>
        <w:tc>
          <w:tcPr>
            <w:tcW w:w="680" w:type="pct"/>
            <w:tcBorders>
              <w:top w:val="nil"/>
              <w:left w:val="single" w:color="auto" w:sz="4" w:space="0"/>
              <w:bottom w:val="single" w:color="auto" w:sz="4" w:space="0"/>
              <w:right w:val="single" w:color="auto" w:sz="4" w:space="0"/>
            </w:tcBorders>
            <w:shd w:val="clear" w:color="000000" w:fill="FFFFFF"/>
            <w:vAlign w:val="center"/>
          </w:tcPr>
          <w:p w14:paraId="25D9773D">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kern w:val="0"/>
                <w:sz w:val="24"/>
                <w:lang w:bidi="ar"/>
              </w:rPr>
              <w:t>随访日程配置</w:t>
            </w:r>
          </w:p>
        </w:tc>
        <w:tc>
          <w:tcPr>
            <w:tcW w:w="3789" w:type="pct"/>
            <w:tcBorders>
              <w:top w:val="nil"/>
              <w:left w:val="nil"/>
              <w:bottom w:val="single" w:color="auto" w:sz="4" w:space="0"/>
              <w:right w:val="single" w:color="auto" w:sz="4" w:space="0"/>
            </w:tcBorders>
            <w:shd w:val="clear" w:color="000000" w:fill="FFFFFF"/>
            <w:vAlign w:val="center"/>
          </w:tcPr>
          <w:p w14:paraId="22C02632">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对于随访项目，访式类型需支持随访访视。支持等距随访与自定义随访两种方式计划，从而灵活设定随访频次。</w:t>
            </w:r>
          </w:p>
        </w:tc>
      </w:tr>
      <w:tr w14:paraId="1CD97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vMerge w:val="continue"/>
            <w:shd w:val="clear" w:color="auto" w:fill="auto"/>
            <w:vAlign w:val="center"/>
          </w:tcPr>
          <w:p w14:paraId="70CC7B51">
            <w:pPr>
              <w:pStyle w:val="968"/>
              <w:widowControl w:val="0"/>
              <w:spacing w:line="288" w:lineRule="auto"/>
              <w:ind w:firstLine="0" w:firstLineChars="0"/>
              <w:jc w:val="center"/>
              <w:rPr>
                <w:rFonts w:cs="宋体"/>
                <w:color w:val="auto"/>
                <w:szCs w:val="24"/>
              </w:rPr>
            </w:pPr>
          </w:p>
        </w:tc>
        <w:tc>
          <w:tcPr>
            <w:tcW w:w="680" w:type="pct"/>
            <w:tcBorders>
              <w:top w:val="nil"/>
              <w:left w:val="single" w:color="auto" w:sz="4" w:space="0"/>
              <w:bottom w:val="single" w:color="auto" w:sz="4" w:space="0"/>
              <w:right w:val="single" w:color="auto" w:sz="4" w:space="0"/>
            </w:tcBorders>
            <w:shd w:val="clear" w:color="000000" w:fill="FFFFFF"/>
            <w:vAlign w:val="center"/>
          </w:tcPr>
          <w:p w14:paraId="6FA3B5B4">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kern w:val="0"/>
                <w:sz w:val="24"/>
                <w:lang w:bidi="ar"/>
              </w:rPr>
              <w:t>项目</w:t>
            </w:r>
          </w:p>
          <w:p w14:paraId="767EAE27">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kern w:val="0"/>
                <w:sz w:val="24"/>
                <w:lang w:bidi="ar"/>
              </w:rPr>
              <w:t>概览</w:t>
            </w:r>
          </w:p>
        </w:tc>
        <w:tc>
          <w:tcPr>
            <w:tcW w:w="3789" w:type="pct"/>
            <w:tcBorders>
              <w:top w:val="nil"/>
              <w:left w:val="nil"/>
              <w:bottom w:val="single" w:color="auto" w:sz="4" w:space="0"/>
              <w:right w:val="single" w:color="auto" w:sz="4" w:space="0"/>
            </w:tcBorders>
            <w:shd w:val="clear" w:color="000000" w:fill="FFFFFF"/>
            <w:vAlign w:val="center"/>
          </w:tcPr>
          <w:p w14:paraId="74EC006E">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rPr>
              <w:t>需</w:t>
            </w:r>
            <w:r>
              <w:rPr>
                <w:rFonts w:hint="eastAsia" w:ascii="宋体" w:hAnsi="宋体" w:cs="宋体"/>
                <w:color w:val="auto"/>
                <w:kern w:val="0"/>
                <w:sz w:val="24"/>
                <w:lang w:bidi="ar"/>
              </w:rPr>
              <w:t>支持项目进度看板，以数据可视化的方式查看入组患者情况、数据录入情况等。</w:t>
            </w:r>
          </w:p>
        </w:tc>
      </w:tr>
      <w:tr w14:paraId="6FDC1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vMerge w:val="continue"/>
            <w:shd w:val="clear" w:color="auto" w:fill="auto"/>
            <w:vAlign w:val="center"/>
          </w:tcPr>
          <w:p w14:paraId="5E82E8BF">
            <w:pPr>
              <w:pStyle w:val="968"/>
              <w:widowControl w:val="0"/>
              <w:spacing w:line="288" w:lineRule="auto"/>
              <w:ind w:firstLine="0" w:firstLineChars="0"/>
              <w:jc w:val="center"/>
              <w:rPr>
                <w:rFonts w:cs="宋体"/>
                <w:color w:val="auto"/>
                <w:szCs w:val="24"/>
              </w:rPr>
            </w:pPr>
          </w:p>
        </w:tc>
        <w:tc>
          <w:tcPr>
            <w:tcW w:w="680" w:type="pct"/>
            <w:tcBorders>
              <w:top w:val="nil"/>
              <w:left w:val="single" w:color="auto" w:sz="4" w:space="0"/>
              <w:bottom w:val="single" w:color="auto" w:sz="4" w:space="0"/>
              <w:right w:val="single" w:color="auto" w:sz="4" w:space="0"/>
            </w:tcBorders>
            <w:shd w:val="clear" w:color="000000" w:fill="FFFFFF"/>
            <w:vAlign w:val="center"/>
          </w:tcPr>
          <w:p w14:paraId="5F27BF80">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kern w:val="0"/>
                <w:sz w:val="24"/>
                <w:lang w:bidi="ar"/>
              </w:rPr>
              <w:t>患者</w:t>
            </w:r>
          </w:p>
          <w:p w14:paraId="12EA82B8">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kern w:val="0"/>
                <w:sz w:val="24"/>
                <w:lang w:bidi="ar"/>
              </w:rPr>
              <w:t>纳排</w:t>
            </w:r>
          </w:p>
        </w:tc>
        <w:tc>
          <w:tcPr>
            <w:tcW w:w="3789" w:type="pct"/>
            <w:tcBorders>
              <w:top w:val="nil"/>
              <w:left w:val="nil"/>
              <w:bottom w:val="single" w:color="auto" w:sz="4" w:space="0"/>
              <w:right w:val="single" w:color="auto" w:sz="4" w:space="0"/>
            </w:tcBorders>
            <w:shd w:val="clear" w:color="000000" w:fill="FFFFFF"/>
            <w:vAlign w:val="center"/>
          </w:tcPr>
          <w:p w14:paraId="49A591ED">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rPr>
              <w:t>需</w:t>
            </w:r>
            <w:r>
              <w:rPr>
                <w:rFonts w:hint="eastAsia" w:ascii="宋体" w:hAnsi="宋体" w:cs="宋体"/>
                <w:color w:val="auto"/>
                <w:kern w:val="0"/>
                <w:sz w:val="24"/>
                <w:lang w:bidi="ar"/>
              </w:rPr>
              <w:t>支持将搜索出的患者入组到项目中，支持查看和调整队列对应的筛选条件。用户可根据患者数据情况进一步审核患者是否入组。</w:t>
            </w:r>
          </w:p>
        </w:tc>
      </w:tr>
      <w:tr w14:paraId="53E59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vMerge w:val="continue"/>
            <w:shd w:val="clear" w:color="auto" w:fill="auto"/>
            <w:vAlign w:val="center"/>
          </w:tcPr>
          <w:p w14:paraId="6A540B8F">
            <w:pPr>
              <w:pStyle w:val="968"/>
              <w:widowControl w:val="0"/>
              <w:spacing w:line="288" w:lineRule="auto"/>
              <w:ind w:firstLine="0" w:firstLineChars="0"/>
              <w:jc w:val="center"/>
              <w:rPr>
                <w:rFonts w:cs="宋体"/>
                <w:color w:val="auto"/>
                <w:szCs w:val="24"/>
              </w:rPr>
            </w:pPr>
          </w:p>
        </w:tc>
        <w:tc>
          <w:tcPr>
            <w:tcW w:w="680" w:type="pct"/>
            <w:tcBorders>
              <w:top w:val="nil"/>
              <w:left w:val="single" w:color="auto" w:sz="4" w:space="0"/>
              <w:bottom w:val="single" w:color="auto" w:sz="4" w:space="0"/>
              <w:right w:val="single" w:color="auto" w:sz="4" w:space="0"/>
            </w:tcBorders>
            <w:shd w:val="clear" w:color="000000" w:fill="FFFFFF"/>
            <w:vAlign w:val="center"/>
          </w:tcPr>
          <w:p w14:paraId="354C6CDA">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kern w:val="0"/>
                <w:sz w:val="24"/>
                <w:lang w:bidi="ar"/>
              </w:rPr>
              <w:t>患者</w:t>
            </w:r>
          </w:p>
          <w:p w14:paraId="4FF8C35B">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kern w:val="0"/>
                <w:sz w:val="24"/>
                <w:lang w:bidi="ar"/>
              </w:rPr>
              <w:t>列表</w:t>
            </w:r>
          </w:p>
        </w:tc>
        <w:tc>
          <w:tcPr>
            <w:tcW w:w="3789" w:type="pct"/>
            <w:tcBorders>
              <w:top w:val="nil"/>
              <w:left w:val="nil"/>
              <w:bottom w:val="single" w:color="auto" w:sz="4" w:space="0"/>
              <w:right w:val="single" w:color="auto" w:sz="4" w:space="0"/>
            </w:tcBorders>
            <w:shd w:val="clear" w:color="000000" w:fill="FFFFFF"/>
            <w:vAlign w:val="center"/>
          </w:tcPr>
          <w:p w14:paraId="156B63EF">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对于已经入组的患者支持查看对应患者数据列表，</w:t>
            </w:r>
            <w:r>
              <w:rPr>
                <w:rFonts w:hint="eastAsia" w:ascii="宋体" w:hAnsi="宋体" w:cs="宋体"/>
                <w:color w:val="auto"/>
                <w:kern w:val="0"/>
                <w:sz w:val="24"/>
              </w:rPr>
              <w:t>需</w:t>
            </w:r>
            <w:r>
              <w:rPr>
                <w:rFonts w:hint="eastAsia" w:ascii="宋体" w:hAnsi="宋体" w:cs="宋体"/>
                <w:color w:val="auto"/>
                <w:kern w:val="0"/>
                <w:sz w:val="24"/>
                <w:lang w:bidi="ar"/>
              </w:rPr>
              <w:t>支持新增、删除入组患者数据。</w:t>
            </w:r>
          </w:p>
        </w:tc>
      </w:tr>
      <w:tr w14:paraId="394FB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vMerge w:val="continue"/>
            <w:shd w:val="clear" w:color="auto" w:fill="auto"/>
            <w:vAlign w:val="center"/>
          </w:tcPr>
          <w:p w14:paraId="2980BF10">
            <w:pPr>
              <w:pStyle w:val="968"/>
              <w:widowControl w:val="0"/>
              <w:spacing w:line="288" w:lineRule="auto"/>
              <w:ind w:firstLine="0" w:firstLineChars="0"/>
              <w:jc w:val="center"/>
              <w:rPr>
                <w:rFonts w:cs="宋体"/>
                <w:color w:val="auto"/>
                <w:szCs w:val="24"/>
              </w:rPr>
            </w:pPr>
          </w:p>
        </w:tc>
        <w:tc>
          <w:tcPr>
            <w:tcW w:w="680" w:type="pct"/>
            <w:tcBorders>
              <w:top w:val="nil"/>
              <w:left w:val="single" w:color="auto" w:sz="4" w:space="0"/>
              <w:bottom w:val="single" w:color="auto" w:sz="4" w:space="0"/>
              <w:right w:val="single" w:color="auto" w:sz="4" w:space="0"/>
            </w:tcBorders>
            <w:shd w:val="clear" w:color="000000" w:fill="FFFFFF"/>
            <w:vAlign w:val="center"/>
          </w:tcPr>
          <w:p w14:paraId="4B2E9A7C">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kern w:val="0"/>
                <w:sz w:val="24"/>
                <w:lang w:bidi="ar"/>
              </w:rPr>
              <w:t>数据</w:t>
            </w:r>
          </w:p>
          <w:p w14:paraId="55E9606F">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kern w:val="0"/>
                <w:sz w:val="24"/>
                <w:lang w:bidi="ar"/>
              </w:rPr>
              <w:t>录入</w:t>
            </w:r>
          </w:p>
        </w:tc>
        <w:tc>
          <w:tcPr>
            <w:tcW w:w="3789" w:type="pct"/>
            <w:tcBorders>
              <w:top w:val="nil"/>
              <w:left w:val="nil"/>
              <w:bottom w:val="single" w:color="auto" w:sz="4" w:space="0"/>
              <w:right w:val="single" w:color="auto" w:sz="4" w:space="0"/>
            </w:tcBorders>
            <w:shd w:val="clear" w:color="000000" w:fill="FFFFFF"/>
            <w:vAlign w:val="center"/>
          </w:tcPr>
          <w:p w14:paraId="752576E9">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rPr>
              <w:t>需</w:t>
            </w:r>
            <w:r>
              <w:rPr>
                <w:rFonts w:hint="eastAsia" w:ascii="宋体" w:hAnsi="宋体" w:cs="宋体"/>
                <w:color w:val="auto"/>
                <w:kern w:val="0"/>
                <w:sz w:val="24"/>
                <w:lang w:bidi="ar"/>
              </w:rPr>
              <w:t>支持进行数据录入，支持增加、删除访视，可自定义访视名称、选择访视菜单、添加访视内容。对于录入的数据支持保存与提交。</w:t>
            </w:r>
          </w:p>
        </w:tc>
      </w:tr>
      <w:tr w14:paraId="7BBDF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vMerge w:val="continue"/>
            <w:shd w:val="clear" w:color="auto" w:fill="auto"/>
            <w:vAlign w:val="center"/>
          </w:tcPr>
          <w:p w14:paraId="42BC96E4">
            <w:pPr>
              <w:pStyle w:val="968"/>
              <w:widowControl w:val="0"/>
              <w:spacing w:line="288" w:lineRule="auto"/>
              <w:ind w:firstLine="0" w:firstLineChars="0"/>
              <w:jc w:val="center"/>
              <w:rPr>
                <w:rFonts w:cs="宋体"/>
                <w:color w:val="auto"/>
                <w:szCs w:val="24"/>
              </w:rPr>
            </w:pPr>
          </w:p>
        </w:tc>
        <w:tc>
          <w:tcPr>
            <w:tcW w:w="680" w:type="pct"/>
            <w:tcBorders>
              <w:top w:val="nil"/>
              <w:left w:val="single" w:color="auto" w:sz="4" w:space="0"/>
              <w:bottom w:val="single" w:color="auto" w:sz="4" w:space="0"/>
              <w:right w:val="single" w:color="auto" w:sz="4" w:space="0"/>
            </w:tcBorders>
            <w:shd w:val="clear" w:color="000000" w:fill="FFFFFF"/>
            <w:vAlign w:val="center"/>
          </w:tcPr>
          <w:p w14:paraId="57F590AD">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kern w:val="0"/>
                <w:sz w:val="24"/>
                <w:lang w:bidi="ar"/>
              </w:rPr>
              <w:t>数据预</w:t>
            </w:r>
          </w:p>
          <w:p w14:paraId="02BC339D">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kern w:val="0"/>
                <w:sz w:val="24"/>
                <w:lang w:bidi="ar"/>
              </w:rPr>
              <w:t>填充</w:t>
            </w:r>
          </w:p>
        </w:tc>
        <w:tc>
          <w:tcPr>
            <w:tcW w:w="3789" w:type="pct"/>
            <w:tcBorders>
              <w:top w:val="nil"/>
              <w:left w:val="nil"/>
              <w:bottom w:val="single" w:color="auto" w:sz="4" w:space="0"/>
              <w:right w:val="single" w:color="auto" w:sz="4" w:space="0"/>
            </w:tcBorders>
            <w:shd w:val="clear" w:color="000000" w:fill="FFFFFF"/>
            <w:vAlign w:val="center"/>
          </w:tcPr>
          <w:p w14:paraId="0914BDB1">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sz w:val="24"/>
              </w:rPr>
              <w:t>▲</w:t>
            </w:r>
            <w:r>
              <w:rPr>
                <w:rFonts w:hint="eastAsia" w:ascii="宋体" w:hAnsi="宋体" w:cs="宋体"/>
                <w:color w:val="auto"/>
                <w:kern w:val="0"/>
                <w:sz w:val="24"/>
              </w:rPr>
              <w:t>需支持人口学信息模块的研究指标实现自动预填写，包括患者姓名、性别、出生日期、民族、职业等内容，从而提升数据录入效率</w:t>
            </w:r>
            <w:r>
              <w:rPr>
                <w:rFonts w:hint="eastAsia" w:ascii="宋体" w:hAnsi="宋体" w:cs="宋体"/>
                <w:color w:val="auto"/>
                <w:kern w:val="0"/>
                <w:sz w:val="24"/>
                <w:lang w:bidi="ar"/>
              </w:rPr>
              <w:t>。</w:t>
            </w:r>
            <w:r>
              <w:rPr>
                <w:rFonts w:hint="eastAsia" w:ascii="宋体" w:hAnsi="宋体" w:cs="宋体"/>
                <w:color w:val="auto"/>
                <w:kern w:val="0"/>
                <w:sz w:val="24"/>
                <w:lang w:bidi="ar"/>
              </w:rPr>
              <w:br w:type="textWrapping"/>
            </w:r>
            <w:r>
              <w:rPr>
                <w:rFonts w:hint="eastAsia" w:ascii="宋体" w:hAnsi="宋体" w:cs="宋体"/>
                <w:b/>
                <w:bCs/>
                <w:color w:val="auto"/>
                <w:kern w:val="0"/>
                <w:sz w:val="24"/>
                <w:lang w:bidi="ar"/>
              </w:rPr>
              <w:t>注：投标人须在投标文件中提供相关证明截图材料作为佐证，未提供或无法证明的本项即为负偏离。</w:t>
            </w:r>
          </w:p>
        </w:tc>
      </w:tr>
      <w:tr w14:paraId="781EF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vMerge w:val="continue"/>
            <w:shd w:val="clear" w:color="auto" w:fill="auto"/>
            <w:vAlign w:val="center"/>
          </w:tcPr>
          <w:p w14:paraId="41B4324D">
            <w:pPr>
              <w:pStyle w:val="968"/>
              <w:widowControl w:val="0"/>
              <w:spacing w:line="288" w:lineRule="auto"/>
              <w:ind w:firstLine="0" w:firstLineChars="0"/>
              <w:jc w:val="center"/>
              <w:rPr>
                <w:rFonts w:cs="宋体"/>
                <w:color w:val="auto"/>
                <w:szCs w:val="24"/>
              </w:rPr>
            </w:pPr>
          </w:p>
        </w:tc>
        <w:tc>
          <w:tcPr>
            <w:tcW w:w="680" w:type="pct"/>
            <w:tcBorders>
              <w:top w:val="nil"/>
              <w:left w:val="single" w:color="auto" w:sz="4" w:space="0"/>
              <w:bottom w:val="single" w:color="auto" w:sz="4" w:space="0"/>
              <w:right w:val="single" w:color="auto" w:sz="4" w:space="0"/>
            </w:tcBorders>
            <w:shd w:val="clear" w:color="000000" w:fill="FFFFFF"/>
            <w:vAlign w:val="center"/>
          </w:tcPr>
          <w:p w14:paraId="38FA7D2E">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kern w:val="0"/>
                <w:sz w:val="24"/>
                <w:lang w:bidi="ar"/>
              </w:rPr>
              <w:t>数据</w:t>
            </w:r>
          </w:p>
          <w:p w14:paraId="7CA112F1">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kern w:val="0"/>
                <w:sz w:val="24"/>
                <w:lang w:bidi="ar"/>
              </w:rPr>
              <w:t>留痕</w:t>
            </w:r>
          </w:p>
        </w:tc>
        <w:tc>
          <w:tcPr>
            <w:tcW w:w="3789" w:type="pct"/>
            <w:tcBorders>
              <w:top w:val="nil"/>
              <w:left w:val="nil"/>
              <w:bottom w:val="single" w:color="auto" w:sz="4" w:space="0"/>
              <w:right w:val="single" w:color="auto" w:sz="4" w:space="0"/>
            </w:tcBorders>
            <w:shd w:val="clear" w:color="000000" w:fill="FFFFFF"/>
            <w:vAlign w:val="center"/>
          </w:tcPr>
          <w:p w14:paraId="4A60A175">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rPr>
              <w:t>需</w:t>
            </w:r>
            <w:r>
              <w:rPr>
                <w:rFonts w:hint="eastAsia" w:ascii="宋体" w:hAnsi="宋体" w:cs="宋体"/>
                <w:color w:val="auto"/>
                <w:kern w:val="0"/>
                <w:sz w:val="24"/>
                <w:lang w:bidi="ar"/>
              </w:rPr>
              <w:t>支持数据留痕，包括字段修改留痕、字段质疑痕迹、字段状态留痕，实现数据录入全程追踪。</w:t>
            </w:r>
          </w:p>
        </w:tc>
      </w:tr>
      <w:tr w14:paraId="570AD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vMerge w:val="continue"/>
            <w:shd w:val="clear" w:color="auto" w:fill="auto"/>
            <w:vAlign w:val="center"/>
          </w:tcPr>
          <w:p w14:paraId="5678E177">
            <w:pPr>
              <w:pStyle w:val="968"/>
              <w:widowControl w:val="0"/>
              <w:spacing w:line="288" w:lineRule="auto"/>
              <w:ind w:firstLine="0" w:firstLineChars="0"/>
              <w:jc w:val="center"/>
              <w:rPr>
                <w:rFonts w:cs="宋体"/>
                <w:color w:val="auto"/>
                <w:szCs w:val="24"/>
              </w:rPr>
            </w:pPr>
          </w:p>
        </w:tc>
        <w:tc>
          <w:tcPr>
            <w:tcW w:w="680" w:type="pct"/>
            <w:tcBorders>
              <w:top w:val="nil"/>
              <w:left w:val="single" w:color="auto" w:sz="4" w:space="0"/>
              <w:bottom w:val="single" w:color="auto" w:sz="4" w:space="0"/>
              <w:right w:val="single" w:color="auto" w:sz="4" w:space="0"/>
            </w:tcBorders>
            <w:shd w:val="clear" w:color="000000" w:fill="FFFFFF"/>
            <w:vAlign w:val="center"/>
          </w:tcPr>
          <w:p w14:paraId="766E6360">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kern w:val="0"/>
                <w:sz w:val="24"/>
                <w:lang w:bidi="ar"/>
              </w:rPr>
              <w:t>随访</w:t>
            </w:r>
          </w:p>
          <w:p w14:paraId="03E74F37">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kern w:val="0"/>
                <w:sz w:val="24"/>
                <w:lang w:bidi="ar"/>
              </w:rPr>
              <w:t>日历</w:t>
            </w:r>
          </w:p>
        </w:tc>
        <w:tc>
          <w:tcPr>
            <w:tcW w:w="3789" w:type="pct"/>
            <w:tcBorders>
              <w:top w:val="nil"/>
              <w:left w:val="nil"/>
              <w:bottom w:val="single" w:color="auto" w:sz="4" w:space="0"/>
              <w:right w:val="single" w:color="auto" w:sz="4" w:space="0"/>
            </w:tcBorders>
            <w:shd w:val="clear" w:color="000000" w:fill="FFFFFF"/>
            <w:vAlign w:val="center"/>
          </w:tcPr>
          <w:p w14:paraId="5BD6B5D7">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对于随访项目</w:t>
            </w:r>
            <w:r>
              <w:rPr>
                <w:rFonts w:hint="eastAsia" w:ascii="宋体" w:hAnsi="宋体" w:cs="宋体"/>
                <w:color w:val="auto"/>
                <w:kern w:val="0"/>
                <w:sz w:val="24"/>
              </w:rPr>
              <w:t>需</w:t>
            </w:r>
            <w:r>
              <w:rPr>
                <w:rFonts w:hint="eastAsia" w:ascii="宋体" w:hAnsi="宋体" w:cs="宋体"/>
                <w:color w:val="auto"/>
                <w:kern w:val="0"/>
                <w:sz w:val="24"/>
                <w:lang w:bidi="ar"/>
              </w:rPr>
              <w:t>支持根据患者入组时间自动生成随访日程，并以日历形式提供每日的随访工作安排，方便随访人员快速开展随访数据录入工作。</w:t>
            </w:r>
          </w:p>
        </w:tc>
      </w:tr>
      <w:tr w14:paraId="40FF4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vMerge w:val="continue"/>
            <w:shd w:val="clear" w:color="auto" w:fill="auto"/>
            <w:vAlign w:val="center"/>
          </w:tcPr>
          <w:p w14:paraId="54E1045F">
            <w:pPr>
              <w:pStyle w:val="968"/>
              <w:widowControl w:val="0"/>
              <w:spacing w:line="288" w:lineRule="auto"/>
              <w:ind w:firstLine="0" w:firstLineChars="0"/>
              <w:jc w:val="center"/>
              <w:rPr>
                <w:rFonts w:cs="宋体"/>
                <w:color w:val="auto"/>
                <w:szCs w:val="24"/>
              </w:rPr>
            </w:pPr>
          </w:p>
        </w:tc>
        <w:tc>
          <w:tcPr>
            <w:tcW w:w="680" w:type="pct"/>
            <w:tcBorders>
              <w:top w:val="nil"/>
              <w:left w:val="single" w:color="auto" w:sz="4" w:space="0"/>
              <w:bottom w:val="single" w:color="auto" w:sz="4" w:space="0"/>
              <w:right w:val="single" w:color="auto" w:sz="4" w:space="0"/>
            </w:tcBorders>
            <w:shd w:val="clear" w:color="000000" w:fill="FFFFFF"/>
            <w:vAlign w:val="center"/>
          </w:tcPr>
          <w:p w14:paraId="577188ED">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kern w:val="0"/>
                <w:sz w:val="24"/>
                <w:lang w:bidi="ar"/>
              </w:rPr>
              <w:t>数据</w:t>
            </w:r>
          </w:p>
          <w:p w14:paraId="399ED2D3">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kern w:val="0"/>
                <w:sz w:val="24"/>
                <w:lang w:bidi="ar"/>
              </w:rPr>
              <w:t>导出</w:t>
            </w:r>
          </w:p>
        </w:tc>
        <w:tc>
          <w:tcPr>
            <w:tcW w:w="3789" w:type="pct"/>
            <w:tcBorders>
              <w:top w:val="nil"/>
              <w:left w:val="nil"/>
              <w:bottom w:val="single" w:color="auto" w:sz="4" w:space="0"/>
              <w:right w:val="single" w:color="auto" w:sz="4" w:space="0"/>
            </w:tcBorders>
            <w:shd w:val="clear" w:color="000000" w:fill="FFFFFF"/>
            <w:vAlign w:val="center"/>
          </w:tcPr>
          <w:p w14:paraId="1D0AC39E">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rPr>
              <w:t>需</w:t>
            </w:r>
            <w:r>
              <w:rPr>
                <w:rFonts w:hint="eastAsia" w:ascii="宋体" w:hAnsi="宋体" w:cs="宋体"/>
                <w:color w:val="auto"/>
                <w:kern w:val="0"/>
                <w:sz w:val="24"/>
                <w:lang w:bidi="ar"/>
              </w:rPr>
              <w:t>支持数据导出，可按照数据表单模块自定义选择需要导出的数据范围，支持以excel格式导出CRF表单数据。</w:t>
            </w:r>
          </w:p>
        </w:tc>
      </w:tr>
      <w:tr w14:paraId="14C87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vMerge w:val="restart"/>
            <w:shd w:val="clear" w:color="auto" w:fill="auto"/>
            <w:vAlign w:val="center"/>
          </w:tcPr>
          <w:p w14:paraId="1D007C2A">
            <w:pPr>
              <w:pStyle w:val="968"/>
              <w:widowControl w:val="0"/>
              <w:spacing w:line="288" w:lineRule="auto"/>
              <w:ind w:firstLine="0" w:firstLineChars="0"/>
              <w:jc w:val="center"/>
              <w:rPr>
                <w:rFonts w:cs="宋体"/>
                <w:color w:val="auto"/>
                <w:szCs w:val="24"/>
              </w:rPr>
            </w:pPr>
            <w:r>
              <w:rPr>
                <w:rFonts w:hint="eastAsia" w:cs="宋体"/>
                <w:color w:val="auto"/>
                <w:szCs w:val="24"/>
              </w:rPr>
              <w:t>统计分析</w:t>
            </w:r>
          </w:p>
        </w:tc>
        <w:tc>
          <w:tcPr>
            <w:tcW w:w="680" w:type="pct"/>
            <w:tcBorders>
              <w:top w:val="single" w:color="auto" w:sz="4" w:space="0"/>
              <w:left w:val="single" w:color="auto" w:sz="4" w:space="0"/>
              <w:bottom w:val="single" w:color="auto" w:sz="4" w:space="0"/>
              <w:right w:val="single" w:color="auto" w:sz="4" w:space="0"/>
            </w:tcBorders>
            <w:shd w:val="clear" w:color="000000" w:fill="FFFFFF"/>
            <w:vAlign w:val="center"/>
          </w:tcPr>
          <w:p w14:paraId="36A82B1A">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kern w:val="0"/>
                <w:sz w:val="24"/>
                <w:lang w:bidi="ar"/>
              </w:rPr>
              <w:t>描述性统计</w:t>
            </w:r>
          </w:p>
        </w:tc>
        <w:tc>
          <w:tcPr>
            <w:tcW w:w="3789" w:type="pct"/>
            <w:tcBorders>
              <w:top w:val="single" w:color="auto" w:sz="4" w:space="0"/>
              <w:left w:val="nil"/>
              <w:bottom w:val="single" w:color="auto" w:sz="4" w:space="0"/>
              <w:right w:val="single" w:color="auto" w:sz="4" w:space="0"/>
            </w:tcBorders>
            <w:shd w:val="clear" w:color="000000" w:fill="FFFFFF"/>
            <w:vAlign w:val="center"/>
          </w:tcPr>
          <w:p w14:paraId="6C8A6819">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rPr>
              <w:t>需</w:t>
            </w:r>
            <w:r>
              <w:rPr>
                <w:rFonts w:hint="eastAsia" w:ascii="宋体" w:hAnsi="宋体" w:cs="宋体"/>
                <w:color w:val="auto"/>
                <w:kern w:val="0"/>
                <w:sz w:val="24"/>
                <w:lang w:bidi="ar"/>
              </w:rPr>
              <w:t>支持描述性统计，根据变量类型自动计算出描述变量分布规律及数量特征分析的相关指标，如最大值、最小值、平均值、中位数等，并根据变量类型智能输出柱状图或饼状图。</w:t>
            </w:r>
          </w:p>
        </w:tc>
      </w:tr>
      <w:tr w14:paraId="24F16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vMerge w:val="continue"/>
            <w:shd w:val="clear" w:color="auto" w:fill="auto"/>
            <w:vAlign w:val="center"/>
          </w:tcPr>
          <w:p w14:paraId="6993A8F1">
            <w:pPr>
              <w:pStyle w:val="968"/>
              <w:widowControl w:val="0"/>
              <w:spacing w:line="288" w:lineRule="auto"/>
              <w:ind w:firstLine="0" w:firstLineChars="0"/>
              <w:jc w:val="center"/>
              <w:rPr>
                <w:rFonts w:cs="宋体"/>
                <w:color w:val="auto"/>
                <w:szCs w:val="24"/>
              </w:rPr>
            </w:pPr>
          </w:p>
        </w:tc>
        <w:tc>
          <w:tcPr>
            <w:tcW w:w="680" w:type="pct"/>
            <w:tcBorders>
              <w:top w:val="nil"/>
              <w:left w:val="single" w:color="auto" w:sz="4" w:space="0"/>
              <w:bottom w:val="single" w:color="auto" w:sz="4" w:space="0"/>
              <w:right w:val="single" w:color="auto" w:sz="4" w:space="0"/>
            </w:tcBorders>
            <w:shd w:val="clear" w:color="000000" w:fill="FFFFFF"/>
            <w:vAlign w:val="center"/>
          </w:tcPr>
          <w:p w14:paraId="60C50575">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kern w:val="0"/>
                <w:sz w:val="24"/>
                <w:lang w:bidi="ar"/>
              </w:rPr>
              <w:t>单因素分析</w:t>
            </w:r>
          </w:p>
        </w:tc>
        <w:tc>
          <w:tcPr>
            <w:tcW w:w="3789" w:type="pct"/>
            <w:tcBorders>
              <w:top w:val="nil"/>
              <w:left w:val="nil"/>
              <w:bottom w:val="single" w:color="auto" w:sz="4" w:space="0"/>
              <w:right w:val="single" w:color="auto" w:sz="4" w:space="0"/>
            </w:tcBorders>
            <w:shd w:val="clear" w:color="000000" w:fill="FFFFFF"/>
            <w:vAlign w:val="center"/>
          </w:tcPr>
          <w:p w14:paraId="016F4687">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rPr>
              <w:t>需</w:t>
            </w:r>
            <w:r>
              <w:rPr>
                <w:rFonts w:hint="eastAsia" w:ascii="宋体" w:hAnsi="宋体" w:cs="宋体"/>
                <w:color w:val="auto"/>
                <w:kern w:val="0"/>
                <w:sz w:val="24"/>
                <w:lang w:bidi="ar"/>
              </w:rPr>
              <w:t>支持单因素分析，支持单变量的单因素组间比较。支持T检验、矫正T检验、秩和检验、单因素方差分析、Fisher精确概率法等统计学检验方法。</w:t>
            </w:r>
          </w:p>
        </w:tc>
      </w:tr>
      <w:tr w14:paraId="1E4D1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vMerge w:val="continue"/>
            <w:shd w:val="clear" w:color="auto" w:fill="auto"/>
            <w:vAlign w:val="center"/>
          </w:tcPr>
          <w:p w14:paraId="5C1DB8FA">
            <w:pPr>
              <w:pStyle w:val="968"/>
              <w:widowControl w:val="0"/>
              <w:spacing w:line="288" w:lineRule="auto"/>
              <w:ind w:firstLine="0" w:firstLineChars="0"/>
              <w:jc w:val="center"/>
              <w:rPr>
                <w:rFonts w:cs="宋体"/>
                <w:color w:val="auto"/>
                <w:szCs w:val="24"/>
              </w:rPr>
            </w:pPr>
          </w:p>
        </w:tc>
        <w:tc>
          <w:tcPr>
            <w:tcW w:w="680" w:type="pct"/>
            <w:tcBorders>
              <w:top w:val="nil"/>
              <w:left w:val="single" w:color="auto" w:sz="4" w:space="0"/>
              <w:bottom w:val="single" w:color="auto" w:sz="4" w:space="0"/>
              <w:right w:val="single" w:color="auto" w:sz="4" w:space="0"/>
            </w:tcBorders>
            <w:shd w:val="clear" w:color="000000" w:fill="FFFFFF"/>
            <w:vAlign w:val="center"/>
          </w:tcPr>
          <w:p w14:paraId="7B4E3BBA">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kern w:val="0"/>
                <w:sz w:val="24"/>
                <w:lang w:bidi="ar"/>
              </w:rPr>
              <w:t>多因素分析</w:t>
            </w:r>
          </w:p>
        </w:tc>
        <w:tc>
          <w:tcPr>
            <w:tcW w:w="3789" w:type="pct"/>
            <w:tcBorders>
              <w:top w:val="nil"/>
              <w:left w:val="nil"/>
              <w:bottom w:val="single" w:color="auto" w:sz="4" w:space="0"/>
              <w:right w:val="single" w:color="auto" w:sz="4" w:space="0"/>
            </w:tcBorders>
            <w:shd w:val="clear" w:color="000000" w:fill="FFFFFF"/>
            <w:vAlign w:val="center"/>
          </w:tcPr>
          <w:p w14:paraId="03563C1F">
            <w:pPr>
              <w:widowControl/>
              <w:adjustRightInd/>
              <w:spacing w:line="288" w:lineRule="auto"/>
              <w:textAlignment w:val="bottom"/>
              <w:rPr>
                <w:rFonts w:ascii="宋体" w:hAnsi="宋体" w:cs="宋体"/>
                <w:color w:val="auto"/>
                <w:kern w:val="0"/>
                <w:sz w:val="24"/>
                <w:lang w:bidi="ar"/>
              </w:rPr>
            </w:pPr>
            <w:r>
              <w:rPr>
                <w:rFonts w:hint="eastAsia" w:ascii="宋体" w:hAnsi="宋体" w:cs="宋体"/>
                <w:color w:val="auto"/>
                <w:kern w:val="0"/>
                <w:sz w:val="24"/>
              </w:rPr>
              <w:t>需</w:t>
            </w:r>
            <w:r>
              <w:rPr>
                <w:rFonts w:hint="eastAsia" w:ascii="宋体" w:hAnsi="宋体" w:cs="宋体"/>
                <w:color w:val="auto"/>
                <w:kern w:val="0"/>
                <w:sz w:val="24"/>
                <w:lang w:bidi="ar"/>
              </w:rPr>
              <w:t>支持多因素分析，支持逻辑回归，可进行logistic回归分析，包括二元logistic等，支持可视化展示模型的ROC曲线。</w:t>
            </w:r>
          </w:p>
        </w:tc>
      </w:tr>
      <w:tr w14:paraId="2DBD3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vMerge w:val="continue"/>
            <w:shd w:val="clear" w:color="auto" w:fill="auto"/>
            <w:vAlign w:val="center"/>
          </w:tcPr>
          <w:p w14:paraId="0E03554E">
            <w:pPr>
              <w:pStyle w:val="968"/>
              <w:widowControl w:val="0"/>
              <w:spacing w:line="288" w:lineRule="auto"/>
              <w:ind w:firstLine="0" w:firstLineChars="0"/>
              <w:jc w:val="center"/>
              <w:rPr>
                <w:rFonts w:cs="宋体"/>
                <w:color w:val="auto"/>
                <w:szCs w:val="24"/>
              </w:rPr>
            </w:pPr>
          </w:p>
        </w:tc>
        <w:tc>
          <w:tcPr>
            <w:tcW w:w="680" w:type="pct"/>
            <w:tcBorders>
              <w:top w:val="nil"/>
              <w:left w:val="single" w:color="auto" w:sz="4" w:space="0"/>
              <w:bottom w:val="single" w:color="auto" w:sz="4" w:space="0"/>
              <w:right w:val="single" w:color="auto" w:sz="4" w:space="0"/>
            </w:tcBorders>
            <w:shd w:val="clear" w:color="000000" w:fill="FFFFFF"/>
            <w:vAlign w:val="center"/>
          </w:tcPr>
          <w:p w14:paraId="30EC46C3">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kern w:val="0"/>
                <w:sz w:val="24"/>
                <w:lang w:bidi="ar"/>
              </w:rPr>
              <w:t>生存</w:t>
            </w:r>
          </w:p>
          <w:p w14:paraId="73636DDE">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kern w:val="0"/>
                <w:sz w:val="24"/>
                <w:lang w:bidi="ar"/>
              </w:rPr>
              <w:t>分析</w:t>
            </w:r>
          </w:p>
        </w:tc>
        <w:tc>
          <w:tcPr>
            <w:tcW w:w="3789" w:type="pct"/>
            <w:tcBorders>
              <w:top w:val="nil"/>
              <w:left w:val="nil"/>
              <w:bottom w:val="single" w:color="auto" w:sz="4" w:space="0"/>
              <w:right w:val="single" w:color="auto" w:sz="4" w:space="0"/>
            </w:tcBorders>
            <w:shd w:val="clear" w:color="000000" w:fill="FFFFFF"/>
            <w:vAlign w:val="center"/>
          </w:tcPr>
          <w:p w14:paraId="487AE558">
            <w:pPr>
              <w:widowControl/>
              <w:adjustRightInd/>
              <w:spacing w:line="288" w:lineRule="auto"/>
              <w:textAlignment w:val="bottom"/>
              <w:rPr>
                <w:rFonts w:ascii="宋体" w:hAnsi="宋体" w:cs="宋体"/>
                <w:color w:val="auto"/>
                <w:kern w:val="0"/>
                <w:sz w:val="24"/>
                <w:lang w:bidi="ar"/>
              </w:rPr>
            </w:pPr>
            <w:r>
              <w:rPr>
                <w:rFonts w:hint="eastAsia" w:ascii="宋体" w:hAnsi="宋体" w:cs="宋体"/>
                <w:color w:val="auto"/>
                <w:kern w:val="0"/>
                <w:sz w:val="24"/>
              </w:rPr>
              <w:t>需</w:t>
            </w:r>
            <w:r>
              <w:rPr>
                <w:rFonts w:hint="eastAsia" w:ascii="宋体" w:hAnsi="宋体" w:cs="宋体"/>
                <w:color w:val="auto"/>
                <w:kern w:val="0"/>
                <w:sz w:val="24"/>
                <w:lang w:bidi="ar"/>
              </w:rPr>
              <w:t>支持生存分析, 包括Kaplan Meier方法进行单因素生存分析。支持可视化展示对应生存曲线。</w:t>
            </w:r>
          </w:p>
        </w:tc>
      </w:tr>
      <w:tr w14:paraId="24C66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530" w:type="pct"/>
            <w:vMerge w:val="continue"/>
            <w:shd w:val="clear" w:color="auto" w:fill="auto"/>
            <w:vAlign w:val="center"/>
          </w:tcPr>
          <w:p w14:paraId="4F40EBF9">
            <w:pPr>
              <w:pStyle w:val="968"/>
              <w:widowControl w:val="0"/>
              <w:spacing w:line="288" w:lineRule="auto"/>
              <w:ind w:firstLine="0" w:firstLineChars="0"/>
              <w:jc w:val="center"/>
              <w:rPr>
                <w:rFonts w:cs="宋体"/>
                <w:color w:val="auto"/>
                <w:szCs w:val="24"/>
              </w:rPr>
            </w:pPr>
          </w:p>
        </w:tc>
        <w:tc>
          <w:tcPr>
            <w:tcW w:w="680" w:type="pct"/>
            <w:tcBorders>
              <w:top w:val="nil"/>
              <w:left w:val="single" w:color="auto" w:sz="4" w:space="0"/>
              <w:right w:val="single" w:color="auto" w:sz="4" w:space="0"/>
            </w:tcBorders>
            <w:shd w:val="clear" w:color="000000" w:fill="FFFFFF"/>
            <w:vAlign w:val="center"/>
          </w:tcPr>
          <w:p w14:paraId="08A99F07">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kern w:val="0"/>
                <w:sz w:val="24"/>
                <w:lang w:bidi="ar"/>
              </w:rPr>
              <w:t>统计结果一键生成</w:t>
            </w:r>
          </w:p>
        </w:tc>
        <w:tc>
          <w:tcPr>
            <w:tcW w:w="3789" w:type="pct"/>
            <w:tcBorders>
              <w:top w:val="nil"/>
              <w:left w:val="nil"/>
              <w:right w:val="single" w:color="auto" w:sz="4" w:space="0"/>
            </w:tcBorders>
            <w:shd w:val="clear" w:color="000000" w:fill="FFFFFF"/>
            <w:vAlign w:val="center"/>
          </w:tcPr>
          <w:p w14:paraId="6E4694C6">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rPr>
              <w:t>需</w:t>
            </w:r>
            <w:r>
              <w:rPr>
                <w:rFonts w:hint="eastAsia" w:ascii="宋体" w:hAnsi="宋体" w:cs="宋体"/>
                <w:color w:val="auto"/>
                <w:kern w:val="0"/>
                <w:sz w:val="24"/>
                <w:lang w:bidi="ar"/>
              </w:rPr>
              <w:t>支持数据自动分析并生成图文结果，结果的文字描述和图表内容可直接用于论文撰写完成科研链路闭环。</w:t>
            </w:r>
          </w:p>
        </w:tc>
      </w:tr>
      <w:tr w14:paraId="1E267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vMerge w:val="restart"/>
            <w:vAlign w:val="center"/>
          </w:tcPr>
          <w:p w14:paraId="6AD724F6">
            <w:pPr>
              <w:pStyle w:val="968"/>
              <w:widowControl w:val="0"/>
              <w:spacing w:line="288" w:lineRule="auto"/>
              <w:ind w:firstLine="0" w:firstLineChars="0"/>
              <w:jc w:val="center"/>
              <w:rPr>
                <w:rFonts w:cs="宋体"/>
                <w:color w:val="auto"/>
                <w:szCs w:val="24"/>
              </w:rPr>
            </w:pPr>
            <w:r>
              <w:rPr>
                <w:rFonts w:hint="eastAsia" w:cs="宋体"/>
                <w:color w:val="auto"/>
                <w:szCs w:val="24"/>
              </w:rPr>
              <w:t>平台管理</w:t>
            </w:r>
          </w:p>
        </w:tc>
        <w:tc>
          <w:tcPr>
            <w:tcW w:w="680" w:type="pct"/>
            <w:tcBorders>
              <w:top w:val="single" w:color="auto" w:sz="4" w:space="0"/>
              <w:left w:val="single" w:color="auto" w:sz="4" w:space="0"/>
              <w:bottom w:val="single" w:color="auto" w:sz="4" w:space="0"/>
              <w:right w:val="single" w:color="auto" w:sz="4" w:space="0"/>
            </w:tcBorders>
            <w:vAlign w:val="center"/>
          </w:tcPr>
          <w:p w14:paraId="5AB1D29F">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kern w:val="0"/>
                <w:sz w:val="24"/>
                <w:lang w:bidi="ar"/>
              </w:rPr>
              <w:t>用户</w:t>
            </w:r>
          </w:p>
          <w:p w14:paraId="72EA1545">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kern w:val="0"/>
                <w:sz w:val="24"/>
                <w:lang w:bidi="ar"/>
              </w:rPr>
              <w:t>管理</w:t>
            </w:r>
          </w:p>
        </w:tc>
        <w:tc>
          <w:tcPr>
            <w:tcW w:w="3789" w:type="pct"/>
            <w:tcBorders>
              <w:top w:val="single" w:color="auto" w:sz="4" w:space="0"/>
              <w:left w:val="nil"/>
              <w:bottom w:val="single" w:color="auto" w:sz="4" w:space="0"/>
              <w:right w:val="single" w:color="auto" w:sz="4" w:space="0"/>
            </w:tcBorders>
            <w:vAlign w:val="center"/>
          </w:tcPr>
          <w:p w14:paraId="193EED68">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rPr>
              <w:t>需</w:t>
            </w:r>
            <w:r>
              <w:rPr>
                <w:rFonts w:hint="eastAsia" w:ascii="宋体" w:hAnsi="宋体" w:cs="宋体"/>
                <w:color w:val="auto"/>
                <w:kern w:val="0"/>
                <w:sz w:val="24"/>
                <w:lang w:bidi="ar"/>
              </w:rPr>
              <w:t>支持增删改帐号信息，重置密码等。支持预设管理员账号；管理员可为每个用户配置不同的账号、角色，从而实现功能权限划分。例如基础科研人员仅可访问数据，导出数据需要经过审批。高级科研人员可直接导出数据等。</w:t>
            </w:r>
          </w:p>
        </w:tc>
      </w:tr>
      <w:tr w14:paraId="4A364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vMerge w:val="continue"/>
            <w:vAlign w:val="center"/>
          </w:tcPr>
          <w:p w14:paraId="442F31A5">
            <w:pPr>
              <w:pStyle w:val="968"/>
              <w:widowControl w:val="0"/>
              <w:spacing w:line="288" w:lineRule="auto"/>
              <w:ind w:firstLine="0" w:firstLineChars="0"/>
              <w:jc w:val="center"/>
              <w:rPr>
                <w:rFonts w:cs="宋体"/>
                <w:color w:val="auto"/>
                <w:szCs w:val="24"/>
              </w:rPr>
            </w:pPr>
          </w:p>
        </w:tc>
        <w:tc>
          <w:tcPr>
            <w:tcW w:w="680" w:type="pct"/>
            <w:tcBorders>
              <w:top w:val="nil"/>
              <w:left w:val="single" w:color="auto" w:sz="4" w:space="0"/>
              <w:bottom w:val="single" w:color="auto" w:sz="4" w:space="0"/>
              <w:right w:val="single" w:color="auto" w:sz="4" w:space="0"/>
            </w:tcBorders>
            <w:vAlign w:val="center"/>
          </w:tcPr>
          <w:p w14:paraId="61906354">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kern w:val="0"/>
                <w:sz w:val="24"/>
                <w:lang w:bidi="ar"/>
              </w:rPr>
              <w:t>数据权限管理</w:t>
            </w:r>
          </w:p>
        </w:tc>
        <w:tc>
          <w:tcPr>
            <w:tcW w:w="3789" w:type="pct"/>
            <w:tcBorders>
              <w:top w:val="nil"/>
              <w:left w:val="nil"/>
              <w:bottom w:val="single" w:color="auto" w:sz="4" w:space="0"/>
              <w:right w:val="single" w:color="auto" w:sz="4" w:space="0"/>
            </w:tcBorders>
            <w:vAlign w:val="center"/>
          </w:tcPr>
          <w:p w14:paraId="7B3F65ED">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rPr>
              <w:t>需</w:t>
            </w:r>
            <w:r>
              <w:rPr>
                <w:rFonts w:hint="eastAsia" w:ascii="宋体" w:hAnsi="宋体" w:cs="宋体"/>
                <w:color w:val="auto"/>
                <w:kern w:val="0"/>
                <w:sz w:val="24"/>
                <w:lang w:bidi="ar"/>
              </w:rPr>
              <w:t>支持数据访问和下载权限按科室限定，从而实现每个科室的用户只能查看或下载对应自己科室的数据，有效保障医院数据的安全性和隐私。</w:t>
            </w:r>
          </w:p>
        </w:tc>
      </w:tr>
      <w:tr w14:paraId="535E8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vMerge w:val="continue"/>
            <w:vAlign w:val="center"/>
          </w:tcPr>
          <w:p w14:paraId="1E96067A">
            <w:pPr>
              <w:pStyle w:val="968"/>
              <w:widowControl w:val="0"/>
              <w:spacing w:line="288" w:lineRule="auto"/>
              <w:ind w:firstLine="0" w:firstLineChars="0"/>
              <w:jc w:val="center"/>
              <w:rPr>
                <w:rFonts w:cs="宋体"/>
                <w:color w:val="auto"/>
                <w:szCs w:val="24"/>
              </w:rPr>
            </w:pPr>
          </w:p>
        </w:tc>
        <w:tc>
          <w:tcPr>
            <w:tcW w:w="680" w:type="pct"/>
            <w:tcBorders>
              <w:top w:val="nil"/>
              <w:left w:val="single" w:color="auto" w:sz="4" w:space="0"/>
              <w:bottom w:val="single" w:color="auto" w:sz="4" w:space="0"/>
              <w:right w:val="single" w:color="auto" w:sz="4" w:space="0"/>
            </w:tcBorders>
            <w:vAlign w:val="center"/>
          </w:tcPr>
          <w:p w14:paraId="7C834464">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kern w:val="0"/>
                <w:sz w:val="24"/>
                <w:lang w:bidi="ar"/>
              </w:rPr>
              <w:t>审批</w:t>
            </w:r>
          </w:p>
          <w:p w14:paraId="52E3BADF">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kern w:val="0"/>
                <w:sz w:val="24"/>
                <w:lang w:bidi="ar"/>
              </w:rPr>
              <w:t>管理</w:t>
            </w:r>
          </w:p>
        </w:tc>
        <w:tc>
          <w:tcPr>
            <w:tcW w:w="3789" w:type="pct"/>
            <w:tcBorders>
              <w:top w:val="nil"/>
              <w:left w:val="nil"/>
              <w:bottom w:val="single" w:color="auto" w:sz="4" w:space="0"/>
              <w:right w:val="single" w:color="auto" w:sz="4" w:space="0"/>
            </w:tcBorders>
            <w:vAlign w:val="center"/>
          </w:tcPr>
          <w:p w14:paraId="0584D14F">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管理员可对平台上所有用户申请的数据导出请求进行审批，在“审批”菜单栏，可通过或拒绝，拒绝时需要填写拒绝原因。</w:t>
            </w:r>
          </w:p>
        </w:tc>
      </w:tr>
      <w:tr w14:paraId="7BC15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vMerge w:val="continue"/>
            <w:vAlign w:val="center"/>
          </w:tcPr>
          <w:p w14:paraId="6C0B9420">
            <w:pPr>
              <w:pStyle w:val="968"/>
              <w:widowControl w:val="0"/>
              <w:spacing w:line="288" w:lineRule="auto"/>
              <w:ind w:firstLine="0" w:firstLineChars="0"/>
              <w:jc w:val="center"/>
              <w:rPr>
                <w:rFonts w:cs="宋体"/>
                <w:color w:val="auto"/>
                <w:szCs w:val="24"/>
              </w:rPr>
            </w:pPr>
          </w:p>
        </w:tc>
        <w:tc>
          <w:tcPr>
            <w:tcW w:w="680" w:type="pct"/>
            <w:tcBorders>
              <w:top w:val="nil"/>
              <w:left w:val="single" w:color="auto" w:sz="4" w:space="0"/>
              <w:bottom w:val="single" w:color="auto" w:sz="4" w:space="0"/>
              <w:right w:val="single" w:color="auto" w:sz="4" w:space="0"/>
            </w:tcBorders>
            <w:vAlign w:val="center"/>
          </w:tcPr>
          <w:p w14:paraId="133E8EDB">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kern w:val="0"/>
                <w:sz w:val="24"/>
                <w:lang w:bidi="ar"/>
              </w:rPr>
              <w:t>概览</w:t>
            </w:r>
          </w:p>
        </w:tc>
        <w:tc>
          <w:tcPr>
            <w:tcW w:w="3789" w:type="pct"/>
            <w:tcBorders>
              <w:top w:val="nil"/>
              <w:left w:val="nil"/>
              <w:bottom w:val="single" w:color="auto" w:sz="4" w:space="0"/>
              <w:right w:val="single" w:color="auto" w:sz="4" w:space="0"/>
            </w:tcBorders>
            <w:vAlign w:val="center"/>
          </w:tcPr>
          <w:p w14:paraId="61FB2B84">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rPr>
              <w:t>需</w:t>
            </w:r>
            <w:r>
              <w:rPr>
                <w:rFonts w:hint="eastAsia" w:ascii="宋体" w:hAnsi="宋体" w:cs="宋体"/>
                <w:color w:val="auto"/>
                <w:kern w:val="0"/>
                <w:sz w:val="24"/>
                <w:lang w:bidi="ar"/>
              </w:rPr>
              <w:t>支持操作记录概览。支持按趋势图、饼图以及柱状图等可视化浏览登录、筛选、导出、项目相关日志。</w:t>
            </w:r>
          </w:p>
        </w:tc>
      </w:tr>
      <w:tr w14:paraId="49F48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vMerge w:val="continue"/>
            <w:vAlign w:val="center"/>
          </w:tcPr>
          <w:p w14:paraId="442C6BE3">
            <w:pPr>
              <w:pStyle w:val="968"/>
              <w:widowControl w:val="0"/>
              <w:spacing w:line="288" w:lineRule="auto"/>
              <w:ind w:firstLine="0" w:firstLineChars="0"/>
              <w:jc w:val="center"/>
              <w:rPr>
                <w:rFonts w:cs="宋体"/>
                <w:color w:val="auto"/>
                <w:szCs w:val="24"/>
              </w:rPr>
            </w:pPr>
          </w:p>
        </w:tc>
        <w:tc>
          <w:tcPr>
            <w:tcW w:w="680" w:type="pct"/>
            <w:tcBorders>
              <w:top w:val="nil"/>
              <w:left w:val="single" w:color="auto" w:sz="4" w:space="0"/>
              <w:bottom w:val="single" w:color="auto" w:sz="4" w:space="0"/>
              <w:right w:val="single" w:color="auto" w:sz="4" w:space="0"/>
            </w:tcBorders>
            <w:vAlign w:val="center"/>
          </w:tcPr>
          <w:p w14:paraId="7733B775">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kern w:val="0"/>
                <w:sz w:val="24"/>
                <w:lang w:bidi="ar"/>
              </w:rPr>
              <w:t>登录记录</w:t>
            </w:r>
          </w:p>
        </w:tc>
        <w:tc>
          <w:tcPr>
            <w:tcW w:w="3789" w:type="pct"/>
            <w:tcBorders>
              <w:top w:val="nil"/>
              <w:left w:val="nil"/>
              <w:bottom w:val="single" w:color="auto" w:sz="4" w:space="0"/>
              <w:right w:val="single" w:color="auto" w:sz="4" w:space="0"/>
            </w:tcBorders>
            <w:vAlign w:val="center"/>
          </w:tcPr>
          <w:p w14:paraId="1611F519">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rPr>
              <w:t>需</w:t>
            </w:r>
            <w:r>
              <w:rPr>
                <w:rFonts w:hint="eastAsia" w:ascii="宋体" w:hAnsi="宋体" w:cs="宋体"/>
                <w:color w:val="auto"/>
                <w:kern w:val="0"/>
                <w:sz w:val="24"/>
                <w:lang w:bidi="ar"/>
              </w:rPr>
              <w:t>支持查看平台用户的登录记录，包括登录时间、用户名、所属科室等。</w:t>
            </w:r>
          </w:p>
        </w:tc>
      </w:tr>
      <w:tr w14:paraId="5ED31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vMerge w:val="continue"/>
            <w:vAlign w:val="center"/>
          </w:tcPr>
          <w:p w14:paraId="441E6E4F">
            <w:pPr>
              <w:pStyle w:val="968"/>
              <w:widowControl w:val="0"/>
              <w:spacing w:line="288" w:lineRule="auto"/>
              <w:ind w:firstLine="0" w:firstLineChars="0"/>
              <w:jc w:val="center"/>
              <w:rPr>
                <w:rFonts w:cs="宋体"/>
                <w:color w:val="auto"/>
                <w:szCs w:val="24"/>
              </w:rPr>
            </w:pPr>
          </w:p>
        </w:tc>
        <w:tc>
          <w:tcPr>
            <w:tcW w:w="680" w:type="pct"/>
            <w:tcBorders>
              <w:top w:val="nil"/>
              <w:left w:val="single" w:color="auto" w:sz="4" w:space="0"/>
              <w:bottom w:val="single" w:color="auto" w:sz="4" w:space="0"/>
              <w:right w:val="single" w:color="auto" w:sz="4" w:space="0"/>
            </w:tcBorders>
            <w:vAlign w:val="center"/>
          </w:tcPr>
          <w:p w14:paraId="5E7A9E98">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kern w:val="0"/>
                <w:sz w:val="24"/>
                <w:lang w:bidi="ar"/>
              </w:rPr>
              <w:t>搜索</w:t>
            </w:r>
          </w:p>
          <w:p w14:paraId="21231B84">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kern w:val="0"/>
                <w:sz w:val="24"/>
                <w:lang w:bidi="ar"/>
              </w:rPr>
              <w:t>记录</w:t>
            </w:r>
          </w:p>
        </w:tc>
        <w:tc>
          <w:tcPr>
            <w:tcW w:w="3789" w:type="pct"/>
            <w:tcBorders>
              <w:top w:val="nil"/>
              <w:left w:val="nil"/>
              <w:bottom w:val="single" w:color="auto" w:sz="4" w:space="0"/>
              <w:right w:val="single" w:color="auto" w:sz="4" w:space="0"/>
            </w:tcBorders>
            <w:vAlign w:val="center"/>
          </w:tcPr>
          <w:p w14:paraId="5AE358D0">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rPr>
              <w:t>需</w:t>
            </w:r>
            <w:r>
              <w:rPr>
                <w:rFonts w:hint="eastAsia" w:ascii="宋体" w:hAnsi="宋体" w:cs="宋体"/>
                <w:color w:val="auto"/>
                <w:kern w:val="0"/>
                <w:sz w:val="24"/>
                <w:lang w:bidi="ar"/>
              </w:rPr>
              <w:t>支持查看平台用户的搜索记录，包括搜索时间、用户名、所属科室、筛选条件等。</w:t>
            </w:r>
          </w:p>
        </w:tc>
      </w:tr>
      <w:tr w14:paraId="5B34C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vMerge w:val="continue"/>
            <w:vAlign w:val="center"/>
          </w:tcPr>
          <w:p w14:paraId="631E9E3F">
            <w:pPr>
              <w:pStyle w:val="968"/>
              <w:widowControl w:val="0"/>
              <w:spacing w:line="288" w:lineRule="auto"/>
              <w:ind w:firstLine="0" w:firstLineChars="0"/>
              <w:jc w:val="center"/>
              <w:rPr>
                <w:rFonts w:cs="宋体"/>
                <w:color w:val="auto"/>
                <w:szCs w:val="24"/>
              </w:rPr>
            </w:pPr>
          </w:p>
        </w:tc>
        <w:tc>
          <w:tcPr>
            <w:tcW w:w="680" w:type="pct"/>
            <w:tcBorders>
              <w:top w:val="nil"/>
              <w:left w:val="single" w:color="auto" w:sz="4" w:space="0"/>
              <w:bottom w:val="single" w:color="auto" w:sz="4" w:space="0"/>
              <w:right w:val="single" w:color="auto" w:sz="4" w:space="0"/>
            </w:tcBorders>
            <w:vAlign w:val="center"/>
          </w:tcPr>
          <w:p w14:paraId="28A9C6AE">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kern w:val="0"/>
                <w:sz w:val="24"/>
                <w:lang w:bidi="ar"/>
              </w:rPr>
              <w:t>导出</w:t>
            </w:r>
          </w:p>
          <w:p w14:paraId="1437DB5A">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kern w:val="0"/>
                <w:sz w:val="24"/>
                <w:lang w:bidi="ar"/>
              </w:rPr>
              <w:t>记录</w:t>
            </w:r>
          </w:p>
        </w:tc>
        <w:tc>
          <w:tcPr>
            <w:tcW w:w="3789" w:type="pct"/>
            <w:tcBorders>
              <w:top w:val="nil"/>
              <w:left w:val="nil"/>
              <w:bottom w:val="single" w:color="auto" w:sz="4" w:space="0"/>
              <w:right w:val="single" w:color="auto" w:sz="4" w:space="0"/>
            </w:tcBorders>
            <w:vAlign w:val="center"/>
          </w:tcPr>
          <w:p w14:paraId="3DE6D2E1">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rPr>
              <w:t>需</w:t>
            </w:r>
            <w:r>
              <w:rPr>
                <w:rFonts w:hint="eastAsia" w:ascii="宋体" w:hAnsi="宋体" w:cs="宋体"/>
                <w:color w:val="auto"/>
                <w:kern w:val="0"/>
                <w:sz w:val="24"/>
                <w:lang w:bidi="ar"/>
              </w:rPr>
              <w:t>支持查看平台用户的导出记录，包括导出时间、用户名、所属科室、导出字段、导出数据是否脱敏等。</w:t>
            </w:r>
          </w:p>
        </w:tc>
      </w:tr>
      <w:tr w14:paraId="06DCD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vMerge w:val="continue"/>
            <w:vAlign w:val="center"/>
          </w:tcPr>
          <w:p w14:paraId="134EEBAB">
            <w:pPr>
              <w:pStyle w:val="968"/>
              <w:widowControl w:val="0"/>
              <w:spacing w:line="288" w:lineRule="auto"/>
              <w:ind w:firstLine="0" w:firstLineChars="0"/>
              <w:jc w:val="center"/>
              <w:rPr>
                <w:rFonts w:cs="宋体"/>
                <w:color w:val="auto"/>
                <w:szCs w:val="24"/>
              </w:rPr>
            </w:pPr>
          </w:p>
        </w:tc>
        <w:tc>
          <w:tcPr>
            <w:tcW w:w="680" w:type="pct"/>
            <w:tcBorders>
              <w:top w:val="single" w:color="auto" w:sz="4" w:space="0"/>
              <w:left w:val="single" w:color="auto" w:sz="4" w:space="0"/>
              <w:bottom w:val="single" w:color="auto" w:sz="4" w:space="0"/>
              <w:right w:val="single" w:color="auto" w:sz="4" w:space="0"/>
            </w:tcBorders>
            <w:vAlign w:val="center"/>
          </w:tcPr>
          <w:p w14:paraId="55B3BCC9">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kern w:val="0"/>
                <w:sz w:val="24"/>
                <w:lang w:bidi="ar"/>
              </w:rPr>
              <w:t>项目</w:t>
            </w:r>
          </w:p>
          <w:p w14:paraId="6B5E57AA">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kern w:val="0"/>
                <w:sz w:val="24"/>
                <w:lang w:bidi="ar"/>
              </w:rPr>
              <w:t>记录</w:t>
            </w:r>
          </w:p>
        </w:tc>
        <w:tc>
          <w:tcPr>
            <w:tcW w:w="3789" w:type="pct"/>
            <w:tcBorders>
              <w:top w:val="single" w:color="auto" w:sz="4" w:space="0"/>
              <w:left w:val="single" w:color="auto" w:sz="4" w:space="0"/>
              <w:bottom w:val="single" w:color="auto" w:sz="4" w:space="0"/>
              <w:right w:val="single" w:color="auto" w:sz="4" w:space="0"/>
            </w:tcBorders>
            <w:vAlign w:val="center"/>
          </w:tcPr>
          <w:p w14:paraId="1D55FD23">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rPr>
              <w:t>需</w:t>
            </w:r>
            <w:r>
              <w:rPr>
                <w:rFonts w:hint="eastAsia" w:ascii="宋体" w:hAnsi="宋体" w:cs="宋体"/>
                <w:color w:val="auto"/>
                <w:kern w:val="0"/>
                <w:sz w:val="24"/>
                <w:lang w:bidi="ar"/>
              </w:rPr>
              <w:t>支持查看平台用户的项目记录，包括项目创建时间、对应课题名称、创建人、项目所属科室、项目成员、项目中患者数、项目中的数据被导出的次数等。</w:t>
            </w:r>
          </w:p>
        </w:tc>
      </w:tr>
      <w:tr w14:paraId="0A3FB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tcBorders>
              <w:right w:val="single" w:color="auto" w:sz="4" w:space="0"/>
            </w:tcBorders>
            <w:shd w:val="clear" w:color="auto" w:fill="auto"/>
            <w:vAlign w:val="center"/>
          </w:tcPr>
          <w:p w14:paraId="61F9F6A9">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kern w:val="0"/>
                <w:sz w:val="24"/>
                <w:lang w:bidi="ar"/>
              </w:rPr>
              <w:t>整体要求</w:t>
            </w:r>
          </w:p>
        </w:tc>
        <w:tc>
          <w:tcPr>
            <w:tcW w:w="680" w:type="pct"/>
            <w:tcBorders>
              <w:right w:val="single" w:color="auto" w:sz="4" w:space="0"/>
            </w:tcBorders>
            <w:shd w:val="clear" w:color="auto" w:fill="auto"/>
            <w:vAlign w:val="center"/>
          </w:tcPr>
          <w:p w14:paraId="4D789DD1">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kern w:val="0"/>
                <w:sz w:val="24"/>
                <w:lang w:bidi="ar"/>
              </w:rPr>
              <w:t>字段要求</w:t>
            </w:r>
          </w:p>
        </w:tc>
        <w:tc>
          <w:tcPr>
            <w:tcW w:w="3789" w:type="pct"/>
            <w:tcBorders>
              <w:top w:val="single" w:color="auto" w:sz="4" w:space="0"/>
              <w:left w:val="single" w:color="auto" w:sz="4" w:space="0"/>
              <w:bottom w:val="single" w:color="auto" w:sz="4" w:space="0"/>
              <w:right w:val="single" w:color="auto" w:sz="4" w:space="0"/>
            </w:tcBorders>
            <w:shd w:val="clear" w:color="auto" w:fill="auto"/>
            <w:vAlign w:val="center"/>
          </w:tcPr>
          <w:p w14:paraId="274B2E66">
            <w:pPr>
              <w:widowControl/>
              <w:spacing w:line="360" w:lineRule="auto"/>
              <w:textAlignment w:val="top"/>
              <w:rPr>
                <w:rFonts w:cs="Arial" w:asciiTheme="minorEastAsia" w:hAnsiTheme="minorEastAsia"/>
                <w:b/>
                <w:bCs/>
                <w:color w:val="auto"/>
                <w:kern w:val="0"/>
                <w:sz w:val="24"/>
              </w:rPr>
            </w:pPr>
            <w:r>
              <w:rPr>
                <w:rFonts w:hint="eastAsia" w:ascii="宋体" w:hAnsi="宋体" w:cs="宋体"/>
                <w:color w:val="auto"/>
                <w:kern w:val="0"/>
                <w:sz w:val="24"/>
                <w:lang w:bidi="ar"/>
              </w:rPr>
              <w:t>要求结构化字段数达到3000+，自然语言结构化召回率不低于95%，准确率不低于95%。</w:t>
            </w:r>
          </w:p>
        </w:tc>
      </w:tr>
    </w:tbl>
    <w:p w14:paraId="4AB0860F">
      <w:pPr>
        <w:adjustRightInd/>
        <w:spacing w:line="360" w:lineRule="auto"/>
        <w:rPr>
          <w:rFonts w:ascii="宋体" w:hAnsi="宋体" w:cs="宋体"/>
          <w:b/>
          <w:color w:val="auto"/>
          <w:sz w:val="24"/>
        </w:rPr>
      </w:pPr>
    </w:p>
    <w:p w14:paraId="7113C231">
      <w:pPr>
        <w:adjustRightInd/>
        <w:spacing w:line="360" w:lineRule="auto"/>
        <w:rPr>
          <w:rFonts w:ascii="宋体" w:hAnsi="宋体" w:cs="宋体"/>
          <w:b/>
          <w:color w:val="auto"/>
          <w:sz w:val="24"/>
        </w:rPr>
      </w:pPr>
    </w:p>
    <w:p w14:paraId="1E0DBC5A">
      <w:pPr>
        <w:adjustRightInd/>
        <w:spacing w:line="360" w:lineRule="auto"/>
        <w:rPr>
          <w:rFonts w:ascii="宋体" w:hAnsi="宋体" w:cs="宋体"/>
          <w:b/>
          <w:color w:val="auto"/>
          <w:sz w:val="24"/>
        </w:rPr>
      </w:pPr>
    </w:p>
    <w:p w14:paraId="0FFF8790">
      <w:pPr>
        <w:adjustRightInd/>
        <w:spacing w:line="360" w:lineRule="auto"/>
        <w:rPr>
          <w:rFonts w:ascii="宋体" w:hAnsi="宋体" w:cs="宋体"/>
          <w:b/>
          <w:color w:val="auto"/>
          <w:sz w:val="24"/>
        </w:rPr>
      </w:pPr>
    </w:p>
    <w:p w14:paraId="590061FF">
      <w:pPr>
        <w:adjustRightInd/>
        <w:spacing w:line="360" w:lineRule="auto"/>
        <w:rPr>
          <w:rFonts w:ascii="宋体" w:hAnsi="宋体" w:cs="宋体"/>
          <w:b/>
          <w:color w:val="auto"/>
          <w:sz w:val="24"/>
        </w:rPr>
      </w:pPr>
    </w:p>
    <w:p w14:paraId="7EBC66CC">
      <w:pPr>
        <w:adjustRightInd/>
        <w:spacing w:line="360" w:lineRule="auto"/>
        <w:rPr>
          <w:rFonts w:ascii="宋体" w:hAnsi="宋体" w:cs="宋体"/>
          <w:b/>
          <w:color w:val="auto"/>
          <w:sz w:val="24"/>
        </w:rPr>
      </w:pPr>
    </w:p>
    <w:p w14:paraId="1CC0A748">
      <w:pPr>
        <w:adjustRightInd/>
        <w:spacing w:line="360" w:lineRule="auto"/>
        <w:rPr>
          <w:rFonts w:ascii="宋体" w:hAnsi="宋体" w:cs="宋体"/>
          <w:b/>
          <w:color w:val="auto"/>
          <w:sz w:val="24"/>
        </w:rPr>
      </w:pPr>
    </w:p>
    <w:p w14:paraId="25DE42B5">
      <w:pPr>
        <w:adjustRightInd/>
        <w:spacing w:line="360" w:lineRule="auto"/>
        <w:rPr>
          <w:rFonts w:ascii="宋体" w:hAnsi="宋体" w:cs="宋体"/>
          <w:b/>
          <w:color w:val="auto"/>
          <w:sz w:val="24"/>
        </w:rPr>
      </w:pPr>
    </w:p>
    <w:p w14:paraId="5AB1F384">
      <w:pPr>
        <w:adjustRightInd/>
        <w:spacing w:line="360" w:lineRule="auto"/>
        <w:rPr>
          <w:rFonts w:ascii="宋体" w:hAnsi="宋体" w:cs="宋体"/>
          <w:b/>
          <w:color w:val="auto"/>
          <w:sz w:val="24"/>
        </w:rPr>
      </w:pPr>
    </w:p>
    <w:p w14:paraId="77D80004">
      <w:pPr>
        <w:adjustRightInd/>
        <w:spacing w:line="360" w:lineRule="auto"/>
        <w:rPr>
          <w:rFonts w:ascii="宋体" w:hAnsi="宋体" w:cs="宋体"/>
          <w:b/>
          <w:color w:val="auto"/>
          <w:sz w:val="24"/>
        </w:rPr>
      </w:pPr>
    </w:p>
    <w:p w14:paraId="34859D54">
      <w:pPr>
        <w:adjustRightInd/>
        <w:spacing w:line="360" w:lineRule="auto"/>
        <w:rPr>
          <w:rFonts w:ascii="宋体" w:hAnsi="宋体" w:cs="宋体"/>
          <w:b/>
          <w:color w:val="auto"/>
          <w:sz w:val="24"/>
        </w:rPr>
      </w:pPr>
    </w:p>
    <w:p w14:paraId="04F16D5F">
      <w:pPr>
        <w:adjustRightInd/>
        <w:spacing w:line="360" w:lineRule="auto"/>
        <w:rPr>
          <w:rFonts w:ascii="宋体" w:hAnsi="宋体" w:cs="宋体"/>
          <w:b/>
          <w:color w:val="auto"/>
          <w:sz w:val="24"/>
        </w:rPr>
      </w:pPr>
    </w:p>
    <w:p w14:paraId="3CFD7E6C">
      <w:pPr>
        <w:adjustRightInd/>
        <w:spacing w:line="360" w:lineRule="auto"/>
        <w:rPr>
          <w:rFonts w:ascii="宋体" w:hAnsi="宋体" w:cs="宋体"/>
          <w:b/>
          <w:color w:val="auto"/>
          <w:sz w:val="24"/>
        </w:rPr>
      </w:pPr>
    </w:p>
    <w:p w14:paraId="63E7D5D1">
      <w:pPr>
        <w:adjustRightInd/>
        <w:spacing w:line="360" w:lineRule="auto"/>
        <w:rPr>
          <w:rFonts w:ascii="宋体" w:hAnsi="宋体" w:cs="宋体"/>
          <w:b/>
          <w:color w:val="auto"/>
          <w:sz w:val="24"/>
        </w:rPr>
      </w:pPr>
    </w:p>
    <w:p w14:paraId="500291EF">
      <w:pPr>
        <w:adjustRightInd/>
        <w:spacing w:line="360" w:lineRule="auto"/>
        <w:rPr>
          <w:rFonts w:ascii="宋体" w:hAnsi="宋体" w:cs="宋体"/>
          <w:b/>
          <w:color w:val="auto"/>
          <w:sz w:val="24"/>
        </w:rPr>
      </w:pPr>
    </w:p>
    <w:p w14:paraId="0DA563F4">
      <w:pPr>
        <w:adjustRightInd/>
        <w:spacing w:line="360" w:lineRule="auto"/>
        <w:rPr>
          <w:rFonts w:ascii="宋体" w:hAnsi="宋体" w:cs="宋体"/>
          <w:b/>
          <w:color w:val="auto"/>
          <w:sz w:val="24"/>
        </w:rPr>
      </w:pPr>
      <w:r>
        <w:rPr>
          <w:rFonts w:hint="eastAsia" w:ascii="宋体" w:hAnsi="宋体" w:cs="宋体"/>
          <w:b/>
          <w:color w:val="auto"/>
          <w:sz w:val="24"/>
        </w:rPr>
        <w:t>（3）3个专病数据库：</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1081"/>
        <w:gridCol w:w="7395"/>
      </w:tblGrid>
      <w:tr w14:paraId="0CDDD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blHeader/>
        </w:trPr>
        <w:tc>
          <w:tcPr>
            <w:tcW w:w="436" w:type="pct"/>
            <w:vAlign w:val="center"/>
          </w:tcPr>
          <w:p w14:paraId="1CF85139">
            <w:pPr>
              <w:pStyle w:val="968"/>
              <w:widowControl w:val="0"/>
              <w:spacing w:line="288" w:lineRule="auto"/>
              <w:ind w:firstLine="0" w:firstLineChars="0"/>
              <w:jc w:val="center"/>
              <w:rPr>
                <w:rFonts w:cs="宋体"/>
                <w:color w:val="auto"/>
                <w:szCs w:val="24"/>
              </w:rPr>
            </w:pPr>
            <w:r>
              <w:rPr>
                <w:rFonts w:hint="eastAsia" w:cs="宋体"/>
                <w:color w:val="auto"/>
                <w:szCs w:val="24"/>
              </w:rPr>
              <w:t>系统名称</w:t>
            </w:r>
          </w:p>
        </w:tc>
        <w:tc>
          <w:tcPr>
            <w:tcW w:w="582" w:type="pct"/>
            <w:vAlign w:val="center"/>
          </w:tcPr>
          <w:p w14:paraId="7D50B96A">
            <w:pPr>
              <w:pStyle w:val="968"/>
              <w:widowControl w:val="0"/>
              <w:spacing w:line="288" w:lineRule="auto"/>
              <w:ind w:firstLine="0" w:firstLineChars="0"/>
              <w:jc w:val="center"/>
              <w:rPr>
                <w:rFonts w:cs="宋体"/>
                <w:color w:val="auto"/>
                <w:szCs w:val="24"/>
              </w:rPr>
            </w:pPr>
            <w:r>
              <w:rPr>
                <w:rFonts w:hint="eastAsia" w:cs="宋体"/>
                <w:color w:val="auto"/>
                <w:szCs w:val="24"/>
              </w:rPr>
              <w:t>功能</w:t>
            </w:r>
          </w:p>
          <w:p w14:paraId="1CE6232D">
            <w:pPr>
              <w:pStyle w:val="968"/>
              <w:widowControl w:val="0"/>
              <w:spacing w:line="288" w:lineRule="auto"/>
              <w:ind w:firstLine="0" w:firstLineChars="0"/>
              <w:jc w:val="center"/>
              <w:rPr>
                <w:rFonts w:cs="宋体"/>
                <w:color w:val="auto"/>
                <w:szCs w:val="24"/>
              </w:rPr>
            </w:pPr>
            <w:r>
              <w:rPr>
                <w:rFonts w:hint="eastAsia" w:cs="宋体"/>
                <w:color w:val="auto"/>
                <w:szCs w:val="24"/>
              </w:rPr>
              <w:t>模块</w:t>
            </w:r>
          </w:p>
        </w:tc>
        <w:tc>
          <w:tcPr>
            <w:tcW w:w="3981" w:type="pct"/>
            <w:vAlign w:val="center"/>
          </w:tcPr>
          <w:p w14:paraId="43E03F01">
            <w:pPr>
              <w:pStyle w:val="968"/>
              <w:widowControl w:val="0"/>
              <w:spacing w:line="288" w:lineRule="auto"/>
              <w:ind w:firstLine="1440" w:firstLineChars="600"/>
              <w:jc w:val="center"/>
              <w:rPr>
                <w:rFonts w:cs="宋体"/>
                <w:color w:val="auto"/>
                <w:szCs w:val="24"/>
              </w:rPr>
            </w:pPr>
            <w:r>
              <w:rPr>
                <w:rFonts w:hint="eastAsia" w:cs="宋体"/>
                <w:color w:val="auto"/>
                <w:szCs w:val="24"/>
              </w:rPr>
              <w:t>技术功能参数要求</w:t>
            </w:r>
          </w:p>
        </w:tc>
      </w:tr>
      <w:tr w14:paraId="5A841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restart"/>
            <w:vAlign w:val="center"/>
          </w:tcPr>
          <w:p w14:paraId="34CFD12E">
            <w:pPr>
              <w:pStyle w:val="968"/>
              <w:widowControl w:val="0"/>
              <w:spacing w:line="288" w:lineRule="auto"/>
              <w:ind w:firstLine="0" w:firstLineChars="0"/>
              <w:jc w:val="center"/>
              <w:rPr>
                <w:rFonts w:cs="宋体"/>
                <w:color w:val="auto"/>
                <w:szCs w:val="24"/>
              </w:rPr>
            </w:pPr>
            <w:r>
              <w:rPr>
                <w:rFonts w:hint="eastAsia" w:cs="宋体"/>
                <w:color w:val="auto"/>
                <w:szCs w:val="24"/>
              </w:rPr>
              <w:t>多模态专病数据集</w:t>
            </w:r>
          </w:p>
        </w:tc>
        <w:tc>
          <w:tcPr>
            <w:tcW w:w="582" w:type="pct"/>
            <w:vAlign w:val="center"/>
          </w:tcPr>
          <w:p w14:paraId="23989BBE">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kern w:val="0"/>
                <w:sz w:val="24"/>
                <w:lang w:bidi="ar"/>
              </w:rPr>
              <w:t>病种数据模型</w:t>
            </w:r>
          </w:p>
        </w:tc>
        <w:tc>
          <w:tcPr>
            <w:tcW w:w="3981" w:type="pct"/>
            <w:vAlign w:val="center"/>
          </w:tcPr>
          <w:p w14:paraId="309B8D2F">
            <w:pPr>
              <w:adjustRightInd/>
              <w:spacing w:line="288" w:lineRule="auto"/>
              <w:rPr>
                <w:rFonts w:ascii="宋体" w:hAnsi="宋体" w:cs="宋体"/>
                <w:color w:val="auto"/>
                <w:sz w:val="24"/>
              </w:rPr>
            </w:pPr>
            <w:r>
              <w:rPr>
                <w:rFonts w:hint="eastAsia" w:ascii="宋体" w:hAnsi="宋体" w:cs="宋体"/>
                <w:color w:val="auto"/>
                <w:sz w:val="24"/>
              </w:rPr>
              <w:t>建设专业级的符合行业标准的多模态专病数据库，需涵盖</w:t>
            </w:r>
            <w:bookmarkStart w:id="37" w:name="OLE_LINK1"/>
            <w:r>
              <w:rPr>
                <w:rFonts w:hint="eastAsia" w:ascii="宋体" w:hAnsi="宋体" w:cs="宋体"/>
                <w:color w:val="auto"/>
                <w:sz w:val="24"/>
              </w:rPr>
              <w:t>肝脏</w:t>
            </w:r>
            <w:bookmarkEnd w:id="37"/>
            <w:r>
              <w:rPr>
                <w:rFonts w:hint="eastAsia" w:ascii="宋体" w:hAnsi="宋体" w:cs="宋体"/>
                <w:color w:val="auto"/>
                <w:sz w:val="24"/>
              </w:rPr>
              <w:t>专病、心血管专病、耳鼻喉专病。在全院数据库基础之外，要求每个专病库结构化字段数达到500+，自然语言结构化召回率不低于95%，准确率不低于95%。</w:t>
            </w:r>
          </w:p>
        </w:tc>
      </w:tr>
      <w:tr w14:paraId="3B44F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continue"/>
            <w:vAlign w:val="center"/>
          </w:tcPr>
          <w:p w14:paraId="177FA293">
            <w:pPr>
              <w:pStyle w:val="968"/>
              <w:widowControl w:val="0"/>
              <w:spacing w:line="288" w:lineRule="auto"/>
              <w:ind w:firstLine="0" w:firstLineChars="0"/>
              <w:jc w:val="center"/>
              <w:rPr>
                <w:rFonts w:cs="宋体"/>
                <w:color w:val="auto"/>
                <w:szCs w:val="24"/>
              </w:rPr>
            </w:pPr>
          </w:p>
        </w:tc>
        <w:tc>
          <w:tcPr>
            <w:tcW w:w="582" w:type="pct"/>
            <w:vAlign w:val="center"/>
          </w:tcPr>
          <w:p w14:paraId="168C94F5">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kern w:val="0"/>
                <w:sz w:val="24"/>
                <w:lang w:bidi="ar"/>
              </w:rPr>
              <w:t>专病数据纳排</w:t>
            </w:r>
          </w:p>
        </w:tc>
        <w:tc>
          <w:tcPr>
            <w:tcW w:w="3981" w:type="pct"/>
            <w:vAlign w:val="center"/>
          </w:tcPr>
          <w:p w14:paraId="2A3B2D48">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rPr>
              <w:t>需支持根据临床要求设计病种的定制化纳排标准，包括诊断、科室及患者ID标准等，纳入符合各类专病的数据范围。应提供较完善的专病库字段模板</w:t>
            </w:r>
            <w:r>
              <w:rPr>
                <w:rFonts w:hint="eastAsia" w:ascii="宋体" w:hAnsi="宋体" w:cs="宋体"/>
                <w:color w:val="auto"/>
                <w:kern w:val="0"/>
                <w:sz w:val="24"/>
                <w:lang w:bidi="ar"/>
              </w:rPr>
              <w:t>。</w:t>
            </w:r>
          </w:p>
        </w:tc>
      </w:tr>
      <w:tr w14:paraId="387E2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continue"/>
            <w:vAlign w:val="center"/>
          </w:tcPr>
          <w:p w14:paraId="5FFB3C32">
            <w:pPr>
              <w:pStyle w:val="968"/>
              <w:widowControl w:val="0"/>
              <w:spacing w:line="288" w:lineRule="auto"/>
              <w:ind w:firstLine="0" w:firstLineChars="0"/>
              <w:jc w:val="center"/>
              <w:rPr>
                <w:rFonts w:cs="宋体"/>
                <w:color w:val="auto"/>
                <w:szCs w:val="24"/>
              </w:rPr>
            </w:pPr>
          </w:p>
        </w:tc>
        <w:tc>
          <w:tcPr>
            <w:tcW w:w="582" w:type="pct"/>
            <w:vAlign w:val="center"/>
          </w:tcPr>
          <w:p w14:paraId="444138C2">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kern w:val="0"/>
                <w:sz w:val="24"/>
                <w:lang w:bidi="ar"/>
              </w:rPr>
              <w:t>专病文本数据结构化</w:t>
            </w:r>
          </w:p>
        </w:tc>
        <w:tc>
          <w:tcPr>
            <w:tcW w:w="3981" w:type="pct"/>
            <w:vAlign w:val="center"/>
          </w:tcPr>
          <w:p w14:paraId="152B4837">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rPr>
              <w:t>需</w:t>
            </w:r>
            <w:r>
              <w:rPr>
                <w:rFonts w:hint="eastAsia" w:ascii="宋体" w:hAnsi="宋体" w:cs="宋体"/>
                <w:color w:val="auto"/>
                <w:kern w:val="0"/>
                <w:sz w:val="24"/>
                <w:lang w:bidi="ar"/>
              </w:rPr>
              <w:t>支持参考各类疾病指南、文献，并结合临床专家经验设计专病结构化数据模型，满足临床科研的数据应用。</w:t>
            </w:r>
          </w:p>
        </w:tc>
      </w:tr>
      <w:tr w14:paraId="71694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continue"/>
            <w:vAlign w:val="center"/>
          </w:tcPr>
          <w:p w14:paraId="59F97FC9">
            <w:pPr>
              <w:pStyle w:val="968"/>
              <w:widowControl w:val="0"/>
              <w:spacing w:line="288" w:lineRule="auto"/>
              <w:ind w:firstLine="0" w:firstLineChars="0"/>
              <w:jc w:val="center"/>
              <w:rPr>
                <w:rFonts w:cs="宋体"/>
                <w:color w:val="auto"/>
                <w:szCs w:val="24"/>
              </w:rPr>
            </w:pPr>
          </w:p>
        </w:tc>
        <w:tc>
          <w:tcPr>
            <w:tcW w:w="582" w:type="pct"/>
            <w:vMerge w:val="restart"/>
            <w:vAlign w:val="center"/>
          </w:tcPr>
          <w:p w14:paraId="53A823BA">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kern w:val="0"/>
                <w:sz w:val="24"/>
                <w:lang w:bidi="ar"/>
              </w:rPr>
              <w:t>多模态专病影像文件集成与治理</w:t>
            </w:r>
          </w:p>
        </w:tc>
        <w:tc>
          <w:tcPr>
            <w:tcW w:w="3981" w:type="pct"/>
            <w:vAlign w:val="center"/>
          </w:tcPr>
          <w:p w14:paraId="746F6B03">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1）根据多模态专病科研要求，需支持接入包括CT、X光、MR、超声、核医学等符合DICOM协议的多种影像模态数据。</w:t>
            </w:r>
          </w:p>
        </w:tc>
      </w:tr>
      <w:tr w14:paraId="27913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continue"/>
            <w:vAlign w:val="center"/>
          </w:tcPr>
          <w:p w14:paraId="6EDA8C56">
            <w:pPr>
              <w:pStyle w:val="968"/>
              <w:widowControl w:val="0"/>
              <w:spacing w:line="288" w:lineRule="auto"/>
              <w:ind w:firstLine="0" w:firstLineChars="0"/>
              <w:jc w:val="center"/>
              <w:rPr>
                <w:rFonts w:cs="宋体"/>
                <w:color w:val="auto"/>
                <w:szCs w:val="24"/>
              </w:rPr>
            </w:pPr>
          </w:p>
        </w:tc>
        <w:tc>
          <w:tcPr>
            <w:tcW w:w="582" w:type="pct"/>
            <w:vMerge w:val="continue"/>
            <w:vAlign w:val="center"/>
          </w:tcPr>
          <w:p w14:paraId="5146A6DE">
            <w:pPr>
              <w:widowControl/>
              <w:adjustRightInd/>
              <w:spacing w:line="288" w:lineRule="auto"/>
              <w:jc w:val="center"/>
              <w:textAlignment w:val="top"/>
              <w:rPr>
                <w:rFonts w:ascii="宋体" w:hAnsi="宋体" w:cs="宋体"/>
                <w:color w:val="auto"/>
                <w:kern w:val="0"/>
                <w:sz w:val="24"/>
                <w:lang w:bidi="ar"/>
              </w:rPr>
            </w:pPr>
          </w:p>
        </w:tc>
        <w:tc>
          <w:tcPr>
            <w:tcW w:w="3981" w:type="pct"/>
            <w:vAlign w:val="center"/>
          </w:tcPr>
          <w:p w14:paraId="1E7C7495">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▲2）需支持批量获取导入离线影像数据；支持与医院现有影像集成平台或PACS系统进行链接跳转；支持对接影像集成平台或PACS系统获取数据。</w:t>
            </w:r>
            <w:r>
              <w:rPr>
                <w:rFonts w:hint="eastAsia" w:ascii="宋体" w:hAnsi="宋体" w:cs="宋体"/>
                <w:color w:val="auto"/>
                <w:kern w:val="0"/>
                <w:sz w:val="24"/>
                <w:lang w:bidi="ar"/>
              </w:rPr>
              <w:br w:type="textWrapping"/>
            </w:r>
            <w:r>
              <w:rPr>
                <w:rFonts w:hint="eastAsia" w:ascii="宋体" w:hAnsi="宋体" w:cs="宋体"/>
                <w:b/>
                <w:bCs/>
                <w:color w:val="auto"/>
                <w:kern w:val="0"/>
                <w:sz w:val="24"/>
                <w:lang w:bidi="ar"/>
              </w:rPr>
              <w:t>注：投标人须在投标文件中提供相关证明截图材料作为佐证，未提供或无法证明的本项即为负偏离。</w:t>
            </w:r>
          </w:p>
        </w:tc>
      </w:tr>
      <w:tr w14:paraId="7B526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continue"/>
            <w:vAlign w:val="center"/>
          </w:tcPr>
          <w:p w14:paraId="0995B037">
            <w:pPr>
              <w:pStyle w:val="968"/>
              <w:widowControl w:val="0"/>
              <w:spacing w:line="288" w:lineRule="auto"/>
              <w:ind w:firstLine="0" w:firstLineChars="0"/>
              <w:jc w:val="center"/>
              <w:rPr>
                <w:rFonts w:cs="宋体"/>
                <w:color w:val="auto"/>
                <w:szCs w:val="24"/>
              </w:rPr>
            </w:pPr>
          </w:p>
        </w:tc>
        <w:tc>
          <w:tcPr>
            <w:tcW w:w="582" w:type="pct"/>
            <w:vMerge w:val="continue"/>
            <w:vAlign w:val="center"/>
          </w:tcPr>
          <w:p w14:paraId="4E95D7F1">
            <w:pPr>
              <w:widowControl/>
              <w:adjustRightInd/>
              <w:spacing w:line="288" w:lineRule="auto"/>
              <w:jc w:val="center"/>
              <w:textAlignment w:val="top"/>
              <w:rPr>
                <w:rFonts w:ascii="宋体" w:hAnsi="宋体" w:cs="宋体"/>
                <w:color w:val="auto"/>
                <w:kern w:val="0"/>
                <w:sz w:val="24"/>
                <w:lang w:bidi="ar"/>
              </w:rPr>
            </w:pPr>
          </w:p>
        </w:tc>
        <w:tc>
          <w:tcPr>
            <w:tcW w:w="3981" w:type="pct"/>
            <w:vAlign w:val="center"/>
          </w:tcPr>
          <w:p w14:paraId="658A0799">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3）需支持影像文件治理，基于采集的影像文件，通过去重、审核、文本关联等数据处理方式进行影像DICOM文件治理。</w:t>
            </w:r>
          </w:p>
        </w:tc>
      </w:tr>
      <w:tr w14:paraId="5C693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6" w:type="pct"/>
            <w:vMerge w:val="continue"/>
            <w:vAlign w:val="center"/>
          </w:tcPr>
          <w:p w14:paraId="23D14123">
            <w:pPr>
              <w:pStyle w:val="968"/>
              <w:widowControl w:val="0"/>
              <w:spacing w:line="288" w:lineRule="auto"/>
              <w:ind w:firstLine="0" w:firstLineChars="0"/>
              <w:jc w:val="center"/>
              <w:rPr>
                <w:rFonts w:cs="宋体"/>
                <w:color w:val="auto"/>
                <w:szCs w:val="24"/>
              </w:rPr>
            </w:pPr>
          </w:p>
        </w:tc>
        <w:tc>
          <w:tcPr>
            <w:tcW w:w="582" w:type="pct"/>
            <w:vMerge w:val="continue"/>
            <w:vAlign w:val="center"/>
          </w:tcPr>
          <w:p w14:paraId="2DBC9A6E">
            <w:pPr>
              <w:widowControl/>
              <w:adjustRightInd/>
              <w:spacing w:line="288" w:lineRule="auto"/>
              <w:jc w:val="center"/>
              <w:textAlignment w:val="top"/>
              <w:rPr>
                <w:rFonts w:ascii="宋体" w:hAnsi="宋体" w:cs="宋体"/>
                <w:color w:val="auto"/>
                <w:kern w:val="0"/>
                <w:sz w:val="24"/>
                <w:lang w:bidi="ar"/>
              </w:rPr>
            </w:pPr>
          </w:p>
        </w:tc>
        <w:tc>
          <w:tcPr>
            <w:tcW w:w="3981" w:type="pct"/>
            <w:vAlign w:val="center"/>
          </w:tcPr>
          <w:p w14:paraId="377D4913">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4）需支持影像 DICOM的设备信息、扫描信息、检查信息等数据名称标准化和值域标准化；支持对影像DICOM文件的标准TAG信息进行提取和结构化处理。</w:t>
            </w:r>
          </w:p>
        </w:tc>
      </w:tr>
      <w:tr w14:paraId="66326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continue"/>
            <w:vAlign w:val="center"/>
          </w:tcPr>
          <w:p w14:paraId="4AD44DF9">
            <w:pPr>
              <w:pStyle w:val="968"/>
              <w:widowControl w:val="0"/>
              <w:spacing w:line="288" w:lineRule="auto"/>
              <w:ind w:firstLine="0" w:firstLineChars="0"/>
              <w:jc w:val="center"/>
              <w:rPr>
                <w:rFonts w:cs="宋体"/>
                <w:color w:val="auto"/>
                <w:szCs w:val="24"/>
              </w:rPr>
            </w:pPr>
          </w:p>
        </w:tc>
        <w:tc>
          <w:tcPr>
            <w:tcW w:w="582" w:type="pct"/>
            <w:vMerge w:val="continue"/>
            <w:vAlign w:val="center"/>
          </w:tcPr>
          <w:p w14:paraId="4DC01E0D">
            <w:pPr>
              <w:widowControl/>
              <w:adjustRightInd/>
              <w:spacing w:line="288" w:lineRule="auto"/>
              <w:jc w:val="center"/>
              <w:textAlignment w:val="top"/>
              <w:rPr>
                <w:rFonts w:ascii="宋体" w:hAnsi="宋体" w:cs="宋体"/>
                <w:color w:val="auto"/>
                <w:kern w:val="0"/>
                <w:sz w:val="24"/>
                <w:lang w:bidi="ar"/>
              </w:rPr>
            </w:pPr>
          </w:p>
        </w:tc>
        <w:tc>
          <w:tcPr>
            <w:tcW w:w="3981" w:type="pct"/>
            <w:vAlign w:val="center"/>
          </w:tcPr>
          <w:p w14:paraId="5E4DB555">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▲5）需支持将影像AI结构化处理引擎提取的高维结构化信息与临床文本数据进行关联、整合，以支持影像及文本的统一应用。</w:t>
            </w:r>
            <w:r>
              <w:rPr>
                <w:rFonts w:hint="eastAsia" w:ascii="宋体" w:hAnsi="宋体" w:cs="宋体"/>
                <w:color w:val="auto"/>
                <w:kern w:val="0"/>
                <w:sz w:val="24"/>
                <w:lang w:bidi="ar"/>
              </w:rPr>
              <w:br w:type="textWrapping"/>
            </w:r>
            <w:r>
              <w:rPr>
                <w:rFonts w:hint="eastAsia" w:ascii="宋体" w:hAnsi="宋体" w:cs="宋体"/>
                <w:b/>
                <w:bCs/>
                <w:color w:val="auto"/>
                <w:kern w:val="0"/>
                <w:sz w:val="24"/>
                <w:lang w:bidi="ar"/>
              </w:rPr>
              <w:t>注：投标人须在投标文件中提供相关证明截图材料作为佐证，未提供或无法证明的本项即为负偏离。</w:t>
            </w:r>
          </w:p>
        </w:tc>
      </w:tr>
      <w:tr w14:paraId="1F13A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continue"/>
            <w:vAlign w:val="center"/>
          </w:tcPr>
          <w:p w14:paraId="37475DE4">
            <w:pPr>
              <w:pStyle w:val="968"/>
              <w:widowControl w:val="0"/>
              <w:spacing w:line="288" w:lineRule="auto"/>
              <w:ind w:firstLine="0" w:firstLineChars="0"/>
              <w:jc w:val="center"/>
              <w:rPr>
                <w:rFonts w:cs="宋体"/>
                <w:color w:val="auto"/>
                <w:szCs w:val="24"/>
              </w:rPr>
            </w:pPr>
          </w:p>
        </w:tc>
        <w:tc>
          <w:tcPr>
            <w:tcW w:w="582" w:type="pct"/>
            <w:shd w:val="clear" w:color="auto" w:fill="auto"/>
          </w:tcPr>
          <w:p w14:paraId="47E9CFEA">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kern w:val="0"/>
                <w:sz w:val="24"/>
                <w:lang w:bidi="ar"/>
              </w:rPr>
              <w:t>专病数据库设置完善</w:t>
            </w:r>
          </w:p>
        </w:tc>
        <w:tc>
          <w:tcPr>
            <w:tcW w:w="3981" w:type="pct"/>
            <w:shd w:val="clear" w:color="auto" w:fill="auto"/>
            <w:vAlign w:val="center"/>
          </w:tcPr>
          <w:p w14:paraId="6FDA26E9">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需配合相关专科根据专病研究的需要对专病数据库设置进行完善。</w:t>
            </w:r>
          </w:p>
        </w:tc>
      </w:tr>
      <w:tr w14:paraId="46599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436" w:type="pct"/>
            <w:vMerge w:val="restart"/>
            <w:vAlign w:val="center"/>
          </w:tcPr>
          <w:p w14:paraId="514E3E19">
            <w:pPr>
              <w:pStyle w:val="968"/>
              <w:widowControl w:val="0"/>
              <w:spacing w:line="288" w:lineRule="auto"/>
              <w:ind w:firstLine="0" w:firstLineChars="0"/>
              <w:jc w:val="center"/>
              <w:rPr>
                <w:rFonts w:cs="宋体"/>
                <w:color w:val="auto"/>
                <w:szCs w:val="24"/>
              </w:rPr>
            </w:pPr>
            <w:r>
              <w:rPr>
                <w:rFonts w:hint="eastAsia" w:cs="宋体"/>
                <w:color w:val="auto"/>
                <w:szCs w:val="24"/>
              </w:rPr>
              <w:t>影像AI引擎构建</w:t>
            </w:r>
          </w:p>
        </w:tc>
        <w:tc>
          <w:tcPr>
            <w:tcW w:w="582" w:type="pct"/>
            <w:vMerge w:val="restart"/>
            <w:vAlign w:val="center"/>
          </w:tcPr>
          <w:p w14:paraId="41B1213E">
            <w:pPr>
              <w:widowControl/>
              <w:adjustRightInd/>
              <w:spacing w:line="288" w:lineRule="auto"/>
              <w:jc w:val="center"/>
              <w:textAlignment w:val="top"/>
              <w:rPr>
                <w:rFonts w:ascii="宋体" w:hAnsi="宋体" w:cs="宋体"/>
                <w:color w:val="auto"/>
                <w:sz w:val="24"/>
              </w:rPr>
            </w:pPr>
            <w:r>
              <w:rPr>
                <w:rFonts w:hint="eastAsia" w:ascii="宋体" w:hAnsi="宋体" w:cs="宋体"/>
                <w:color w:val="auto"/>
                <w:sz w:val="24"/>
              </w:rPr>
              <w:t>肝脏专病影像数据结构化</w:t>
            </w:r>
          </w:p>
          <w:p w14:paraId="43553166">
            <w:pPr>
              <w:widowControl/>
              <w:adjustRightInd/>
              <w:spacing w:line="288" w:lineRule="auto"/>
              <w:jc w:val="center"/>
              <w:textAlignment w:val="top"/>
              <w:rPr>
                <w:rFonts w:ascii="宋体" w:hAnsi="宋体" w:cs="宋体"/>
                <w:color w:val="auto"/>
                <w:sz w:val="24"/>
              </w:rPr>
            </w:pPr>
            <w:r>
              <w:rPr>
                <w:rFonts w:hint="eastAsia" w:ascii="宋体" w:hAnsi="宋体" w:cs="宋体"/>
                <w:color w:val="auto"/>
                <w:sz w:val="24"/>
              </w:rPr>
              <w:t>（包括但不限于）</w:t>
            </w:r>
          </w:p>
          <w:p w14:paraId="3654E2C8">
            <w:pPr>
              <w:adjustRightInd/>
              <w:spacing w:line="288" w:lineRule="auto"/>
              <w:jc w:val="center"/>
              <w:rPr>
                <w:rFonts w:ascii="宋体" w:hAnsi="宋体" w:cs="宋体"/>
                <w:color w:val="auto"/>
                <w:kern w:val="0"/>
                <w:sz w:val="24"/>
                <w:lang w:bidi="ar"/>
              </w:rPr>
            </w:pPr>
          </w:p>
        </w:tc>
        <w:tc>
          <w:tcPr>
            <w:tcW w:w="3981" w:type="pct"/>
            <w:vAlign w:val="center"/>
          </w:tcPr>
          <w:p w14:paraId="718CEC7E">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1）</w:t>
            </w:r>
            <w:r>
              <w:rPr>
                <w:rFonts w:hint="eastAsia" w:ascii="宋体" w:hAnsi="宋体" w:cs="宋体"/>
                <w:color w:val="auto"/>
                <w:kern w:val="0"/>
                <w:sz w:val="24"/>
              </w:rPr>
              <w:t>需</w:t>
            </w:r>
            <w:r>
              <w:rPr>
                <w:rFonts w:hint="eastAsia" w:ascii="宋体" w:hAnsi="宋体" w:cs="宋体"/>
                <w:color w:val="auto"/>
                <w:kern w:val="0"/>
                <w:sz w:val="24"/>
                <w:lang w:bidi="ar"/>
              </w:rPr>
              <w:t>支持应用影像AI引擎，实现对肝脏CT影像的智能分析。</w:t>
            </w:r>
          </w:p>
        </w:tc>
      </w:tr>
      <w:tr w14:paraId="7E708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436" w:type="pct"/>
            <w:vMerge w:val="continue"/>
          </w:tcPr>
          <w:p w14:paraId="75D4FFBC">
            <w:pPr>
              <w:pStyle w:val="968"/>
              <w:widowControl w:val="0"/>
              <w:spacing w:line="288" w:lineRule="auto"/>
              <w:ind w:firstLine="0" w:firstLineChars="0"/>
              <w:jc w:val="center"/>
              <w:rPr>
                <w:rFonts w:cs="宋体"/>
                <w:color w:val="auto"/>
                <w:szCs w:val="24"/>
              </w:rPr>
            </w:pPr>
          </w:p>
        </w:tc>
        <w:tc>
          <w:tcPr>
            <w:tcW w:w="582" w:type="pct"/>
            <w:vMerge w:val="continue"/>
          </w:tcPr>
          <w:p w14:paraId="0763D1D3">
            <w:pPr>
              <w:adjustRightInd/>
              <w:spacing w:line="288" w:lineRule="auto"/>
              <w:jc w:val="center"/>
              <w:rPr>
                <w:rFonts w:ascii="宋体" w:hAnsi="宋体" w:cs="宋体"/>
                <w:color w:val="auto"/>
                <w:kern w:val="0"/>
                <w:sz w:val="24"/>
                <w:lang w:bidi="ar"/>
              </w:rPr>
            </w:pPr>
          </w:p>
        </w:tc>
        <w:tc>
          <w:tcPr>
            <w:tcW w:w="3981" w:type="pct"/>
            <w:vAlign w:val="center"/>
          </w:tcPr>
          <w:p w14:paraId="1B754F51">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2）</w:t>
            </w:r>
            <w:r>
              <w:rPr>
                <w:rFonts w:hint="eastAsia" w:ascii="宋体" w:hAnsi="宋体" w:cs="宋体"/>
                <w:color w:val="auto"/>
                <w:kern w:val="0"/>
                <w:sz w:val="24"/>
              </w:rPr>
              <w:t>需</w:t>
            </w:r>
            <w:r>
              <w:rPr>
                <w:rFonts w:hint="eastAsia" w:ascii="宋体" w:hAnsi="宋体" w:cs="宋体"/>
                <w:color w:val="auto"/>
                <w:kern w:val="0"/>
                <w:sz w:val="24"/>
                <w:lang w:bidi="ar"/>
              </w:rPr>
              <w:t>支持自动提供肝脏总体积、左右肝体积比、各肝段体积和CT值信息及所占比情况，自动分析去除肝内管道及病灶后体积变化情况。</w:t>
            </w:r>
          </w:p>
        </w:tc>
      </w:tr>
      <w:tr w14:paraId="31408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436" w:type="pct"/>
            <w:vMerge w:val="continue"/>
          </w:tcPr>
          <w:p w14:paraId="3E86D32B">
            <w:pPr>
              <w:pStyle w:val="968"/>
              <w:widowControl w:val="0"/>
              <w:spacing w:line="288" w:lineRule="auto"/>
              <w:ind w:firstLine="0" w:firstLineChars="0"/>
              <w:jc w:val="center"/>
              <w:rPr>
                <w:rFonts w:cs="宋体"/>
                <w:color w:val="auto"/>
                <w:szCs w:val="24"/>
              </w:rPr>
            </w:pPr>
          </w:p>
        </w:tc>
        <w:tc>
          <w:tcPr>
            <w:tcW w:w="582" w:type="pct"/>
            <w:vMerge w:val="continue"/>
          </w:tcPr>
          <w:p w14:paraId="555FEB1E">
            <w:pPr>
              <w:adjustRightInd/>
              <w:spacing w:line="288" w:lineRule="auto"/>
              <w:jc w:val="center"/>
              <w:rPr>
                <w:rFonts w:ascii="宋体" w:hAnsi="宋体" w:cs="宋体"/>
                <w:color w:val="auto"/>
                <w:kern w:val="0"/>
                <w:sz w:val="24"/>
                <w:lang w:bidi="ar"/>
              </w:rPr>
            </w:pPr>
          </w:p>
        </w:tc>
        <w:tc>
          <w:tcPr>
            <w:tcW w:w="3981" w:type="pct"/>
            <w:vAlign w:val="center"/>
          </w:tcPr>
          <w:p w14:paraId="5BCBB736">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3）</w:t>
            </w:r>
            <w:r>
              <w:rPr>
                <w:rFonts w:hint="eastAsia" w:ascii="宋体" w:hAnsi="宋体" w:cs="宋体"/>
                <w:color w:val="auto"/>
                <w:kern w:val="0"/>
                <w:sz w:val="24"/>
              </w:rPr>
              <w:t>需</w:t>
            </w:r>
            <w:r>
              <w:rPr>
                <w:rFonts w:hint="eastAsia" w:ascii="宋体" w:hAnsi="宋体" w:cs="宋体"/>
                <w:color w:val="auto"/>
                <w:kern w:val="0"/>
                <w:sz w:val="24"/>
                <w:lang w:bidi="ar"/>
              </w:rPr>
              <w:t>支持自动检出肝脏占位性病灶，定位病灶所在的肝叶肝段，自动提供病灶大小、体积、各期相的平均CT值等信息，并将病灶分为三类（囊性、囊实性、实性）。自动提供病灶形态信息（类圆形、楔形、不规则型）以及病灶征象信息（坏死、出血、钙化、假包膜）。</w:t>
            </w:r>
          </w:p>
        </w:tc>
      </w:tr>
      <w:tr w14:paraId="588E0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436" w:type="pct"/>
            <w:vMerge w:val="continue"/>
          </w:tcPr>
          <w:p w14:paraId="12847409">
            <w:pPr>
              <w:pStyle w:val="968"/>
              <w:widowControl w:val="0"/>
              <w:spacing w:line="288" w:lineRule="auto"/>
              <w:ind w:firstLine="0" w:firstLineChars="0"/>
              <w:jc w:val="center"/>
              <w:rPr>
                <w:rFonts w:cs="宋体"/>
                <w:color w:val="auto"/>
                <w:szCs w:val="24"/>
              </w:rPr>
            </w:pPr>
          </w:p>
        </w:tc>
        <w:tc>
          <w:tcPr>
            <w:tcW w:w="582" w:type="pct"/>
            <w:vMerge w:val="continue"/>
          </w:tcPr>
          <w:p w14:paraId="7E6448DE">
            <w:pPr>
              <w:adjustRightInd/>
              <w:spacing w:line="288" w:lineRule="auto"/>
              <w:jc w:val="center"/>
              <w:rPr>
                <w:rFonts w:ascii="宋体" w:hAnsi="宋体" w:cs="宋体"/>
                <w:color w:val="auto"/>
                <w:kern w:val="0"/>
                <w:sz w:val="24"/>
                <w:lang w:bidi="ar"/>
              </w:rPr>
            </w:pPr>
          </w:p>
        </w:tc>
        <w:tc>
          <w:tcPr>
            <w:tcW w:w="3981" w:type="pct"/>
            <w:vAlign w:val="center"/>
          </w:tcPr>
          <w:p w14:paraId="684C776A">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▲4）</w:t>
            </w:r>
            <w:r>
              <w:rPr>
                <w:rFonts w:hint="eastAsia" w:ascii="宋体" w:hAnsi="宋体" w:cs="宋体"/>
                <w:color w:val="auto"/>
                <w:kern w:val="0"/>
                <w:sz w:val="24"/>
              </w:rPr>
              <w:t>需</w:t>
            </w:r>
            <w:r>
              <w:rPr>
                <w:rFonts w:hint="eastAsia" w:ascii="宋体" w:hAnsi="宋体" w:cs="宋体"/>
                <w:color w:val="auto"/>
                <w:kern w:val="0"/>
                <w:sz w:val="24"/>
                <w:lang w:bidi="ar"/>
              </w:rPr>
              <w:t>支持对肝囊肿、肝脓肿、局灶性结节样增生、肝血管瘤、肝细胞癌、胆管细胞癌、肝转移瘤等疾病的辅助鉴别，提供恶性风险值前2的病灶鉴别结果与对应置信度。自动生成各期相病灶密度分布图，并提供影像组学特征信息，包括：CT最大值、最小值、平均值、CT值方差、CT值峰度、CT值偏度、最大层位置及面积、表面积、3D长径、紧凑度、球形度、熵、能量等。</w:t>
            </w:r>
            <w:r>
              <w:rPr>
                <w:rFonts w:hint="eastAsia" w:ascii="宋体" w:hAnsi="宋体" w:cs="宋体"/>
                <w:color w:val="auto"/>
                <w:kern w:val="0"/>
                <w:sz w:val="24"/>
                <w:lang w:bidi="ar"/>
              </w:rPr>
              <w:br w:type="textWrapping"/>
            </w:r>
            <w:r>
              <w:rPr>
                <w:rFonts w:hint="eastAsia" w:ascii="宋体" w:hAnsi="宋体" w:cs="宋体"/>
                <w:b/>
                <w:bCs/>
                <w:color w:val="auto"/>
                <w:kern w:val="0"/>
                <w:sz w:val="24"/>
                <w:lang w:bidi="ar"/>
              </w:rPr>
              <w:t>注：投标人须在投标文件中提供相关证明截图材料作为佐证，未提供或无法证明的本项即为负偏离。</w:t>
            </w:r>
          </w:p>
        </w:tc>
      </w:tr>
      <w:tr w14:paraId="428BA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436" w:type="pct"/>
            <w:vMerge w:val="continue"/>
          </w:tcPr>
          <w:p w14:paraId="5BA1489F">
            <w:pPr>
              <w:pStyle w:val="968"/>
              <w:widowControl w:val="0"/>
              <w:spacing w:line="288" w:lineRule="auto"/>
              <w:ind w:firstLine="0" w:firstLineChars="0"/>
              <w:jc w:val="center"/>
              <w:rPr>
                <w:rFonts w:cs="宋体"/>
                <w:color w:val="auto"/>
                <w:szCs w:val="24"/>
              </w:rPr>
            </w:pPr>
          </w:p>
        </w:tc>
        <w:tc>
          <w:tcPr>
            <w:tcW w:w="582" w:type="pct"/>
            <w:vMerge w:val="continue"/>
          </w:tcPr>
          <w:p w14:paraId="556BD872">
            <w:pPr>
              <w:adjustRightInd/>
              <w:spacing w:line="288" w:lineRule="auto"/>
              <w:jc w:val="center"/>
              <w:rPr>
                <w:rFonts w:ascii="宋体" w:hAnsi="宋体" w:cs="宋体"/>
                <w:color w:val="auto"/>
                <w:kern w:val="0"/>
                <w:sz w:val="24"/>
                <w:lang w:bidi="ar"/>
              </w:rPr>
            </w:pPr>
          </w:p>
        </w:tc>
        <w:tc>
          <w:tcPr>
            <w:tcW w:w="3981" w:type="pct"/>
            <w:vAlign w:val="center"/>
          </w:tcPr>
          <w:p w14:paraId="255B81B4">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5）</w:t>
            </w:r>
            <w:r>
              <w:rPr>
                <w:rFonts w:hint="eastAsia" w:ascii="宋体" w:hAnsi="宋体" w:cs="宋体"/>
                <w:color w:val="auto"/>
                <w:kern w:val="0"/>
                <w:sz w:val="24"/>
              </w:rPr>
              <w:t>需支持自动分析脂肪肝含量，提供肝脾衰减比，自动进行肝硬化风险评估，提供尾状叶-右叶比值、肝体积、肝平均密度、脾脏大小、门脉直径参数</w:t>
            </w:r>
            <w:r>
              <w:rPr>
                <w:rFonts w:hint="eastAsia" w:ascii="宋体" w:hAnsi="宋体" w:cs="宋体"/>
                <w:color w:val="auto"/>
                <w:kern w:val="0"/>
                <w:sz w:val="24"/>
                <w:lang w:bidi="ar"/>
              </w:rPr>
              <w:t>。</w:t>
            </w:r>
          </w:p>
        </w:tc>
      </w:tr>
      <w:tr w14:paraId="16FE8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436" w:type="pct"/>
            <w:vMerge w:val="continue"/>
          </w:tcPr>
          <w:p w14:paraId="036A9F51">
            <w:pPr>
              <w:pStyle w:val="968"/>
              <w:widowControl w:val="0"/>
              <w:spacing w:line="288" w:lineRule="auto"/>
              <w:ind w:firstLine="0" w:firstLineChars="0"/>
              <w:jc w:val="center"/>
              <w:rPr>
                <w:rFonts w:cs="宋体"/>
                <w:color w:val="auto"/>
                <w:szCs w:val="24"/>
              </w:rPr>
            </w:pPr>
          </w:p>
        </w:tc>
        <w:tc>
          <w:tcPr>
            <w:tcW w:w="582" w:type="pct"/>
            <w:vMerge w:val="restart"/>
            <w:vAlign w:val="center"/>
          </w:tcPr>
          <w:p w14:paraId="2C6E9F73">
            <w:pPr>
              <w:pStyle w:val="968"/>
              <w:widowControl w:val="0"/>
              <w:spacing w:line="288" w:lineRule="auto"/>
              <w:ind w:firstLine="0" w:firstLineChars="0"/>
              <w:jc w:val="center"/>
              <w:rPr>
                <w:rFonts w:cs="宋体"/>
                <w:color w:val="auto"/>
                <w:szCs w:val="24"/>
              </w:rPr>
            </w:pPr>
            <w:r>
              <w:rPr>
                <w:rFonts w:hint="eastAsia" w:cs="宋体"/>
                <w:color w:val="auto"/>
                <w:szCs w:val="24"/>
              </w:rPr>
              <w:t>心脏专病影像数据结构化（包括但不限于）</w:t>
            </w:r>
          </w:p>
        </w:tc>
        <w:tc>
          <w:tcPr>
            <w:tcW w:w="3981" w:type="pct"/>
            <w:vAlign w:val="center"/>
          </w:tcPr>
          <w:p w14:paraId="2AE7BB05">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1）</w:t>
            </w:r>
            <w:r>
              <w:rPr>
                <w:rFonts w:hint="eastAsia" w:ascii="宋体" w:hAnsi="宋体" w:cs="宋体"/>
                <w:color w:val="auto"/>
                <w:kern w:val="0"/>
                <w:sz w:val="24"/>
              </w:rPr>
              <w:t>需</w:t>
            </w:r>
            <w:r>
              <w:rPr>
                <w:rFonts w:hint="eastAsia" w:ascii="宋体" w:hAnsi="宋体" w:cs="宋体"/>
                <w:color w:val="auto"/>
                <w:kern w:val="0"/>
                <w:sz w:val="24"/>
                <w:lang w:bidi="ar"/>
              </w:rPr>
              <w:t>支持应用影像AI引擎，实现对心脏CTA影像的智能分析。</w:t>
            </w:r>
          </w:p>
        </w:tc>
      </w:tr>
      <w:tr w14:paraId="7CAE4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436" w:type="pct"/>
            <w:vMerge w:val="continue"/>
          </w:tcPr>
          <w:p w14:paraId="3E06E41E">
            <w:pPr>
              <w:pStyle w:val="968"/>
              <w:widowControl w:val="0"/>
              <w:spacing w:line="288" w:lineRule="auto"/>
              <w:ind w:firstLine="0" w:firstLineChars="0"/>
              <w:jc w:val="center"/>
              <w:rPr>
                <w:rFonts w:cs="宋体"/>
                <w:color w:val="auto"/>
                <w:szCs w:val="24"/>
              </w:rPr>
            </w:pPr>
          </w:p>
        </w:tc>
        <w:tc>
          <w:tcPr>
            <w:tcW w:w="582" w:type="pct"/>
            <w:vMerge w:val="continue"/>
          </w:tcPr>
          <w:p w14:paraId="296A2698">
            <w:pPr>
              <w:adjustRightInd/>
              <w:spacing w:line="288" w:lineRule="auto"/>
              <w:jc w:val="center"/>
              <w:rPr>
                <w:rFonts w:ascii="宋体" w:hAnsi="宋体" w:cs="宋体"/>
                <w:color w:val="auto"/>
                <w:kern w:val="0"/>
                <w:sz w:val="24"/>
                <w:lang w:bidi="ar"/>
              </w:rPr>
            </w:pPr>
          </w:p>
        </w:tc>
        <w:tc>
          <w:tcPr>
            <w:tcW w:w="3981" w:type="pct"/>
            <w:vAlign w:val="center"/>
          </w:tcPr>
          <w:p w14:paraId="68576AEF">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▲2）</w:t>
            </w:r>
            <w:r>
              <w:rPr>
                <w:rFonts w:hint="eastAsia" w:ascii="宋体" w:hAnsi="宋体" w:cs="宋体"/>
                <w:color w:val="auto"/>
                <w:kern w:val="0"/>
                <w:sz w:val="24"/>
              </w:rPr>
              <w:t>需</w:t>
            </w:r>
            <w:r>
              <w:rPr>
                <w:rFonts w:hint="eastAsia" w:ascii="宋体" w:hAnsi="宋体" w:cs="宋体"/>
                <w:color w:val="auto"/>
                <w:kern w:val="0"/>
                <w:sz w:val="24"/>
                <w:lang w:bidi="ar"/>
              </w:rPr>
              <w:t>支持自动分析冠脉优势型（左优势型、右优势型或均衡型），自动检出可疑斑块，进行可疑斑块分类（钙化、非钙化、混合）以及狭窄类型分类（局限性、节段性、弥漫性），自动给出管腔狭窄程度分级信息，包括未见狭窄、轻微狭窄、轻度狭窄、中度狭窄、重度狭窄、完全闭塞，并提供每个分段最狭窄处的狭窄率信息。</w:t>
            </w:r>
            <w:r>
              <w:rPr>
                <w:rFonts w:hint="eastAsia" w:ascii="宋体" w:hAnsi="宋体" w:cs="宋体"/>
                <w:color w:val="auto"/>
                <w:kern w:val="0"/>
                <w:sz w:val="24"/>
                <w:lang w:bidi="ar"/>
              </w:rPr>
              <w:br w:type="textWrapping"/>
            </w:r>
            <w:r>
              <w:rPr>
                <w:rFonts w:hint="eastAsia" w:ascii="宋体" w:hAnsi="宋体" w:cs="宋体"/>
                <w:b/>
                <w:bCs/>
                <w:color w:val="auto"/>
                <w:kern w:val="0"/>
                <w:sz w:val="24"/>
                <w:lang w:bidi="ar"/>
              </w:rPr>
              <w:t>注：投标人须在投标文件中提供相关证明截图材料作为佐证，未提供或无法证明的本项即为负偏离。</w:t>
            </w:r>
          </w:p>
        </w:tc>
      </w:tr>
      <w:tr w14:paraId="45A33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436" w:type="pct"/>
            <w:vMerge w:val="continue"/>
          </w:tcPr>
          <w:p w14:paraId="458912AA">
            <w:pPr>
              <w:pStyle w:val="968"/>
              <w:widowControl w:val="0"/>
              <w:spacing w:line="288" w:lineRule="auto"/>
              <w:ind w:firstLine="0" w:firstLineChars="0"/>
              <w:jc w:val="center"/>
              <w:rPr>
                <w:rFonts w:cs="宋体"/>
                <w:color w:val="auto"/>
                <w:szCs w:val="24"/>
              </w:rPr>
            </w:pPr>
          </w:p>
        </w:tc>
        <w:tc>
          <w:tcPr>
            <w:tcW w:w="582" w:type="pct"/>
            <w:vMerge w:val="continue"/>
          </w:tcPr>
          <w:p w14:paraId="369DE3E4">
            <w:pPr>
              <w:adjustRightInd/>
              <w:spacing w:line="288" w:lineRule="auto"/>
              <w:jc w:val="center"/>
              <w:rPr>
                <w:rFonts w:ascii="宋体" w:hAnsi="宋体" w:cs="宋体"/>
                <w:color w:val="auto"/>
                <w:kern w:val="0"/>
                <w:sz w:val="24"/>
                <w:lang w:bidi="ar"/>
              </w:rPr>
            </w:pPr>
          </w:p>
        </w:tc>
        <w:tc>
          <w:tcPr>
            <w:tcW w:w="3981" w:type="pct"/>
            <w:vAlign w:val="center"/>
          </w:tcPr>
          <w:p w14:paraId="623C7D64">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3）</w:t>
            </w:r>
            <w:r>
              <w:rPr>
                <w:rFonts w:hint="eastAsia" w:ascii="宋体" w:hAnsi="宋体" w:cs="宋体"/>
                <w:color w:val="auto"/>
                <w:kern w:val="0"/>
                <w:sz w:val="24"/>
              </w:rPr>
              <w:t>需</w:t>
            </w:r>
            <w:r>
              <w:rPr>
                <w:rFonts w:hint="eastAsia" w:ascii="宋体" w:hAnsi="宋体" w:cs="宋体"/>
                <w:color w:val="auto"/>
                <w:kern w:val="0"/>
                <w:sz w:val="24"/>
                <w:lang w:bidi="ar"/>
              </w:rPr>
              <w:t>支持对心脏血管周围组织的定量分析，包括血管周围脂肪衰减指数（FAI）、血管壁外设置半径区域内脂肪体素总体积（FV）、体积血管周围表征指数（VPCI）、血管壁内所有纤维斑块体素总体积的占比（FPI）、血管周围水衰减指数平均值（PVWI）、血管壁内所有钙化体素总体积的占比（CI）。</w:t>
            </w:r>
          </w:p>
        </w:tc>
      </w:tr>
      <w:tr w14:paraId="09F8A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436" w:type="pct"/>
            <w:vMerge w:val="restart"/>
            <w:vAlign w:val="center"/>
          </w:tcPr>
          <w:p w14:paraId="2287689F">
            <w:pPr>
              <w:pStyle w:val="968"/>
              <w:widowControl w:val="0"/>
              <w:spacing w:line="288" w:lineRule="auto"/>
              <w:ind w:firstLine="0" w:firstLineChars="0"/>
              <w:jc w:val="center"/>
              <w:rPr>
                <w:rFonts w:cs="宋体"/>
                <w:color w:val="auto"/>
                <w:szCs w:val="24"/>
              </w:rPr>
            </w:pPr>
          </w:p>
        </w:tc>
        <w:tc>
          <w:tcPr>
            <w:tcW w:w="582" w:type="pct"/>
            <w:vMerge w:val="restart"/>
            <w:vAlign w:val="center"/>
          </w:tcPr>
          <w:p w14:paraId="3FC5729B">
            <w:pPr>
              <w:adjustRightInd/>
              <w:spacing w:line="288" w:lineRule="auto"/>
              <w:jc w:val="center"/>
              <w:rPr>
                <w:rFonts w:ascii="宋体" w:hAnsi="宋体" w:cs="宋体"/>
                <w:color w:val="auto"/>
                <w:kern w:val="0"/>
                <w:sz w:val="24"/>
                <w:lang w:bidi="ar"/>
              </w:rPr>
            </w:pPr>
            <w:r>
              <w:rPr>
                <w:rFonts w:hint="eastAsia" w:ascii="宋体" w:hAnsi="宋体" w:cs="宋体"/>
                <w:color w:val="auto"/>
                <w:sz w:val="24"/>
              </w:rPr>
              <w:t>耳鼻喉专病影像</w:t>
            </w:r>
            <w:r>
              <w:rPr>
                <w:rFonts w:hint="eastAsia" w:ascii="宋体" w:hAnsi="宋体" w:cs="宋体"/>
                <w:color w:val="auto"/>
                <w:kern w:val="0"/>
                <w:sz w:val="24"/>
                <w:lang w:bidi="ar"/>
              </w:rPr>
              <w:t>数据结构化</w:t>
            </w:r>
          </w:p>
          <w:p w14:paraId="14CA6BCB">
            <w:pPr>
              <w:widowControl/>
              <w:adjustRightInd/>
              <w:spacing w:line="288" w:lineRule="auto"/>
              <w:jc w:val="center"/>
              <w:textAlignment w:val="top"/>
              <w:rPr>
                <w:rFonts w:ascii="宋体" w:hAnsi="宋体" w:cs="宋体"/>
                <w:color w:val="auto"/>
                <w:sz w:val="24"/>
              </w:rPr>
            </w:pPr>
            <w:r>
              <w:rPr>
                <w:rFonts w:hint="eastAsia" w:ascii="宋体" w:hAnsi="宋体" w:cs="宋体"/>
                <w:color w:val="auto"/>
                <w:sz w:val="24"/>
              </w:rPr>
              <w:t>（包括但不限于）</w:t>
            </w:r>
          </w:p>
          <w:p w14:paraId="3496092A">
            <w:pPr>
              <w:adjustRightInd/>
              <w:spacing w:line="288" w:lineRule="auto"/>
              <w:jc w:val="center"/>
              <w:rPr>
                <w:rFonts w:ascii="宋体" w:hAnsi="宋体" w:cs="宋体"/>
                <w:color w:val="auto"/>
                <w:kern w:val="0"/>
                <w:sz w:val="24"/>
                <w:lang w:bidi="ar"/>
              </w:rPr>
            </w:pPr>
          </w:p>
        </w:tc>
        <w:tc>
          <w:tcPr>
            <w:tcW w:w="3981" w:type="pct"/>
            <w:vAlign w:val="center"/>
          </w:tcPr>
          <w:p w14:paraId="7AEA4F7E">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1）</w:t>
            </w:r>
            <w:r>
              <w:rPr>
                <w:rFonts w:hint="eastAsia" w:ascii="宋体" w:hAnsi="宋体" w:cs="宋体"/>
                <w:color w:val="auto"/>
                <w:kern w:val="0"/>
                <w:sz w:val="24"/>
              </w:rPr>
              <w:t>需</w:t>
            </w:r>
            <w:r>
              <w:rPr>
                <w:rFonts w:hint="eastAsia" w:ascii="宋体" w:hAnsi="宋体" w:cs="宋体"/>
                <w:color w:val="auto"/>
                <w:kern w:val="0"/>
                <w:sz w:val="24"/>
                <w:lang w:bidi="ar"/>
              </w:rPr>
              <w:t>支持应用影像AI引擎，实现对耳部、咽喉部及鼻腔鼻窦的CT影像的智能分析。</w:t>
            </w:r>
          </w:p>
        </w:tc>
      </w:tr>
      <w:tr w14:paraId="61C61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436" w:type="pct"/>
            <w:vMerge w:val="continue"/>
            <w:vAlign w:val="center"/>
          </w:tcPr>
          <w:p w14:paraId="22387865">
            <w:pPr>
              <w:pStyle w:val="968"/>
              <w:widowControl w:val="0"/>
              <w:spacing w:line="288" w:lineRule="auto"/>
              <w:ind w:firstLine="0" w:firstLineChars="0"/>
              <w:jc w:val="center"/>
              <w:rPr>
                <w:rFonts w:cs="宋体"/>
                <w:color w:val="auto"/>
                <w:szCs w:val="24"/>
              </w:rPr>
            </w:pPr>
          </w:p>
        </w:tc>
        <w:tc>
          <w:tcPr>
            <w:tcW w:w="582" w:type="pct"/>
            <w:vMerge w:val="continue"/>
            <w:vAlign w:val="center"/>
          </w:tcPr>
          <w:p w14:paraId="6B6F7DFA">
            <w:pPr>
              <w:adjustRightInd/>
              <w:spacing w:line="288" w:lineRule="auto"/>
              <w:jc w:val="center"/>
              <w:rPr>
                <w:rFonts w:ascii="宋体" w:hAnsi="宋体" w:cs="宋体"/>
                <w:color w:val="auto"/>
                <w:kern w:val="0"/>
                <w:sz w:val="24"/>
                <w:lang w:bidi="ar"/>
              </w:rPr>
            </w:pPr>
          </w:p>
        </w:tc>
        <w:tc>
          <w:tcPr>
            <w:tcW w:w="3981" w:type="pct"/>
            <w:vAlign w:val="center"/>
          </w:tcPr>
          <w:p w14:paraId="2F40BE02">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2）耳部影像</w:t>
            </w:r>
            <w:r>
              <w:rPr>
                <w:rFonts w:hint="eastAsia" w:ascii="宋体" w:hAnsi="宋体" w:cs="宋体"/>
                <w:color w:val="auto"/>
                <w:kern w:val="0"/>
                <w:sz w:val="24"/>
              </w:rPr>
              <w:t>需</w:t>
            </w:r>
            <w:r>
              <w:rPr>
                <w:rFonts w:hint="eastAsia" w:ascii="宋体" w:hAnsi="宋体" w:cs="宋体"/>
                <w:color w:val="auto"/>
                <w:kern w:val="0"/>
                <w:sz w:val="24"/>
                <w:lang w:bidi="ar"/>
              </w:rPr>
              <w:t>支持自动提供包括外耳道、听小骨、迷路、耳蜗、面神经等结构的高分辨率、层厚1-2mm的薄层扫描和CT值信息，同时支持包括多层重组（MPR）、曲面重组（CPR）、最大密度投影（MIP）、容积再现（VR）等CT图像后处理技术，需支持自动鉴别慢性中耳炎、中耳胆脂瘤及耳部良恶性肿瘤；</w:t>
            </w:r>
          </w:p>
        </w:tc>
      </w:tr>
      <w:tr w14:paraId="2C49F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436" w:type="pct"/>
            <w:vMerge w:val="continue"/>
            <w:vAlign w:val="center"/>
          </w:tcPr>
          <w:p w14:paraId="06C5F519">
            <w:pPr>
              <w:pStyle w:val="968"/>
              <w:widowControl w:val="0"/>
              <w:spacing w:line="288" w:lineRule="auto"/>
              <w:ind w:firstLine="0" w:firstLineChars="0"/>
              <w:jc w:val="center"/>
              <w:rPr>
                <w:rFonts w:cs="宋体"/>
                <w:color w:val="auto"/>
                <w:szCs w:val="24"/>
              </w:rPr>
            </w:pPr>
          </w:p>
        </w:tc>
        <w:tc>
          <w:tcPr>
            <w:tcW w:w="582" w:type="pct"/>
            <w:vMerge w:val="continue"/>
            <w:vAlign w:val="center"/>
          </w:tcPr>
          <w:p w14:paraId="7358798D">
            <w:pPr>
              <w:adjustRightInd/>
              <w:spacing w:line="288" w:lineRule="auto"/>
              <w:jc w:val="center"/>
              <w:rPr>
                <w:rFonts w:ascii="宋体" w:hAnsi="宋体" w:cs="宋体"/>
                <w:color w:val="auto"/>
                <w:kern w:val="0"/>
                <w:sz w:val="24"/>
                <w:lang w:bidi="ar"/>
              </w:rPr>
            </w:pPr>
          </w:p>
        </w:tc>
        <w:tc>
          <w:tcPr>
            <w:tcW w:w="3981" w:type="pct"/>
            <w:vAlign w:val="center"/>
          </w:tcPr>
          <w:p w14:paraId="243BFC47">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3）喉部CT需提供影像组学特征信息，包括：CT最大值、最小值、平均值、CT值方差、CT值峰度、CT值偏度、最大层位置及面积等，同时提供喉腔结构的多平面重组、三维重建及仿真内镜技术，基于上述技术支持对喉部恶性肿瘤的病变部位、范围、向周围侵犯情况及颈部淋巴结转移情况进行自动分析判断；</w:t>
            </w:r>
          </w:p>
        </w:tc>
      </w:tr>
      <w:tr w14:paraId="4E633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436" w:type="pct"/>
            <w:vMerge w:val="continue"/>
            <w:vAlign w:val="center"/>
          </w:tcPr>
          <w:p w14:paraId="2BEB055B">
            <w:pPr>
              <w:pStyle w:val="968"/>
              <w:widowControl w:val="0"/>
              <w:spacing w:line="288" w:lineRule="auto"/>
              <w:ind w:firstLine="0" w:firstLineChars="0"/>
              <w:jc w:val="center"/>
              <w:rPr>
                <w:rFonts w:cs="宋体"/>
                <w:color w:val="auto"/>
                <w:szCs w:val="24"/>
              </w:rPr>
            </w:pPr>
          </w:p>
        </w:tc>
        <w:tc>
          <w:tcPr>
            <w:tcW w:w="582" w:type="pct"/>
            <w:vMerge w:val="continue"/>
            <w:vAlign w:val="center"/>
          </w:tcPr>
          <w:p w14:paraId="723950BE">
            <w:pPr>
              <w:adjustRightInd/>
              <w:spacing w:line="288" w:lineRule="auto"/>
              <w:jc w:val="center"/>
              <w:rPr>
                <w:rFonts w:ascii="宋体" w:hAnsi="宋体" w:cs="宋体"/>
                <w:color w:val="auto"/>
                <w:kern w:val="0"/>
                <w:sz w:val="24"/>
                <w:lang w:bidi="ar"/>
              </w:rPr>
            </w:pPr>
          </w:p>
        </w:tc>
        <w:tc>
          <w:tcPr>
            <w:tcW w:w="3981" w:type="pct"/>
            <w:vAlign w:val="center"/>
          </w:tcPr>
          <w:p w14:paraId="1BDB7D51">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4）鼻腔鼻窦CT需提供冠状位图像及轴位图像，同时提供骨算法及软组织算法两种图像重建方式，提供对鼻腔鼻窦的复杂的解剖结构及周边重要组织结构如翼腭窝、颞下窝、颅底、眼眶等的高分辨率影像学信息，</w:t>
            </w:r>
            <w:r>
              <w:rPr>
                <w:rFonts w:hint="eastAsia" w:ascii="宋体" w:hAnsi="宋体" w:cs="宋体"/>
                <w:color w:val="auto"/>
                <w:kern w:val="0"/>
                <w:sz w:val="24"/>
              </w:rPr>
              <w:t>需</w:t>
            </w:r>
            <w:r>
              <w:rPr>
                <w:rFonts w:hint="eastAsia" w:ascii="宋体" w:hAnsi="宋体" w:cs="宋体"/>
                <w:color w:val="auto"/>
                <w:kern w:val="0"/>
                <w:sz w:val="24"/>
                <w:lang w:bidi="ar"/>
              </w:rPr>
              <w:t>支持自动检出鼻腔鼻窦良恶性病灶，自动提供病灶大小、体积、各期相的平均CT值等信息。</w:t>
            </w:r>
          </w:p>
        </w:tc>
      </w:tr>
      <w:tr w14:paraId="68490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436" w:type="pct"/>
            <w:vMerge w:val="restart"/>
            <w:vAlign w:val="center"/>
          </w:tcPr>
          <w:p w14:paraId="500D58CC">
            <w:pPr>
              <w:pStyle w:val="968"/>
              <w:widowControl w:val="0"/>
              <w:spacing w:line="288" w:lineRule="auto"/>
              <w:ind w:firstLine="0" w:firstLineChars="0"/>
              <w:jc w:val="center"/>
              <w:rPr>
                <w:rFonts w:cs="宋体"/>
                <w:color w:val="auto"/>
                <w:szCs w:val="24"/>
              </w:rPr>
            </w:pPr>
            <w:r>
              <w:rPr>
                <w:rFonts w:hint="eastAsia" w:cs="宋体"/>
                <w:color w:val="auto"/>
                <w:szCs w:val="24"/>
              </w:rPr>
              <w:t>多模态数据检索</w:t>
            </w:r>
          </w:p>
        </w:tc>
        <w:tc>
          <w:tcPr>
            <w:tcW w:w="582" w:type="pct"/>
            <w:vMerge w:val="restart"/>
            <w:vAlign w:val="center"/>
          </w:tcPr>
          <w:p w14:paraId="2B14697F">
            <w:pPr>
              <w:adjustRightInd/>
              <w:spacing w:line="288" w:lineRule="auto"/>
              <w:jc w:val="center"/>
              <w:rPr>
                <w:rFonts w:ascii="宋体" w:hAnsi="宋体" w:cs="宋体"/>
                <w:color w:val="auto"/>
                <w:sz w:val="24"/>
              </w:rPr>
            </w:pPr>
            <w:r>
              <w:rPr>
                <w:rFonts w:hint="eastAsia" w:ascii="宋体" w:hAnsi="宋体" w:cs="宋体"/>
                <w:color w:val="auto"/>
                <w:kern w:val="0"/>
                <w:sz w:val="24"/>
                <w:lang w:bidi="ar"/>
              </w:rPr>
              <w:t>影像DICOM信息搜索</w:t>
            </w:r>
          </w:p>
        </w:tc>
        <w:tc>
          <w:tcPr>
            <w:tcW w:w="3981" w:type="pct"/>
            <w:vAlign w:val="center"/>
          </w:tcPr>
          <w:p w14:paraId="491FE961">
            <w:pPr>
              <w:widowControl/>
              <w:adjustRightInd/>
              <w:spacing w:line="288" w:lineRule="auto"/>
              <w:textAlignment w:val="bottom"/>
              <w:rPr>
                <w:rFonts w:ascii="宋体" w:hAnsi="宋体" w:cs="宋体"/>
                <w:color w:val="auto"/>
                <w:kern w:val="0"/>
                <w:sz w:val="24"/>
                <w:lang w:bidi="ar"/>
              </w:rPr>
            </w:pPr>
            <w:r>
              <w:rPr>
                <w:rFonts w:hint="eastAsia" w:ascii="宋体" w:hAnsi="宋体" w:cs="宋体"/>
                <w:color w:val="auto"/>
                <w:kern w:val="0"/>
                <w:sz w:val="24"/>
                <w:lang w:bidi="ar"/>
              </w:rPr>
              <w:t>1）</w:t>
            </w:r>
            <w:r>
              <w:rPr>
                <w:rFonts w:hint="eastAsia" w:ascii="宋体" w:hAnsi="宋体" w:cs="宋体"/>
                <w:color w:val="auto"/>
                <w:kern w:val="0"/>
                <w:sz w:val="24"/>
              </w:rPr>
              <w:t>需</w:t>
            </w:r>
            <w:r>
              <w:rPr>
                <w:rFonts w:hint="eastAsia" w:ascii="宋体" w:hAnsi="宋体" w:cs="宋体"/>
                <w:color w:val="auto"/>
                <w:kern w:val="0"/>
                <w:sz w:val="24"/>
                <w:lang w:bidi="ar"/>
              </w:rPr>
              <w:t>支持影像 DICOM的设备信息、扫描信息、检查信息、影像AI特征结构化数据等数据名称标准化和值域标准化。</w:t>
            </w:r>
          </w:p>
        </w:tc>
      </w:tr>
      <w:tr w14:paraId="1744C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continue"/>
            <w:vAlign w:val="center"/>
          </w:tcPr>
          <w:p w14:paraId="5501365A">
            <w:pPr>
              <w:pStyle w:val="968"/>
              <w:widowControl w:val="0"/>
              <w:spacing w:line="288" w:lineRule="auto"/>
              <w:ind w:firstLine="0" w:firstLineChars="0"/>
              <w:jc w:val="center"/>
              <w:rPr>
                <w:rFonts w:cs="宋体"/>
                <w:color w:val="auto"/>
                <w:szCs w:val="24"/>
              </w:rPr>
            </w:pPr>
          </w:p>
        </w:tc>
        <w:tc>
          <w:tcPr>
            <w:tcW w:w="582" w:type="pct"/>
            <w:vMerge w:val="continue"/>
            <w:vAlign w:val="center"/>
          </w:tcPr>
          <w:p w14:paraId="2A8EEE64">
            <w:pPr>
              <w:widowControl/>
              <w:adjustRightInd/>
              <w:spacing w:line="288" w:lineRule="auto"/>
              <w:jc w:val="center"/>
              <w:textAlignment w:val="top"/>
              <w:rPr>
                <w:rFonts w:ascii="宋体" w:hAnsi="宋体" w:cs="宋体"/>
                <w:color w:val="auto"/>
                <w:kern w:val="0"/>
                <w:sz w:val="24"/>
                <w:lang w:bidi="ar"/>
              </w:rPr>
            </w:pPr>
          </w:p>
        </w:tc>
        <w:tc>
          <w:tcPr>
            <w:tcW w:w="3981" w:type="pct"/>
            <w:vAlign w:val="center"/>
          </w:tcPr>
          <w:p w14:paraId="485C480C">
            <w:pPr>
              <w:widowControl/>
              <w:adjustRightInd/>
              <w:spacing w:line="288" w:lineRule="auto"/>
              <w:textAlignment w:val="bottom"/>
              <w:rPr>
                <w:rFonts w:ascii="宋体" w:hAnsi="宋体" w:cs="宋体"/>
                <w:color w:val="auto"/>
                <w:kern w:val="0"/>
                <w:sz w:val="24"/>
                <w:lang w:bidi="ar"/>
              </w:rPr>
            </w:pPr>
            <w:r>
              <w:rPr>
                <w:rFonts w:hint="eastAsia" w:ascii="宋体" w:hAnsi="宋体" w:cs="宋体"/>
                <w:color w:val="auto"/>
                <w:kern w:val="0"/>
                <w:sz w:val="24"/>
                <w:lang w:bidi="ar"/>
              </w:rPr>
              <w:t>2）</w:t>
            </w:r>
            <w:r>
              <w:rPr>
                <w:rFonts w:hint="eastAsia" w:ascii="宋体" w:hAnsi="宋体" w:cs="宋体"/>
                <w:color w:val="auto"/>
                <w:kern w:val="0"/>
                <w:sz w:val="24"/>
              </w:rPr>
              <w:t>需支持影像 DICOM 信息、影像AI特征结构化数据与临床结构化数据、原文数据进行逻辑组合筛选</w:t>
            </w:r>
            <w:r>
              <w:rPr>
                <w:rFonts w:hint="eastAsia" w:ascii="宋体" w:hAnsi="宋体" w:cs="宋体"/>
                <w:color w:val="auto"/>
                <w:kern w:val="0"/>
                <w:sz w:val="24"/>
                <w:lang w:bidi="ar"/>
              </w:rPr>
              <w:t>。</w:t>
            </w:r>
          </w:p>
        </w:tc>
      </w:tr>
      <w:tr w14:paraId="44FFA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continue"/>
            <w:shd w:val="clear" w:color="auto" w:fill="auto"/>
            <w:vAlign w:val="center"/>
          </w:tcPr>
          <w:p w14:paraId="447C59A6">
            <w:pPr>
              <w:pStyle w:val="968"/>
              <w:widowControl w:val="0"/>
              <w:spacing w:line="288" w:lineRule="auto"/>
              <w:ind w:firstLine="0" w:firstLineChars="0"/>
              <w:jc w:val="center"/>
              <w:rPr>
                <w:rFonts w:cs="宋体"/>
                <w:color w:val="auto"/>
                <w:szCs w:val="24"/>
              </w:rPr>
            </w:pPr>
          </w:p>
        </w:tc>
        <w:tc>
          <w:tcPr>
            <w:tcW w:w="582" w:type="pct"/>
            <w:vMerge w:val="restart"/>
            <w:shd w:val="clear" w:color="auto" w:fill="auto"/>
            <w:vAlign w:val="center"/>
          </w:tcPr>
          <w:p w14:paraId="71881549">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kern w:val="0"/>
                <w:sz w:val="24"/>
                <w:lang w:bidi="ar"/>
              </w:rPr>
              <w:t>图文搜索结果展现</w:t>
            </w:r>
          </w:p>
        </w:tc>
        <w:tc>
          <w:tcPr>
            <w:tcW w:w="3981" w:type="pct"/>
            <w:tcBorders>
              <w:top w:val="single" w:color="auto" w:sz="4" w:space="0"/>
              <w:left w:val="single" w:color="auto" w:sz="4" w:space="0"/>
              <w:bottom w:val="single" w:color="auto" w:sz="4" w:space="0"/>
              <w:right w:val="single" w:color="auto" w:sz="4" w:space="0"/>
            </w:tcBorders>
            <w:shd w:val="clear" w:color="000000" w:fill="FFFFFF"/>
            <w:vAlign w:val="center"/>
          </w:tcPr>
          <w:p w14:paraId="0CA58583">
            <w:pPr>
              <w:widowControl/>
              <w:adjustRightInd/>
              <w:spacing w:line="288" w:lineRule="auto"/>
              <w:textAlignment w:val="bottom"/>
              <w:rPr>
                <w:rFonts w:ascii="宋体" w:hAnsi="宋体" w:cs="宋体"/>
                <w:color w:val="auto"/>
                <w:kern w:val="0"/>
                <w:sz w:val="24"/>
                <w:lang w:bidi="ar"/>
              </w:rPr>
            </w:pPr>
            <w:r>
              <w:rPr>
                <w:rFonts w:hint="eastAsia" w:ascii="宋体" w:hAnsi="宋体" w:cs="宋体"/>
                <w:color w:val="auto"/>
                <w:sz w:val="24"/>
              </w:rPr>
              <w:t>▲</w:t>
            </w:r>
            <w:r>
              <w:rPr>
                <w:rFonts w:hint="eastAsia" w:ascii="宋体" w:hAnsi="宋体" w:cs="宋体"/>
                <w:color w:val="auto"/>
                <w:kern w:val="0"/>
                <w:sz w:val="24"/>
                <w:lang w:bidi="ar"/>
              </w:rPr>
              <w:t>1）搜索结果列表页</w:t>
            </w:r>
            <w:r>
              <w:rPr>
                <w:rFonts w:hint="eastAsia" w:ascii="宋体" w:hAnsi="宋体" w:cs="宋体"/>
                <w:color w:val="auto"/>
                <w:kern w:val="0"/>
                <w:sz w:val="24"/>
              </w:rPr>
              <w:t>需</w:t>
            </w:r>
            <w:r>
              <w:rPr>
                <w:rFonts w:hint="eastAsia" w:ascii="宋体" w:hAnsi="宋体" w:cs="宋体"/>
                <w:color w:val="auto"/>
                <w:kern w:val="0"/>
                <w:sz w:val="24"/>
                <w:lang w:bidi="ar"/>
              </w:rPr>
              <w:t>支持展示影像视图，展示信息包括患者的疾病信息、关键疾病信息以及对应的历次影像检查信息，其中影像检查信息支持展示影像缩略图、检查号等。</w:t>
            </w:r>
            <w:r>
              <w:rPr>
                <w:rFonts w:hint="eastAsia" w:ascii="宋体" w:hAnsi="宋体" w:cs="宋体"/>
                <w:color w:val="auto"/>
                <w:kern w:val="0"/>
                <w:sz w:val="24"/>
                <w:lang w:bidi="ar"/>
              </w:rPr>
              <w:br w:type="textWrapping"/>
            </w:r>
            <w:r>
              <w:rPr>
                <w:rFonts w:hint="eastAsia" w:ascii="宋体" w:hAnsi="宋体" w:cs="宋体"/>
                <w:b/>
                <w:bCs/>
                <w:color w:val="auto"/>
                <w:kern w:val="0"/>
                <w:sz w:val="24"/>
                <w:lang w:bidi="ar"/>
              </w:rPr>
              <w:t>注：投标人须在投标文件中提供相关证明截图材料作为佐证，未提供或无法证明的本项即为负偏离。</w:t>
            </w:r>
          </w:p>
        </w:tc>
      </w:tr>
      <w:tr w14:paraId="15491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436" w:type="pct"/>
            <w:vMerge w:val="continue"/>
            <w:shd w:val="clear" w:color="auto" w:fill="auto"/>
            <w:vAlign w:val="center"/>
          </w:tcPr>
          <w:p w14:paraId="1F9B1FF4">
            <w:pPr>
              <w:pStyle w:val="968"/>
              <w:widowControl w:val="0"/>
              <w:spacing w:line="288" w:lineRule="auto"/>
              <w:ind w:firstLine="0" w:firstLineChars="0"/>
              <w:jc w:val="center"/>
              <w:rPr>
                <w:rFonts w:cs="宋体"/>
                <w:color w:val="auto"/>
                <w:szCs w:val="24"/>
              </w:rPr>
            </w:pPr>
          </w:p>
        </w:tc>
        <w:tc>
          <w:tcPr>
            <w:tcW w:w="582" w:type="pct"/>
            <w:vMerge w:val="continue"/>
            <w:shd w:val="clear" w:color="auto" w:fill="auto"/>
            <w:vAlign w:val="center"/>
          </w:tcPr>
          <w:p w14:paraId="1D258B2A">
            <w:pPr>
              <w:widowControl/>
              <w:adjustRightInd/>
              <w:spacing w:line="288" w:lineRule="auto"/>
              <w:jc w:val="center"/>
              <w:textAlignment w:val="top"/>
              <w:rPr>
                <w:rFonts w:ascii="宋体" w:hAnsi="宋体" w:cs="宋体"/>
                <w:color w:val="auto"/>
                <w:kern w:val="0"/>
                <w:sz w:val="24"/>
                <w:lang w:bidi="ar"/>
              </w:rPr>
            </w:pPr>
          </w:p>
        </w:tc>
        <w:tc>
          <w:tcPr>
            <w:tcW w:w="3981" w:type="pct"/>
            <w:tcBorders>
              <w:top w:val="nil"/>
              <w:left w:val="single" w:color="auto" w:sz="4" w:space="0"/>
              <w:right w:val="single" w:color="auto" w:sz="4" w:space="0"/>
            </w:tcBorders>
            <w:shd w:val="clear" w:color="000000" w:fill="FFFFFF"/>
            <w:vAlign w:val="center"/>
          </w:tcPr>
          <w:p w14:paraId="44589496">
            <w:pPr>
              <w:widowControl/>
              <w:adjustRightInd/>
              <w:spacing w:line="288" w:lineRule="auto"/>
              <w:textAlignment w:val="bottom"/>
              <w:rPr>
                <w:rFonts w:ascii="宋体" w:hAnsi="宋体" w:cs="宋体"/>
                <w:color w:val="auto"/>
                <w:kern w:val="0"/>
                <w:sz w:val="24"/>
                <w:lang w:bidi="ar"/>
              </w:rPr>
            </w:pPr>
            <w:r>
              <w:rPr>
                <w:rFonts w:hint="eastAsia" w:ascii="宋体" w:hAnsi="宋体" w:cs="宋体"/>
                <w:color w:val="auto"/>
                <w:kern w:val="0"/>
                <w:sz w:val="24"/>
                <w:lang w:bidi="ar"/>
              </w:rPr>
              <w:t>2）用户通过点击搜索结果列表页指定的影像检查信息，可直接跳转定位至该患者全景内的该次影像检查记录。</w:t>
            </w:r>
          </w:p>
        </w:tc>
      </w:tr>
      <w:tr w14:paraId="0504F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continue"/>
            <w:vAlign w:val="center"/>
          </w:tcPr>
          <w:p w14:paraId="314B3A23">
            <w:pPr>
              <w:pStyle w:val="968"/>
              <w:widowControl w:val="0"/>
              <w:spacing w:line="288" w:lineRule="auto"/>
              <w:ind w:firstLine="0" w:firstLineChars="0"/>
              <w:jc w:val="center"/>
              <w:rPr>
                <w:rFonts w:cs="宋体"/>
                <w:color w:val="auto"/>
                <w:szCs w:val="24"/>
              </w:rPr>
            </w:pPr>
          </w:p>
        </w:tc>
        <w:tc>
          <w:tcPr>
            <w:tcW w:w="582" w:type="pct"/>
            <w:vMerge w:val="restart"/>
            <w:vAlign w:val="center"/>
          </w:tcPr>
          <w:p w14:paraId="2E021E1E">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kern w:val="0"/>
                <w:sz w:val="24"/>
                <w:lang w:bidi="ar"/>
              </w:rPr>
              <w:t>条件</w:t>
            </w:r>
          </w:p>
          <w:p w14:paraId="224A30BA">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kern w:val="0"/>
                <w:sz w:val="24"/>
                <w:lang w:bidi="ar"/>
              </w:rPr>
              <w:t>搜索</w:t>
            </w:r>
          </w:p>
        </w:tc>
        <w:tc>
          <w:tcPr>
            <w:tcW w:w="3981" w:type="pct"/>
            <w:vAlign w:val="center"/>
          </w:tcPr>
          <w:p w14:paraId="133C2285">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1）</w:t>
            </w:r>
            <w:r>
              <w:rPr>
                <w:rFonts w:hint="eastAsia" w:ascii="宋体" w:hAnsi="宋体" w:cs="宋体"/>
                <w:color w:val="auto"/>
                <w:kern w:val="0"/>
                <w:sz w:val="24"/>
              </w:rPr>
              <w:t>需</w:t>
            </w:r>
            <w:r>
              <w:rPr>
                <w:rFonts w:hint="eastAsia" w:ascii="宋体" w:hAnsi="宋体" w:cs="宋体"/>
                <w:color w:val="auto"/>
                <w:kern w:val="0"/>
                <w:sz w:val="24"/>
                <w:lang w:bidi="ar"/>
              </w:rPr>
              <w:t>支持选用结构化条件以及原文条件。支持从预设的结构化选项中选择条件进行精准检索或者模糊检索；支持对病历原文使用关键词进行搜索，用于模糊匹配特定信息。</w:t>
            </w:r>
          </w:p>
        </w:tc>
      </w:tr>
      <w:tr w14:paraId="24155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continue"/>
            <w:vAlign w:val="center"/>
          </w:tcPr>
          <w:p w14:paraId="2BAC8760">
            <w:pPr>
              <w:pStyle w:val="968"/>
              <w:widowControl w:val="0"/>
              <w:spacing w:line="288" w:lineRule="auto"/>
              <w:ind w:firstLine="0" w:firstLineChars="0"/>
              <w:jc w:val="center"/>
              <w:rPr>
                <w:rFonts w:cs="宋体"/>
                <w:color w:val="auto"/>
                <w:szCs w:val="24"/>
              </w:rPr>
            </w:pPr>
          </w:p>
        </w:tc>
        <w:tc>
          <w:tcPr>
            <w:tcW w:w="582" w:type="pct"/>
            <w:vMerge w:val="continue"/>
            <w:vAlign w:val="center"/>
          </w:tcPr>
          <w:p w14:paraId="14D24000">
            <w:pPr>
              <w:widowControl/>
              <w:adjustRightInd/>
              <w:spacing w:line="288" w:lineRule="auto"/>
              <w:jc w:val="center"/>
              <w:textAlignment w:val="top"/>
              <w:rPr>
                <w:rFonts w:ascii="宋体" w:hAnsi="宋体" w:cs="宋体"/>
                <w:color w:val="auto"/>
                <w:kern w:val="0"/>
                <w:sz w:val="24"/>
                <w:lang w:bidi="ar"/>
              </w:rPr>
            </w:pPr>
          </w:p>
        </w:tc>
        <w:tc>
          <w:tcPr>
            <w:tcW w:w="3981" w:type="pct"/>
            <w:vAlign w:val="center"/>
          </w:tcPr>
          <w:p w14:paraId="60EDF679">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2）</w:t>
            </w:r>
            <w:r>
              <w:rPr>
                <w:rFonts w:hint="eastAsia" w:ascii="宋体" w:hAnsi="宋体" w:cs="宋体"/>
                <w:color w:val="auto"/>
                <w:kern w:val="0"/>
                <w:sz w:val="24"/>
              </w:rPr>
              <w:t>需</w:t>
            </w:r>
            <w:r>
              <w:rPr>
                <w:rFonts w:hint="eastAsia" w:ascii="宋体" w:hAnsi="宋体" w:cs="宋体"/>
                <w:color w:val="auto"/>
                <w:kern w:val="0"/>
                <w:sz w:val="24"/>
                <w:lang w:bidi="ar"/>
              </w:rPr>
              <w:t>支持用户将常用的检索字段设置为“常用字段”。这些字段会再检索字段选择窗口进行置顶，便于用户快速访问，从而提升使用效率和操作便捷性。</w:t>
            </w:r>
          </w:p>
        </w:tc>
      </w:tr>
      <w:tr w14:paraId="1F5A6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continue"/>
            <w:vAlign w:val="center"/>
          </w:tcPr>
          <w:p w14:paraId="6270554A">
            <w:pPr>
              <w:pStyle w:val="968"/>
              <w:widowControl w:val="0"/>
              <w:spacing w:line="288" w:lineRule="auto"/>
              <w:ind w:firstLine="0" w:firstLineChars="0"/>
              <w:jc w:val="center"/>
              <w:rPr>
                <w:rFonts w:cs="宋体"/>
                <w:color w:val="auto"/>
                <w:szCs w:val="24"/>
              </w:rPr>
            </w:pPr>
          </w:p>
        </w:tc>
        <w:tc>
          <w:tcPr>
            <w:tcW w:w="582" w:type="pct"/>
            <w:vMerge w:val="continue"/>
            <w:vAlign w:val="center"/>
          </w:tcPr>
          <w:p w14:paraId="0A84D519">
            <w:pPr>
              <w:widowControl/>
              <w:adjustRightInd/>
              <w:spacing w:line="288" w:lineRule="auto"/>
              <w:jc w:val="center"/>
              <w:textAlignment w:val="top"/>
              <w:rPr>
                <w:rFonts w:ascii="宋体" w:hAnsi="宋体" w:cs="宋体"/>
                <w:color w:val="auto"/>
                <w:kern w:val="0"/>
                <w:sz w:val="24"/>
                <w:lang w:bidi="ar"/>
              </w:rPr>
            </w:pPr>
          </w:p>
        </w:tc>
        <w:tc>
          <w:tcPr>
            <w:tcW w:w="3981" w:type="pct"/>
            <w:vAlign w:val="center"/>
          </w:tcPr>
          <w:p w14:paraId="24EFD210">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3）</w:t>
            </w:r>
            <w:r>
              <w:rPr>
                <w:rFonts w:hint="eastAsia" w:ascii="宋体" w:hAnsi="宋体" w:cs="宋体"/>
                <w:color w:val="auto"/>
                <w:kern w:val="0"/>
                <w:sz w:val="24"/>
              </w:rPr>
              <w:t>需</w:t>
            </w:r>
            <w:r>
              <w:rPr>
                <w:rFonts w:hint="eastAsia" w:ascii="宋体" w:hAnsi="宋体" w:cs="宋体"/>
                <w:color w:val="auto"/>
                <w:kern w:val="0"/>
                <w:sz w:val="24"/>
                <w:lang w:bidi="ar"/>
              </w:rPr>
              <w:t>支持以条件树形式进行多级组合条件可视化筛选，组合条件之间支持 “and \or ”多层逻辑关系的嵌套组合。</w:t>
            </w:r>
          </w:p>
        </w:tc>
      </w:tr>
      <w:tr w14:paraId="20F49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continue"/>
            <w:vAlign w:val="center"/>
          </w:tcPr>
          <w:p w14:paraId="6A82F556">
            <w:pPr>
              <w:pStyle w:val="968"/>
              <w:widowControl w:val="0"/>
              <w:spacing w:line="288" w:lineRule="auto"/>
              <w:ind w:firstLine="0" w:firstLineChars="0"/>
              <w:jc w:val="center"/>
              <w:rPr>
                <w:rFonts w:cs="宋体"/>
                <w:color w:val="auto"/>
                <w:szCs w:val="24"/>
              </w:rPr>
            </w:pPr>
          </w:p>
        </w:tc>
        <w:tc>
          <w:tcPr>
            <w:tcW w:w="582" w:type="pct"/>
            <w:vMerge w:val="continue"/>
            <w:vAlign w:val="center"/>
          </w:tcPr>
          <w:p w14:paraId="3D0AD157">
            <w:pPr>
              <w:widowControl/>
              <w:adjustRightInd/>
              <w:spacing w:line="288" w:lineRule="auto"/>
              <w:jc w:val="center"/>
              <w:textAlignment w:val="top"/>
              <w:rPr>
                <w:rFonts w:ascii="宋体" w:hAnsi="宋体" w:cs="宋体"/>
                <w:color w:val="auto"/>
                <w:kern w:val="0"/>
                <w:sz w:val="24"/>
                <w:lang w:bidi="ar"/>
              </w:rPr>
            </w:pPr>
          </w:p>
        </w:tc>
        <w:tc>
          <w:tcPr>
            <w:tcW w:w="3981" w:type="pct"/>
            <w:vAlign w:val="center"/>
          </w:tcPr>
          <w:p w14:paraId="630DBC10">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4）</w:t>
            </w:r>
            <w:r>
              <w:rPr>
                <w:rFonts w:hint="eastAsia" w:ascii="宋体" w:hAnsi="宋体" w:cs="宋体"/>
                <w:color w:val="auto"/>
                <w:kern w:val="0"/>
                <w:sz w:val="24"/>
              </w:rPr>
              <w:t>需</w:t>
            </w:r>
            <w:r>
              <w:rPr>
                <w:rFonts w:hint="eastAsia" w:ascii="宋体" w:hAnsi="宋体" w:cs="宋体"/>
                <w:color w:val="auto"/>
                <w:kern w:val="0"/>
                <w:sz w:val="24"/>
                <w:lang w:bidi="ar"/>
              </w:rPr>
              <w:t>支持筛选条件在“纳入、排除”选项之间灵活切换。</w:t>
            </w:r>
          </w:p>
        </w:tc>
      </w:tr>
      <w:tr w14:paraId="690E8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continue"/>
            <w:vAlign w:val="center"/>
          </w:tcPr>
          <w:p w14:paraId="62CEDE1F">
            <w:pPr>
              <w:pStyle w:val="968"/>
              <w:widowControl w:val="0"/>
              <w:spacing w:line="288" w:lineRule="auto"/>
              <w:ind w:firstLine="0" w:firstLineChars="0"/>
              <w:jc w:val="center"/>
              <w:rPr>
                <w:rFonts w:cs="宋体"/>
                <w:color w:val="auto"/>
                <w:szCs w:val="24"/>
              </w:rPr>
            </w:pPr>
          </w:p>
        </w:tc>
        <w:tc>
          <w:tcPr>
            <w:tcW w:w="582" w:type="pct"/>
            <w:vMerge w:val="continue"/>
            <w:vAlign w:val="center"/>
          </w:tcPr>
          <w:p w14:paraId="352C26AD">
            <w:pPr>
              <w:widowControl/>
              <w:adjustRightInd/>
              <w:spacing w:line="288" w:lineRule="auto"/>
              <w:jc w:val="center"/>
              <w:textAlignment w:val="top"/>
              <w:rPr>
                <w:rFonts w:ascii="宋体" w:hAnsi="宋体" w:cs="宋体"/>
                <w:color w:val="auto"/>
                <w:kern w:val="0"/>
                <w:sz w:val="24"/>
                <w:lang w:bidi="ar"/>
              </w:rPr>
            </w:pPr>
          </w:p>
        </w:tc>
        <w:tc>
          <w:tcPr>
            <w:tcW w:w="3981" w:type="pct"/>
            <w:vAlign w:val="center"/>
          </w:tcPr>
          <w:p w14:paraId="79D48566">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5）</w:t>
            </w:r>
            <w:r>
              <w:rPr>
                <w:rFonts w:hint="eastAsia" w:ascii="宋体" w:hAnsi="宋体" w:cs="宋体"/>
                <w:color w:val="auto"/>
                <w:kern w:val="0"/>
                <w:sz w:val="24"/>
              </w:rPr>
              <w:t>需</w:t>
            </w:r>
            <w:r>
              <w:rPr>
                <w:rFonts w:hint="eastAsia" w:ascii="宋体" w:hAnsi="宋体" w:cs="宋体"/>
                <w:color w:val="auto"/>
                <w:kern w:val="0"/>
                <w:sz w:val="24"/>
                <w:lang w:bidi="ar"/>
              </w:rPr>
              <w:t>支持根据搜索记过实时计算命中的患者数，用户可即刻感知搜索效果，根据需要及时调整筛选条件。</w:t>
            </w:r>
          </w:p>
        </w:tc>
      </w:tr>
      <w:tr w14:paraId="591BE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continue"/>
            <w:shd w:val="clear" w:color="auto" w:fill="auto"/>
            <w:vAlign w:val="center"/>
          </w:tcPr>
          <w:p w14:paraId="6EB6D983">
            <w:pPr>
              <w:pStyle w:val="968"/>
              <w:widowControl w:val="0"/>
              <w:spacing w:line="288" w:lineRule="auto"/>
              <w:ind w:firstLine="0" w:firstLineChars="0"/>
              <w:jc w:val="center"/>
              <w:rPr>
                <w:rFonts w:cs="宋体"/>
                <w:color w:val="auto"/>
                <w:szCs w:val="24"/>
              </w:rPr>
            </w:pPr>
          </w:p>
        </w:tc>
        <w:tc>
          <w:tcPr>
            <w:tcW w:w="582" w:type="pct"/>
            <w:vMerge w:val="restart"/>
            <w:shd w:val="clear" w:color="auto" w:fill="auto"/>
            <w:vAlign w:val="center"/>
          </w:tcPr>
          <w:p w14:paraId="77C37969">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kern w:val="0"/>
                <w:sz w:val="24"/>
                <w:lang w:bidi="ar"/>
              </w:rPr>
              <w:t>事件-时间检索</w:t>
            </w:r>
          </w:p>
        </w:tc>
        <w:tc>
          <w:tcPr>
            <w:tcW w:w="3981" w:type="pct"/>
            <w:tcBorders>
              <w:top w:val="single" w:color="auto" w:sz="4" w:space="0"/>
              <w:left w:val="single" w:color="auto" w:sz="4" w:space="0"/>
              <w:bottom w:val="single" w:color="auto" w:sz="4" w:space="0"/>
              <w:right w:val="single" w:color="auto" w:sz="4" w:space="0"/>
            </w:tcBorders>
            <w:shd w:val="clear" w:color="000000" w:fill="FFFFFF"/>
            <w:vAlign w:val="center"/>
          </w:tcPr>
          <w:p w14:paraId="2115B70B">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1）</w:t>
            </w:r>
            <w:r>
              <w:rPr>
                <w:rFonts w:hint="eastAsia" w:ascii="宋体" w:hAnsi="宋体" w:cs="宋体"/>
                <w:color w:val="auto"/>
                <w:kern w:val="0"/>
                <w:sz w:val="24"/>
              </w:rPr>
              <w:t>需</w:t>
            </w:r>
            <w:r>
              <w:rPr>
                <w:rFonts w:hint="eastAsia" w:ascii="宋体" w:hAnsi="宋体" w:cs="宋体"/>
                <w:color w:val="auto"/>
                <w:kern w:val="0"/>
                <w:sz w:val="24"/>
                <w:lang w:bidi="ar"/>
              </w:rPr>
              <w:t>支持与条件筛选结合，进行“事件-时间”式筛选。</w:t>
            </w:r>
          </w:p>
        </w:tc>
      </w:tr>
      <w:tr w14:paraId="15293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continue"/>
            <w:shd w:val="clear" w:color="auto" w:fill="auto"/>
            <w:vAlign w:val="center"/>
          </w:tcPr>
          <w:p w14:paraId="1F1CD051">
            <w:pPr>
              <w:pStyle w:val="968"/>
              <w:widowControl w:val="0"/>
              <w:spacing w:line="288" w:lineRule="auto"/>
              <w:ind w:firstLine="0" w:firstLineChars="0"/>
              <w:jc w:val="center"/>
              <w:rPr>
                <w:rFonts w:cs="宋体"/>
                <w:color w:val="auto"/>
                <w:szCs w:val="24"/>
              </w:rPr>
            </w:pPr>
          </w:p>
        </w:tc>
        <w:tc>
          <w:tcPr>
            <w:tcW w:w="582" w:type="pct"/>
            <w:vMerge w:val="continue"/>
            <w:shd w:val="clear" w:color="auto" w:fill="auto"/>
            <w:vAlign w:val="center"/>
          </w:tcPr>
          <w:p w14:paraId="2F7073A4">
            <w:pPr>
              <w:widowControl/>
              <w:adjustRightInd/>
              <w:spacing w:line="288" w:lineRule="auto"/>
              <w:jc w:val="center"/>
              <w:textAlignment w:val="top"/>
              <w:rPr>
                <w:rFonts w:ascii="宋体" w:hAnsi="宋体" w:cs="宋体"/>
                <w:color w:val="auto"/>
                <w:kern w:val="0"/>
                <w:sz w:val="24"/>
                <w:lang w:bidi="ar"/>
              </w:rPr>
            </w:pPr>
          </w:p>
        </w:tc>
        <w:tc>
          <w:tcPr>
            <w:tcW w:w="3981" w:type="pct"/>
            <w:tcBorders>
              <w:top w:val="nil"/>
              <w:left w:val="single" w:color="auto" w:sz="4" w:space="0"/>
              <w:bottom w:val="single" w:color="auto" w:sz="4" w:space="0"/>
              <w:right w:val="single" w:color="auto" w:sz="4" w:space="0"/>
            </w:tcBorders>
            <w:shd w:val="clear" w:color="000000" w:fill="FFFFFF"/>
            <w:vAlign w:val="center"/>
          </w:tcPr>
          <w:p w14:paraId="0811279C">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2）</w:t>
            </w:r>
            <w:r>
              <w:rPr>
                <w:rFonts w:hint="eastAsia" w:ascii="宋体" w:hAnsi="宋体" w:cs="宋体"/>
                <w:color w:val="auto"/>
                <w:kern w:val="0"/>
                <w:sz w:val="24"/>
              </w:rPr>
              <w:t>需</w:t>
            </w:r>
            <w:r>
              <w:rPr>
                <w:rFonts w:hint="eastAsia" w:ascii="宋体" w:hAnsi="宋体" w:cs="宋体"/>
                <w:color w:val="auto"/>
                <w:kern w:val="0"/>
                <w:sz w:val="24"/>
                <w:lang w:bidi="ar"/>
              </w:rPr>
              <w:t>支持设置包括末次、每次、第一次至第十次，精确定义前、后时间范围。</w:t>
            </w:r>
          </w:p>
        </w:tc>
      </w:tr>
      <w:tr w14:paraId="67335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continue"/>
            <w:shd w:val="clear" w:color="auto" w:fill="auto"/>
            <w:vAlign w:val="center"/>
          </w:tcPr>
          <w:p w14:paraId="68D5F894">
            <w:pPr>
              <w:pStyle w:val="968"/>
              <w:widowControl w:val="0"/>
              <w:spacing w:line="288" w:lineRule="auto"/>
              <w:ind w:firstLine="0" w:firstLineChars="0"/>
              <w:jc w:val="center"/>
              <w:rPr>
                <w:rFonts w:cs="宋体"/>
                <w:color w:val="auto"/>
                <w:szCs w:val="24"/>
              </w:rPr>
            </w:pPr>
          </w:p>
        </w:tc>
        <w:tc>
          <w:tcPr>
            <w:tcW w:w="582" w:type="pct"/>
            <w:vMerge w:val="continue"/>
            <w:shd w:val="clear" w:color="auto" w:fill="auto"/>
            <w:vAlign w:val="center"/>
          </w:tcPr>
          <w:p w14:paraId="73AE4704">
            <w:pPr>
              <w:widowControl/>
              <w:adjustRightInd/>
              <w:spacing w:line="288" w:lineRule="auto"/>
              <w:jc w:val="center"/>
              <w:textAlignment w:val="top"/>
              <w:rPr>
                <w:rFonts w:ascii="宋体" w:hAnsi="宋体" w:cs="宋体"/>
                <w:color w:val="auto"/>
                <w:kern w:val="0"/>
                <w:sz w:val="24"/>
                <w:lang w:bidi="ar"/>
              </w:rPr>
            </w:pPr>
          </w:p>
        </w:tc>
        <w:tc>
          <w:tcPr>
            <w:tcW w:w="3981" w:type="pct"/>
            <w:tcBorders>
              <w:top w:val="nil"/>
              <w:left w:val="single" w:color="auto" w:sz="4" w:space="0"/>
              <w:bottom w:val="single" w:color="auto" w:sz="4" w:space="0"/>
              <w:right w:val="single" w:color="auto" w:sz="4" w:space="0"/>
            </w:tcBorders>
            <w:shd w:val="clear" w:color="000000" w:fill="FFFFFF"/>
            <w:vAlign w:val="center"/>
          </w:tcPr>
          <w:p w14:paraId="7FE74AF4">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3）</w:t>
            </w:r>
            <w:r>
              <w:rPr>
                <w:rFonts w:hint="eastAsia" w:ascii="宋体" w:hAnsi="宋体" w:cs="宋体"/>
                <w:color w:val="auto"/>
                <w:kern w:val="0"/>
                <w:sz w:val="24"/>
              </w:rPr>
              <w:t>需</w:t>
            </w:r>
            <w:r>
              <w:rPr>
                <w:rFonts w:hint="eastAsia" w:ascii="宋体" w:hAnsi="宋体" w:cs="宋体"/>
                <w:color w:val="auto"/>
                <w:kern w:val="0"/>
                <w:sz w:val="24"/>
                <w:lang w:bidi="ar"/>
              </w:rPr>
              <w:t>支持灵活配置时间范围内多个限定条件及其之间的关系。</w:t>
            </w:r>
          </w:p>
        </w:tc>
      </w:tr>
      <w:tr w14:paraId="48F82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continue"/>
            <w:shd w:val="clear" w:color="auto" w:fill="auto"/>
            <w:vAlign w:val="center"/>
          </w:tcPr>
          <w:p w14:paraId="38D2BC5C">
            <w:pPr>
              <w:pStyle w:val="968"/>
              <w:widowControl w:val="0"/>
              <w:spacing w:line="288" w:lineRule="auto"/>
              <w:ind w:firstLine="0" w:firstLineChars="0"/>
              <w:jc w:val="center"/>
              <w:rPr>
                <w:rFonts w:cs="宋体"/>
                <w:color w:val="auto"/>
                <w:szCs w:val="24"/>
              </w:rPr>
            </w:pPr>
          </w:p>
        </w:tc>
        <w:tc>
          <w:tcPr>
            <w:tcW w:w="582" w:type="pct"/>
            <w:vMerge w:val="continue"/>
            <w:shd w:val="clear" w:color="auto" w:fill="auto"/>
            <w:vAlign w:val="center"/>
          </w:tcPr>
          <w:p w14:paraId="0790DD35">
            <w:pPr>
              <w:widowControl/>
              <w:adjustRightInd/>
              <w:spacing w:line="288" w:lineRule="auto"/>
              <w:jc w:val="center"/>
              <w:textAlignment w:val="top"/>
              <w:rPr>
                <w:rFonts w:ascii="宋体" w:hAnsi="宋体" w:cs="宋体"/>
                <w:color w:val="auto"/>
                <w:kern w:val="0"/>
                <w:sz w:val="24"/>
                <w:lang w:bidi="ar"/>
              </w:rPr>
            </w:pPr>
          </w:p>
        </w:tc>
        <w:tc>
          <w:tcPr>
            <w:tcW w:w="3981" w:type="pct"/>
            <w:tcBorders>
              <w:top w:val="nil"/>
              <w:left w:val="single" w:color="auto" w:sz="4" w:space="0"/>
              <w:bottom w:val="single" w:color="auto" w:sz="4" w:space="0"/>
              <w:right w:val="single" w:color="auto" w:sz="4" w:space="0"/>
            </w:tcBorders>
            <w:shd w:val="clear" w:color="000000" w:fill="FFFFFF"/>
            <w:vAlign w:val="center"/>
          </w:tcPr>
          <w:p w14:paraId="5B82EE2E">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4）</w:t>
            </w:r>
            <w:r>
              <w:rPr>
                <w:rFonts w:hint="eastAsia" w:ascii="宋体" w:hAnsi="宋体" w:cs="宋体"/>
                <w:color w:val="auto"/>
                <w:kern w:val="0"/>
                <w:sz w:val="24"/>
              </w:rPr>
              <w:t>需</w:t>
            </w:r>
            <w:r>
              <w:rPr>
                <w:rFonts w:hint="eastAsia" w:ascii="宋体" w:hAnsi="宋体" w:cs="宋体"/>
                <w:color w:val="auto"/>
                <w:kern w:val="0"/>
                <w:sz w:val="24"/>
                <w:lang w:bidi="ar"/>
              </w:rPr>
              <w:t>支持定义事件在时间范围内发生的次数。</w:t>
            </w:r>
          </w:p>
        </w:tc>
      </w:tr>
      <w:tr w14:paraId="7EACB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continue"/>
            <w:vAlign w:val="center"/>
          </w:tcPr>
          <w:p w14:paraId="744FBF0A">
            <w:pPr>
              <w:pStyle w:val="968"/>
              <w:widowControl w:val="0"/>
              <w:spacing w:line="288" w:lineRule="auto"/>
              <w:ind w:firstLine="0" w:firstLineChars="0"/>
              <w:jc w:val="center"/>
              <w:rPr>
                <w:rFonts w:cs="宋体"/>
                <w:color w:val="auto"/>
                <w:szCs w:val="24"/>
              </w:rPr>
            </w:pPr>
          </w:p>
        </w:tc>
        <w:tc>
          <w:tcPr>
            <w:tcW w:w="582" w:type="pct"/>
            <w:vAlign w:val="center"/>
          </w:tcPr>
          <w:p w14:paraId="3260D978">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kern w:val="0"/>
                <w:sz w:val="24"/>
                <w:lang w:bidi="ar"/>
              </w:rPr>
              <w:t>患者号精确搜索</w:t>
            </w:r>
          </w:p>
        </w:tc>
        <w:tc>
          <w:tcPr>
            <w:tcW w:w="3981" w:type="pct"/>
            <w:vAlign w:val="center"/>
          </w:tcPr>
          <w:p w14:paraId="4883ADBB">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rPr>
              <w:t>需</w:t>
            </w:r>
            <w:r>
              <w:rPr>
                <w:rFonts w:hint="eastAsia" w:ascii="宋体" w:hAnsi="宋体" w:cs="宋体"/>
                <w:color w:val="auto"/>
                <w:kern w:val="0"/>
                <w:sz w:val="24"/>
                <w:lang w:bidi="ar"/>
              </w:rPr>
              <w:t>支持使用患者号、就诊号、住院号、门诊号、病案号进行批量精确搜索。</w:t>
            </w:r>
          </w:p>
        </w:tc>
      </w:tr>
      <w:tr w14:paraId="65B13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restart"/>
            <w:vAlign w:val="center"/>
          </w:tcPr>
          <w:p w14:paraId="41F48437">
            <w:pPr>
              <w:pStyle w:val="968"/>
              <w:widowControl w:val="0"/>
              <w:spacing w:line="288" w:lineRule="auto"/>
              <w:ind w:firstLine="0" w:firstLineChars="0"/>
              <w:jc w:val="center"/>
              <w:rPr>
                <w:rFonts w:cs="宋体"/>
                <w:color w:val="auto"/>
                <w:szCs w:val="24"/>
              </w:rPr>
            </w:pPr>
            <w:r>
              <w:rPr>
                <w:rFonts w:hint="eastAsia" w:cs="宋体"/>
                <w:color w:val="auto"/>
                <w:szCs w:val="24"/>
              </w:rPr>
              <w:t>灵感发现</w:t>
            </w:r>
          </w:p>
        </w:tc>
        <w:tc>
          <w:tcPr>
            <w:tcW w:w="582" w:type="pct"/>
            <w:vMerge w:val="restart"/>
            <w:vAlign w:val="center"/>
          </w:tcPr>
          <w:p w14:paraId="5C8110C3">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kern w:val="0"/>
                <w:sz w:val="24"/>
                <w:lang w:bidi="ar"/>
              </w:rPr>
              <w:t>主题</w:t>
            </w:r>
          </w:p>
          <w:p w14:paraId="5E6D006D">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kern w:val="0"/>
                <w:sz w:val="24"/>
                <w:lang w:bidi="ar"/>
              </w:rPr>
              <w:t>管理</w:t>
            </w:r>
          </w:p>
        </w:tc>
        <w:tc>
          <w:tcPr>
            <w:tcW w:w="3981" w:type="pct"/>
            <w:vAlign w:val="center"/>
          </w:tcPr>
          <w:p w14:paraId="16B62B8B">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1）</w:t>
            </w:r>
            <w:r>
              <w:rPr>
                <w:rFonts w:hint="eastAsia" w:ascii="宋体" w:hAnsi="宋体" w:cs="宋体"/>
                <w:color w:val="auto"/>
                <w:kern w:val="0"/>
                <w:sz w:val="24"/>
              </w:rPr>
              <w:t>需</w:t>
            </w:r>
            <w:r>
              <w:rPr>
                <w:rFonts w:hint="eastAsia" w:ascii="宋体" w:hAnsi="宋体" w:cs="宋体"/>
                <w:color w:val="auto"/>
                <w:kern w:val="0"/>
                <w:sz w:val="24"/>
                <w:lang w:bidi="ar"/>
              </w:rPr>
              <w:t>支持新增、修改、复制、删除灵感发现主题。</w:t>
            </w:r>
          </w:p>
        </w:tc>
      </w:tr>
      <w:tr w14:paraId="28368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continue"/>
            <w:vAlign w:val="center"/>
          </w:tcPr>
          <w:p w14:paraId="5A27F97F">
            <w:pPr>
              <w:pStyle w:val="968"/>
              <w:widowControl w:val="0"/>
              <w:spacing w:line="288" w:lineRule="auto"/>
              <w:ind w:firstLine="0" w:firstLineChars="0"/>
              <w:jc w:val="center"/>
              <w:rPr>
                <w:rFonts w:cs="宋体"/>
                <w:color w:val="auto"/>
                <w:szCs w:val="24"/>
              </w:rPr>
            </w:pPr>
          </w:p>
        </w:tc>
        <w:tc>
          <w:tcPr>
            <w:tcW w:w="582" w:type="pct"/>
            <w:vMerge w:val="continue"/>
            <w:vAlign w:val="center"/>
          </w:tcPr>
          <w:p w14:paraId="4A9B5E3E">
            <w:pPr>
              <w:widowControl/>
              <w:adjustRightInd/>
              <w:spacing w:line="288" w:lineRule="auto"/>
              <w:jc w:val="center"/>
              <w:textAlignment w:val="top"/>
              <w:rPr>
                <w:rFonts w:ascii="宋体" w:hAnsi="宋体" w:cs="宋体"/>
                <w:color w:val="auto"/>
                <w:kern w:val="0"/>
                <w:sz w:val="24"/>
                <w:lang w:bidi="ar"/>
              </w:rPr>
            </w:pPr>
          </w:p>
        </w:tc>
        <w:tc>
          <w:tcPr>
            <w:tcW w:w="3981" w:type="pct"/>
            <w:vAlign w:val="center"/>
          </w:tcPr>
          <w:p w14:paraId="457B59F3">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2）</w:t>
            </w:r>
            <w:r>
              <w:rPr>
                <w:rFonts w:hint="eastAsia" w:ascii="宋体" w:hAnsi="宋体" w:cs="宋体"/>
                <w:color w:val="auto"/>
                <w:kern w:val="0"/>
                <w:sz w:val="24"/>
              </w:rPr>
              <w:t>需</w:t>
            </w:r>
            <w:r>
              <w:rPr>
                <w:rFonts w:hint="eastAsia" w:ascii="宋体" w:hAnsi="宋体" w:cs="宋体"/>
                <w:color w:val="auto"/>
                <w:kern w:val="0"/>
                <w:sz w:val="24"/>
                <w:lang w:bidi="ar"/>
              </w:rPr>
              <w:t>支持以指标搜索和勾选方式，便捷设灵感发现的数据模块，并可自定义设置指标的值域。</w:t>
            </w:r>
          </w:p>
        </w:tc>
      </w:tr>
      <w:tr w14:paraId="36687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continue"/>
            <w:vAlign w:val="center"/>
          </w:tcPr>
          <w:p w14:paraId="4F21A227">
            <w:pPr>
              <w:pStyle w:val="968"/>
              <w:widowControl w:val="0"/>
              <w:spacing w:line="288" w:lineRule="auto"/>
              <w:ind w:firstLine="0" w:firstLineChars="0"/>
              <w:jc w:val="center"/>
              <w:rPr>
                <w:rFonts w:cs="宋体"/>
                <w:color w:val="auto"/>
                <w:szCs w:val="24"/>
              </w:rPr>
            </w:pPr>
          </w:p>
        </w:tc>
        <w:tc>
          <w:tcPr>
            <w:tcW w:w="582" w:type="pct"/>
            <w:vMerge w:val="continue"/>
            <w:vAlign w:val="center"/>
          </w:tcPr>
          <w:p w14:paraId="58568197">
            <w:pPr>
              <w:widowControl/>
              <w:adjustRightInd/>
              <w:spacing w:line="288" w:lineRule="auto"/>
              <w:jc w:val="center"/>
              <w:textAlignment w:val="top"/>
              <w:rPr>
                <w:rFonts w:ascii="宋体" w:hAnsi="宋体" w:cs="宋体"/>
                <w:color w:val="auto"/>
                <w:kern w:val="0"/>
                <w:sz w:val="24"/>
                <w:lang w:bidi="ar"/>
              </w:rPr>
            </w:pPr>
          </w:p>
        </w:tc>
        <w:tc>
          <w:tcPr>
            <w:tcW w:w="3981" w:type="pct"/>
            <w:vAlign w:val="center"/>
          </w:tcPr>
          <w:p w14:paraId="09B66C61">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3）</w:t>
            </w:r>
            <w:r>
              <w:rPr>
                <w:rFonts w:hint="eastAsia" w:ascii="宋体" w:hAnsi="宋体" w:cs="宋体"/>
                <w:color w:val="auto"/>
                <w:kern w:val="0"/>
                <w:sz w:val="24"/>
              </w:rPr>
              <w:t>需</w:t>
            </w:r>
            <w:r>
              <w:rPr>
                <w:rFonts w:hint="eastAsia" w:ascii="宋体" w:hAnsi="宋体" w:cs="宋体"/>
                <w:color w:val="auto"/>
                <w:kern w:val="0"/>
                <w:sz w:val="24"/>
                <w:lang w:bidi="ar"/>
              </w:rPr>
              <w:t>支持根据选择的数据指标生成桑基图，以可视化的方式查看各指标的数据关联情况。</w:t>
            </w:r>
          </w:p>
        </w:tc>
      </w:tr>
      <w:tr w14:paraId="5FBB6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continue"/>
            <w:vAlign w:val="center"/>
          </w:tcPr>
          <w:p w14:paraId="6075FB74">
            <w:pPr>
              <w:pStyle w:val="968"/>
              <w:widowControl w:val="0"/>
              <w:spacing w:line="288" w:lineRule="auto"/>
              <w:ind w:firstLine="0" w:firstLineChars="0"/>
              <w:jc w:val="center"/>
              <w:rPr>
                <w:rFonts w:cs="宋体"/>
                <w:color w:val="auto"/>
                <w:szCs w:val="24"/>
              </w:rPr>
            </w:pPr>
          </w:p>
        </w:tc>
        <w:tc>
          <w:tcPr>
            <w:tcW w:w="582" w:type="pct"/>
            <w:vMerge w:val="restart"/>
            <w:vAlign w:val="center"/>
          </w:tcPr>
          <w:p w14:paraId="293C7A0B">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kern w:val="0"/>
                <w:sz w:val="24"/>
                <w:lang w:bidi="ar"/>
              </w:rPr>
              <w:t>搜索</w:t>
            </w:r>
          </w:p>
          <w:p w14:paraId="1022B6DD">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kern w:val="0"/>
                <w:sz w:val="24"/>
                <w:lang w:bidi="ar"/>
              </w:rPr>
              <w:t>管理</w:t>
            </w:r>
          </w:p>
        </w:tc>
        <w:tc>
          <w:tcPr>
            <w:tcW w:w="3981" w:type="pct"/>
            <w:vAlign w:val="center"/>
          </w:tcPr>
          <w:p w14:paraId="1ECDFEF9">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sz w:val="24"/>
              </w:rPr>
              <w:t>▲</w:t>
            </w:r>
            <w:r>
              <w:rPr>
                <w:rFonts w:hint="eastAsia" w:ascii="宋体" w:hAnsi="宋体" w:cs="宋体"/>
                <w:color w:val="auto"/>
                <w:kern w:val="0"/>
                <w:sz w:val="24"/>
                <w:lang w:bidi="ar"/>
              </w:rPr>
              <w:t>1）</w:t>
            </w:r>
            <w:r>
              <w:rPr>
                <w:rFonts w:hint="eastAsia" w:ascii="宋体" w:hAnsi="宋体" w:cs="宋体"/>
                <w:color w:val="auto"/>
                <w:kern w:val="0"/>
                <w:sz w:val="24"/>
              </w:rPr>
              <w:t>需</w:t>
            </w:r>
            <w:r>
              <w:rPr>
                <w:rFonts w:hint="eastAsia" w:ascii="宋体" w:hAnsi="宋体" w:cs="宋体"/>
                <w:color w:val="auto"/>
                <w:kern w:val="0"/>
                <w:sz w:val="24"/>
                <w:lang w:bidi="ar"/>
              </w:rPr>
              <w:t>支持桑基图数据指标一键自动转化为条件树搜索内容，便捷筛选符合条件的患者数据。</w:t>
            </w:r>
            <w:r>
              <w:rPr>
                <w:rFonts w:hint="eastAsia" w:ascii="宋体" w:hAnsi="宋体" w:cs="宋体"/>
                <w:color w:val="auto"/>
                <w:kern w:val="0"/>
                <w:sz w:val="24"/>
                <w:lang w:bidi="ar"/>
              </w:rPr>
              <w:br w:type="textWrapping"/>
            </w:r>
            <w:r>
              <w:rPr>
                <w:rFonts w:hint="eastAsia" w:ascii="宋体" w:hAnsi="宋体" w:cs="宋体"/>
                <w:b/>
                <w:bCs/>
                <w:color w:val="auto"/>
                <w:kern w:val="0"/>
                <w:sz w:val="24"/>
                <w:lang w:bidi="ar"/>
              </w:rPr>
              <w:t>注：投标人须在投标文件中提供相关证明截图材料作为佐证，未提供或无法证明的本项即为负偏离。</w:t>
            </w:r>
          </w:p>
        </w:tc>
      </w:tr>
      <w:tr w14:paraId="00B72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continue"/>
            <w:vAlign w:val="center"/>
          </w:tcPr>
          <w:p w14:paraId="32DBBBC9">
            <w:pPr>
              <w:pStyle w:val="968"/>
              <w:widowControl w:val="0"/>
              <w:spacing w:line="288" w:lineRule="auto"/>
              <w:ind w:firstLine="0" w:firstLineChars="0"/>
              <w:jc w:val="center"/>
              <w:rPr>
                <w:rFonts w:cs="宋体"/>
                <w:color w:val="auto"/>
                <w:szCs w:val="24"/>
              </w:rPr>
            </w:pPr>
          </w:p>
        </w:tc>
        <w:tc>
          <w:tcPr>
            <w:tcW w:w="582" w:type="pct"/>
            <w:vMerge w:val="continue"/>
            <w:vAlign w:val="center"/>
          </w:tcPr>
          <w:p w14:paraId="32BFDB92">
            <w:pPr>
              <w:widowControl/>
              <w:adjustRightInd/>
              <w:spacing w:line="288" w:lineRule="auto"/>
              <w:jc w:val="center"/>
              <w:textAlignment w:val="top"/>
              <w:rPr>
                <w:rFonts w:ascii="宋体" w:hAnsi="宋体" w:cs="宋体"/>
                <w:color w:val="auto"/>
                <w:kern w:val="0"/>
                <w:sz w:val="24"/>
                <w:lang w:bidi="ar"/>
              </w:rPr>
            </w:pPr>
          </w:p>
        </w:tc>
        <w:tc>
          <w:tcPr>
            <w:tcW w:w="3981" w:type="pct"/>
            <w:vAlign w:val="center"/>
          </w:tcPr>
          <w:p w14:paraId="055749CF">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2）</w:t>
            </w:r>
            <w:r>
              <w:rPr>
                <w:rFonts w:hint="eastAsia" w:ascii="宋体" w:hAnsi="宋体" w:cs="宋体"/>
                <w:color w:val="auto"/>
                <w:kern w:val="0"/>
                <w:sz w:val="24"/>
              </w:rPr>
              <w:t>需</w:t>
            </w:r>
            <w:r>
              <w:rPr>
                <w:rFonts w:hint="eastAsia" w:ascii="宋体" w:hAnsi="宋体" w:cs="宋体"/>
                <w:color w:val="auto"/>
                <w:kern w:val="0"/>
                <w:sz w:val="24"/>
                <w:lang w:bidi="ar"/>
              </w:rPr>
              <w:t>支持桑基图数据指标分级转化条件树搜索内容。</w:t>
            </w:r>
          </w:p>
        </w:tc>
      </w:tr>
      <w:tr w14:paraId="7AAD8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restart"/>
            <w:vAlign w:val="center"/>
          </w:tcPr>
          <w:p w14:paraId="0E8141A6">
            <w:pPr>
              <w:pStyle w:val="968"/>
              <w:widowControl w:val="0"/>
              <w:spacing w:line="288" w:lineRule="auto"/>
              <w:ind w:firstLine="0" w:firstLineChars="0"/>
              <w:jc w:val="center"/>
              <w:rPr>
                <w:rFonts w:cs="宋体"/>
                <w:color w:val="auto"/>
                <w:szCs w:val="24"/>
              </w:rPr>
            </w:pPr>
            <w:bookmarkStart w:id="38" w:name="_Hlk174609470"/>
            <w:r>
              <w:rPr>
                <w:rFonts w:hint="eastAsia" w:cs="宋体"/>
                <w:color w:val="auto"/>
                <w:szCs w:val="24"/>
              </w:rPr>
              <w:t>回顾性人群队列科研项目</w:t>
            </w:r>
          </w:p>
        </w:tc>
        <w:tc>
          <w:tcPr>
            <w:tcW w:w="582" w:type="pct"/>
            <w:vMerge w:val="restart"/>
            <w:vAlign w:val="center"/>
          </w:tcPr>
          <w:p w14:paraId="0FC024CC">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sz w:val="24"/>
              </w:rPr>
              <w:t>研究队列管理</w:t>
            </w:r>
          </w:p>
        </w:tc>
        <w:tc>
          <w:tcPr>
            <w:tcW w:w="3981" w:type="pct"/>
            <w:vAlign w:val="center"/>
          </w:tcPr>
          <w:p w14:paraId="59505A85">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1）</w:t>
            </w:r>
            <w:r>
              <w:rPr>
                <w:rFonts w:hint="eastAsia" w:ascii="宋体" w:hAnsi="宋体" w:cs="宋体"/>
                <w:color w:val="auto"/>
                <w:kern w:val="0"/>
                <w:sz w:val="24"/>
              </w:rPr>
              <w:t>需</w:t>
            </w:r>
            <w:r>
              <w:rPr>
                <w:rFonts w:hint="eastAsia" w:ascii="宋体" w:hAnsi="宋体" w:cs="宋体"/>
                <w:color w:val="auto"/>
                <w:kern w:val="0"/>
                <w:sz w:val="24"/>
                <w:lang w:bidi="ar"/>
              </w:rPr>
              <w:t>支持以条件筛选和患者ID的搜索方式筛选符合入组的患者，并将搜索出的患者作为队列保存进项目。</w:t>
            </w:r>
          </w:p>
        </w:tc>
      </w:tr>
      <w:tr w14:paraId="2FB12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continue"/>
            <w:vAlign w:val="center"/>
          </w:tcPr>
          <w:p w14:paraId="6F68CD51">
            <w:pPr>
              <w:pStyle w:val="968"/>
              <w:widowControl w:val="0"/>
              <w:spacing w:line="288" w:lineRule="auto"/>
              <w:ind w:firstLine="0" w:firstLineChars="0"/>
              <w:jc w:val="center"/>
              <w:rPr>
                <w:rFonts w:cs="宋体"/>
                <w:color w:val="auto"/>
                <w:szCs w:val="24"/>
              </w:rPr>
            </w:pPr>
          </w:p>
        </w:tc>
        <w:tc>
          <w:tcPr>
            <w:tcW w:w="582" w:type="pct"/>
            <w:vMerge w:val="continue"/>
            <w:vAlign w:val="center"/>
          </w:tcPr>
          <w:p w14:paraId="22998627">
            <w:pPr>
              <w:widowControl/>
              <w:adjustRightInd/>
              <w:spacing w:line="288" w:lineRule="auto"/>
              <w:jc w:val="center"/>
              <w:textAlignment w:val="top"/>
              <w:rPr>
                <w:rFonts w:ascii="宋体" w:hAnsi="宋体" w:cs="宋体"/>
                <w:color w:val="auto"/>
                <w:kern w:val="0"/>
                <w:sz w:val="24"/>
                <w:lang w:bidi="ar"/>
              </w:rPr>
            </w:pPr>
          </w:p>
        </w:tc>
        <w:tc>
          <w:tcPr>
            <w:tcW w:w="3981" w:type="pct"/>
            <w:vAlign w:val="center"/>
          </w:tcPr>
          <w:p w14:paraId="76BC4508">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2）</w:t>
            </w:r>
            <w:r>
              <w:rPr>
                <w:rFonts w:hint="eastAsia" w:ascii="宋体" w:hAnsi="宋体" w:cs="宋体"/>
                <w:color w:val="auto"/>
                <w:kern w:val="0"/>
                <w:sz w:val="24"/>
              </w:rPr>
              <w:t>需</w:t>
            </w:r>
            <w:r>
              <w:rPr>
                <w:rFonts w:hint="eastAsia" w:ascii="宋体" w:hAnsi="宋体" w:cs="宋体"/>
                <w:color w:val="auto"/>
                <w:kern w:val="0"/>
                <w:sz w:val="24"/>
                <w:lang w:bidi="ar"/>
              </w:rPr>
              <w:t>支持查看和调整队列对应的筛选条件，根据修改的后筛选结果更新研究数据，并提供增了更新和覆盖更新两种模式。</w:t>
            </w:r>
          </w:p>
        </w:tc>
      </w:tr>
      <w:tr w14:paraId="1A68D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continue"/>
            <w:vAlign w:val="center"/>
          </w:tcPr>
          <w:p w14:paraId="3B167FF5">
            <w:pPr>
              <w:pStyle w:val="968"/>
              <w:widowControl w:val="0"/>
              <w:spacing w:line="288" w:lineRule="auto"/>
              <w:ind w:firstLine="0" w:firstLineChars="0"/>
              <w:jc w:val="center"/>
              <w:rPr>
                <w:rFonts w:cs="宋体"/>
                <w:color w:val="auto"/>
                <w:szCs w:val="24"/>
              </w:rPr>
            </w:pPr>
          </w:p>
        </w:tc>
        <w:tc>
          <w:tcPr>
            <w:tcW w:w="582" w:type="pct"/>
            <w:vMerge w:val="restart"/>
            <w:vAlign w:val="center"/>
          </w:tcPr>
          <w:p w14:paraId="6937A262">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sz w:val="24"/>
              </w:rPr>
              <w:t>研究变量设置与管理</w:t>
            </w:r>
          </w:p>
        </w:tc>
        <w:tc>
          <w:tcPr>
            <w:tcW w:w="3981" w:type="pct"/>
            <w:vAlign w:val="center"/>
          </w:tcPr>
          <w:p w14:paraId="165D7547">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1）</w:t>
            </w:r>
            <w:r>
              <w:rPr>
                <w:rFonts w:hint="eastAsia" w:ascii="宋体" w:hAnsi="宋体" w:cs="宋体"/>
                <w:color w:val="auto"/>
                <w:kern w:val="0"/>
                <w:sz w:val="24"/>
              </w:rPr>
              <w:t>需</w:t>
            </w:r>
            <w:r>
              <w:rPr>
                <w:rFonts w:hint="eastAsia" w:ascii="宋体" w:hAnsi="宋体" w:cs="宋体"/>
                <w:color w:val="auto"/>
                <w:kern w:val="0"/>
                <w:sz w:val="24"/>
                <w:lang w:bidi="ar"/>
              </w:rPr>
              <w:t>支持创建和管理多个变量组。用户可以从预设的结构化选项中选择变量作为变量组下的研究变量，并允许自定义变量组名称。</w:t>
            </w:r>
          </w:p>
        </w:tc>
      </w:tr>
      <w:tr w14:paraId="3DB83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continue"/>
            <w:vAlign w:val="center"/>
          </w:tcPr>
          <w:p w14:paraId="43577F93">
            <w:pPr>
              <w:pStyle w:val="968"/>
              <w:widowControl w:val="0"/>
              <w:spacing w:line="288" w:lineRule="auto"/>
              <w:ind w:firstLine="0" w:firstLineChars="0"/>
              <w:jc w:val="center"/>
              <w:rPr>
                <w:rFonts w:cs="宋体"/>
                <w:color w:val="auto"/>
                <w:szCs w:val="24"/>
              </w:rPr>
            </w:pPr>
          </w:p>
        </w:tc>
        <w:tc>
          <w:tcPr>
            <w:tcW w:w="582" w:type="pct"/>
            <w:vMerge w:val="continue"/>
            <w:vAlign w:val="center"/>
          </w:tcPr>
          <w:p w14:paraId="0EC60512">
            <w:pPr>
              <w:widowControl/>
              <w:adjustRightInd/>
              <w:spacing w:line="288" w:lineRule="auto"/>
              <w:jc w:val="center"/>
              <w:textAlignment w:val="top"/>
              <w:rPr>
                <w:rFonts w:ascii="宋体" w:hAnsi="宋体" w:cs="宋体"/>
                <w:color w:val="auto"/>
                <w:kern w:val="0"/>
                <w:sz w:val="24"/>
                <w:lang w:bidi="ar"/>
              </w:rPr>
            </w:pPr>
          </w:p>
        </w:tc>
        <w:tc>
          <w:tcPr>
            <w:tcW w:w="3981" w:type="pct"/>
            <w:vAlign w:val="center"/>
          </w:tcPr>
          <w:p w14:paraId="5DBD2EC5">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2）</w:t>
            </w:r>
            <w:r>
              <w:rPr>
                <w:rFonts w:hint="eastAsia" w:ascii="宋体" w:hAnsi="宋体" w:cs="宋体"/>
                <w:color w:val="auto"/>
                <w:kern w:val="0"/>
                <w:sz w:val="24"/>
              </w:rPr>
              <w:t>需</w:t>
            </w:r>
            <w:r>
              <w:rPr>
                <w:rFonts w:hint="eastAsia" w:ascii="宋体" w:hAnsi="宋体" w:cs="宋体"/>
                <w:color w:val="auto"/>
                <w:kern w:val="0"/>
                <w:sz w:val="24"/>
                <w:lang w:bidi="ar"/>
              </w:rPr>
              <w:t>支持设置研究变量的降维规则，如首次、第二次至第十次、末次、最近一次等。根据这些规则和设定的基线时间，系统将自动从数据库中抽取并填充数据，并展示其填充率。</w:t>
            </w:r>
          </w:p>
        </w:tc>
      </w:tr>
      <w:tr w14:paraId="66B61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continue"/>
            <w:vAlign w:val="center"/>
          </w:tcPr>
          <w:p w14:paraId="5EBD330A">
            <w:pPr>
              <w:pStyle w:val="968"/>
              <w:widowControl w:val="0"/>
              <w:spacing w:line="288" w:lineRule="auto"/>
              <w:ind w:firstLine="0" w:firstLineChars="0"/>
              <w:jc w:val="center"/>
              <w:rPr>
                <w:rFonts w:cs="宋体"/>
                <w:color w:val="auto"/>
                <w:szCs w:val="24"/>
              </w:rPr>
            </w:pPr>
          </w:p>
        </w:tc>
        <w:tc>
          <w:tcPr>
            <w:tcW w:w="582" w:type="pct"/>
            <w:vMerge w:val="continue"/>
            <w:vAlign w:val="center"/>
          </w:tcPr>
          <w:p w14:paraId="1B5BF860">
            <w:pPr>
              <w:widowControl/>
              <w:adjustRightInd/>
              <w:spacing w:line="288" w:lineRule="auto"/>
              <w:jc w:val="center"/>
              <w:textAlignment w:val="top"/>
              <w:rPr>
                <w:rFonts w:ascii="宋体" w:hAnsi="宋体" w:cs="宋体"/>
                <w:color w:val="auto"/>
                <w:kern w:val="0"/>
                <w:sz w:val="24"/>
                <w:lang w:bidi="ar"/>
              </w:rPr>
            </w:pPr>
          </w:p>
        </w:tc>
        <w:tc>
          <w:tcPr>
            <w:tcW w:w="3981" w:type="pct"/>
            <w:vAlign w:val="center"/>
          </w:tcPr>
          <w:p w14:paraId="32544A60">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3）</w:t>
            </w:r>
            <w:r>
              <w:rPr>
                <w:rFonts w:hint="eastAsia" w:ascii="宋体" w:hAnsi="宋体" w:cs="宋体"/>
                <w:color w:val="auto"/>
                <w:kern w:val="0"/>
                <w:sz w:val="24"/>
              </w:rPr>
              <w:t>需</w:t>
            </w:r>
            <w:r>
              <w:rPr>
                <w:rFonts w:hint="eastAsia" w:ascii="宋体" w:hAnsi="宋体" w:cs="宋体"/>
                <w:color w:val="auto"/>
                <w:kern w:val="0"/>
                <w:sz w:val="24"/>
                <w:lang w:bidi="ar"/>
              </w:rPr>
              <w:t>支持用户自定义添加指标，可设置指标的默认规则，比如默认值、备选值等。</w:t>
            </w:r>
          </w:p>
        </w:tc>
      </w:tr>
      <w:tr w14:paraId="67EC7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continue"/>
            <w:vAlign w:val="center"/>
          </w:tcPr>
          <w:p w14:paraId="722A16A5">
            <w:pPr>
              <w:pStyle w:val="968"/>
              <w:widowControl w:val="0"/>
              <w:spacing w:line="288" w:lineRule="auto"/>
              <w:ind w:firstLine="0" w:firstLineChars="0"/>
              <w:jc w:val="center"/>
              <w:rPr>
                <w:rFonts w:cs="宋体"/>
                <w:color w:val="auto"/>
                <w:szCs w:val="24"/>
              </w:rPr>
            </w:pPr>
          </w:p>
        </w:tc>
        <w:tc>
          <w:tcPr>
            <w:tcW w:w="582" w:type="pct"/>
            <w:vMerge w:val="continue"/>
            <w:vAlign w:val="center"/>
          </w:tcPr>
          <w:p w14:paraId="53B39F31">
            <w:pPr>
              <w:widowControl/>
              <w:adjustRightInd/>
              <w:spacing w:line="288" w:lineRule="auto"/>
              <w:jc w:val="center"/>
              <w:textAlignment w:val="top"/>
              <w:rPr>
                <w:rFonts w:ascii="宋体" w:hAnsi="宋体" w:cs="宋体"/>
                <w:color w:val="auto"/>
                <w:kern w:val="0"/>
                <w:sz w:val="24"/>
                <w:lang w:bidi="ar"/>
              </w:rPr>
            </w:pPr>
          </w:p>
        </w:tc>
        <w:tc>
          <w:tcPr>
            <w:tcW w:w="3981" w:type="pct"/>
            <w:vAlign w:val="center"/>
          </w:tcPr>
          <w:p w14:paraId="2CEF0055">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4）</w:t>
            </w:r>
            <w:r>
              <w:rPr>
                <w:rFonts w:hint="eastAsia" w:ascii="宋体" w:hAnsi="宋体" w:cs="宋体"/>
                <w:color w:val="auto"/>
                <w:kern w:val="0"/>
                <w:sz w:val="24"/>
              </w:rPr>
              <w:t>需</w:t>
            </w:r>
            <w:r>
              <w:rPr>
                <w:rFonts w:hint="eastAsia" w:ascii="宋体" w:hAnsi="宋体" w:cs="宋体"/>
                <w:color w:val="auto"/>
                <w:kern w:val="0"/>
                <w:sz w:val="24"/>
                <w:lang w:bidi="ar"/>
              </w:rPr>
              <w:t>支持研究指标可视化点选拖拽排序，保存后指标排序规则即可更新在数据列表中。</w:t>
            </w:r>
          </w:p>
        </w:tc>
      </w:tr>
      <w:tr w14:paraId="7C05A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continue"/>
            <w:shd w:val="clear" w:color="auto" w:fill="auto"/>
            <w:vAlign w:val="center"/>
          </w:tcPr>
          <w:p w14:paraId="75543C94">
            <w:pPr>
              <w:pStyle w:val="968"/>
              <w:widowControl w:val="0"/>
              <w:spacing w:line="288" w:lineRule="auto"/>
              <w:ind w:firstLine="0" w:firstLineChars="0"/>
              <w:jc w:val="center"/>
              <w:rPr>
                <w:rFonts w:cs="宋体"/>
                <w:color w:val="auto"/>
                <w:szCs w:val="24"/>
              </w:rPr>
            </w:pPr>
          </w:p>
        </w:tc>
        <w:tc>
          <w:tcPr>
            <w:tcW w:w="582" w:type="pct"/>
            <w:vMerge w:val="restart"/>
            <w:shd w:val="clear" w:color="auto" w:fill="auto"/>
            <w:vAlign w:val="center"/>
          </w:tcPr>
          <w:p w14:paraId="3BA5026F">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sz w:val="24"/>
              </w:rPr>
              <w:t>数据修改与导入</w:t>
            </w:r>
          </w:p>
        </w:tc>
        <w:tc>
          <w:tcPr>
            <w:tcW w:w="3981" w:type="pct"/>
            <w:tcBorders>
              <w:top w:val="single" w:color="auto" w:sz="4" w:space="0"/>
              <w:left w:val="single" w:color="auto" w:sz="4" w:space="0"/>
              <w:bottom w:val="single" w:color="auto" w:sz="4" w:space="0"/>
              <w:right w:val="single" w:color="auto" w:sz="4" w:space="0"/>
            </w:tcBorders>
            <w:shd w:val="clear" w:color="000000" w:fill="FFFFFF"/>
            <w:vAlign w:val="center"/>
          </w:tcPr>
          <w:p w14:paraId="445B4227">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1）</w:t>
            </w:r>
            <w:r>
              <w:rPr>
                <w:rFonts w:hint="eastAsia" w:ascii="宋体" w:hAnsi="宋体" w:cs="宋体"/>
                <w:color w:val="auto"/>
                <w:kern w:val="0"/>
                <w:sz w:val="24"/>
              </w:rPr>
              <w:t>需</w:t>
            </w:r>
            <w:r>
              <w:rPr>
                <w:rFonts w:hint="eastAsia" w:ascii="宋体" w:hAnsi="宋体" w:cs="宋体"/>
                <w:color w:val="auto"/>
                <w:kern w:val="0"/>
                <w:sz w:val="24"/>
                <w:lang w:bidi="ar"/>
              </w:rPr>
              <w:t>支持在数据列表的可视化界面上进行编辑，用户可以修改或补录患者数据，确保数据的准确性和完整性。</w:t>
            </w:r>
          </w:p>
        </w:tc>
      </w:tr>
      <w:tr w14:paraId="4A530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continue"/>
            <w:shd w:val="clear" w:color="auto" w:fill="auto"/>
            <w:vAlign w:val="center"/>
          </w:tcPr>
          <w:p w14:paraId="7FC7445A">
            <w:pPr>
              <w:pStyle w:val="968"/>
              <w:widowControl w:val="0"/>
              <w:spacing w:line="288" w:lineRule="auto"/>
              <w:ind w:firstLine="0" w:firstLineChars="0"/>
              <w:jc w:val="center"/>
              <w:rPr>
                <w:rFonts w:cs="宋体"/>
                <w:color w:val="auto"/>
                <w:szCs w:val="24"/>
              </w:rPr>
            </w:pPr>
          </w:p>
        </w:tc>
        <w:tc>
          <w:tcPr>
            <w:tcW w:w="582" w:type="pct"/>
            <w:vMerge w:val="continue"/>
            <w:shd w:val="clear" w:color="auto" w:fill="auto"/>
            <w:vAlign w:val="center"/>
          </w:tcPr>
          <w:p w14:paraId="1A963AF1">
            <w:pPr>
              <w:widowControl/>
              <w:adjustRightInd/>
              <w:spacing w:line="288" w:lineRule="auto"/>
              <w:jc w:val="center"/>
              <w:textAlignment w:val="top"/>
              <w:rPr>
                <w:rFonts w:ascii="宋体" w:hAnsi="宋体" w:cs="宋体"/>
                <w:color w:val="auto"/>
                <w:kern w:val="0"/>
                <w:sz w:val="24"/>
                <w:lang w:bidi="ar"/>
              </w:rPr>
            </w:pPr>
          </w:p>
        </w:tc>
        <w:tc>
          <w:tcPr>
            <w:tcW w:w="3981" w:type="pct"/>
            <w:tcBorders>
              <w:top w:val="nil"/>
              <w:left w:val="single" w:color="auto" w:sz="4" w:space="0"/>
              <w:bottom w:val="single" w:color="auto" w:sz="4" w:space="0"/>
              <w:right w:val="single" w:color="auto" w:sz="4" w:space="0"/>
            </w:tcBorders>
            <w:shd w:val="clear" w:color="000000" w:fill="FFFFFF"/>
            <w:vAlign w:val="center"/>
          </w:tcPr>
          <w:p w14:paraId="105FE7FA">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2）</w:t>
            </w:r>
            <w:r>
              <w:rPr>
                <w:rFonts w:hint="eastAsia" w:ascii="宋体" w:hAnsi="宋体" w:cs="宋体"/>
                <w:color w:val="auto"/>
                <w:kern w:val="0"/>
                <w:sz w:val="24"/>
              </w:rPr>
              <w:t>需</w:t>
            </w:r>
            <w:r>
              <w:rPr>
                <w:rFonts w:hint="eastAsia" w:ascii="宋体" w:hAnsi="宋体" w:cs="宋体"/>
                <w:color w:val="auto"/>
                <w:kern w:val="0"/>
                <w:sz w:val="24"/>
                <w:lang w:bidi="ar"/>
              </w:rPr>
              <w:t>支持按照系统模板批量导入线下数据至数据列表，兼容文件格式为Excel。系统将自动进行文件校验，确保数据格式的准确性。</w:t>
            </w:r>
          </w:p>
        </w:tc>
      </w:tr>
      <w:tr w14:paraId="30FF4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continue"/>
            <w:shd w:val="clear" w:color="auto" w:fill="auto"/>
            <w:vAlign w:val="center"/>
          </w:tcPr>
          <w:p w14:paraId="6F1A4527">
            <w:pPr>
              <w:pStyle w:val="968"/>
              <w:widowControl w:val="0"/>
              <w:spacing w:line="288" w:lineRule="auto"/>
              <w:ind w:firstLine="0" w:firstLineChars="0"/>
              <w:jc w:val="center"/>
              <w:rPr>
                <w:rFonts w:cs="宋体"/>
                <w:color w:val="auto"/>
                <w:szCs w:val="24"/>
              </w:rPr>
            </w:pPr>
          </w:p>
        </w:tc>
        <w:tc>
          <w:tcPr>
            <w:tcW w:w="582" w:type="pct"/>
            <w:tcBorders>
              <w:top w:val="single" w:color="auto" w:sz="4" w:space="0"/>
              <w:left w:val="single" w:color="auto" w:sz="4" w:space="0"/>
              <w:bottom w:val="single" w:color="auto" w:sz="4" w:space="0"/>
              <w:right w:val="single" w:color="auto" w:sz="4" w:space="0"/>
            </w:tcBorders>
            <w:shd w:val="clear" w:color="000000" w:fill="FFFFFF"/>
            <w:vAlign w:val="center"/>
          </w:tcPr>
          <w:p w14:paraId="5DDBD01E">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kern w:val="0"/>
                <w:sz w:val="24"/>
                <w:lang w:bidi="ar"/>
              </w:rPr>
              <w:t>按统计模式导出</w:t>
            </w:r>
          </w:p>
        </w:tc>
        <w:tc>
          <w:tcPr>
            <w:tcW w:w="3981" w:type="pct"/>
            <w:tcBorders>
              <w:top w:val="single" w:color="auto" w:sz="4" w:space="0"/>
              <w:left w:val="nil"/>
              <w:bottom w:val="single" w:color="auto" w:sz="4" w:space="0"/>
              <w:right w:val="single" w:color="auto" w:sz="4" w:space="0"/>
            </w:tcBorders>
            <w:shd w:val="clear" w:color="000000" w:fill="FFFFFF"/>
            <w:vAlign w:val="center"/>
          </w:tcPr>
          <w:p w14:paraId="54CBFEEA">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rPr>
              <w:t>需</w:t>
            </w:r>
            <w:r>
              <w:rPr>
                <w:rFonts w:hint="eastAsia" w:ascii="宋体" w:hAnsi="宋体" w:cs="宋体"/>
                <w:color w:val="auto"/>
                <w:kern w:val="0"/>
                <w:sz w:val="24"/>
                <w:lang w:bidi="ar"/>
              </w:rPr>
              <w:t>支持将用户设置的研究变量抽取出的数据以一个患者一行的格式进行导出。导出的数据与线上患者列表数据保持一致，确保所见即所得。此外，导出格式兼容SPSS等统计分析软件的要求，满足数据分析和处理的需求。</w:t>
            </w:r>
          </w:p>
        </w:tc>
      </w:tr>
      <w:tr w14:paraId="00C09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continue"/>
            <w:shd w:val="clear" w:color="auto" w:fill="auto"/>
            <w:vAlign w:val="center"/>
          </w:tcPr>
          <w:p w14:paraId="4C2F41E7">
            <w:pPr>
              <w:pStyle w:val="968"/>
              <w:widowControl w:val="0"/>
              <w:spacing w:line="288" w:lineRule="auto"/>
              <w:ind w:firstLine="0" w:firstLineChars="0"/>
              <w:jc w:val="center"/>
              <w:rPr>
                <w:rFonts w:cs="宋体"/>
                <w:color w:val="auto"/>
                <w:szCs w:val="24"/>
              </w:rPr>
            </w:pPr>
          </w:p>
        </w:tc>
        <w:tc>
          <w:tcPr>
            <w:tcW w:w="582" w:type="pct"/>
            <w:tcBorders>
              <w:top w:val="nil"/>
              <w:left w:val="single" w:color="auto" w:sz="4" w:space="0"/>
              <w:bottom w:val="single" w:color="auto" w:sz="4" w:space="0"/>
              <w:right w:val="single" w:color="auto" w:sz="4" w:space="0"/>
            </w:tcBorders>
            <w:shd w:val="clear" w:color="000000" w:fill="FFFFFF"/>
            <w:vAlign w:val="center"/>
          </w:tcPr>
          <w:p w14:paraId="4C002B4F">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kern w:val="0"/>
                <w:sz w:val="24"/>
                <w:lang w:bidi="ar"/>
              </w:rPr>
              <w:t>按表单模式导出</w:t>
            </w:r>
          </w:p>
        </w:tc>
        <w:tc>
          <w:tcPr>
            <w:tcW w:w="3981" w:type="pct"/>
            <w:tcBorders>
              <w:top w:val="nil"/>
              <w:left w:val="nil"/>
              <w:bottom w:val="single" w:color="auto" w:sz="4" w:space="0"/>
              <w:right w:val="single" w:color="auto" w:sz="4" w:space="0"/>
            </w:tcBorders>
            <w:shd w:val="clear" w:color="000000" w:fill="FFFFFF"/>
            <w:vAlign w:val="center"/>
          </w:tcPr>
          <w:p w14:paraId="3D8A6139">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rPr>
              <w:t>需</w:t>
            </w:r>
            <w:r>
              <w:rPr>
                <w:rFonts w:hint="eastAsia" w:ascii="宋体" w:hAnsi="宋体" w:cs="宋体"/>
                <w:color w:val="auto"/>
                <w:kern w:val="0"/>
                <w:sz w:val="24"/>
                <w:lang w:bidi="ar"/>
              </w:rPr>
              <w:t>支持按患者、就诊、检查等数据维度进行表单导出。用户可以选择人口学信息、入院记录、检验报告等进行全模块导出或者选择模块下的具体字段进行导出，可实现导出效果的在线预览，导出结果以 excel 文件按照模块区分形式进行下载到本地。</w:t>
            </w:r>
          </w:p>
        </w:tc>
      </w:tr>
      <w:tr w14:paraId="429D4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continue"/>
            <w:shd w:val="clear" w:color="auto" w:fill="auto"/>
            <w:vAlign w:val="center"/>
          </w:tcPr>
          <w:p w14:paraId="7705806B">
            <w:pPr>
              <w:pStyle w:val="968"/>
              <w:widowControl w:val="0"/>
              <w:spacing w:line="288" w:lineRule="auto"/>
              <w:ind w:firstLine="0" w:firstLineChars="0"/>
              <w:jc w:val="center"/>
              <w:rPr>
                <w:rFonts w:cs="宋体"/>
                <w:color w:val="auto"/>
                <w:szCs w:val="24"/>
              </w:rPr>
            </w:pPr>
          </w:p>
        </w:tc>
        <w:tc>
          <w:tcPr>
            <w:tcW w:w="582" w:type="pct"/>
            <w:vMerge w:val="restart"/>
            <w:tcBorders>
              <w:top w:val="single" w:color="auto" w:sz="4" w:space="0"/>
              <w:left w:val="single" w:color="auto" w:sz="4" w:space="0"/>
              <w:right w:val="single" w:color="auto" w:sz="4" w:space="0"/>
            </w:tcBorders>
            <w:shd w:val="clear" w:color="000000" w:fill="FFFFFF"/>
            <w:vAlign w:val="center"/>
          </w:tcPr>
          <w:p w14:paraId="291C8927">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kern w:val="0"/>
                <w:sz w:val="24"/>
                <w:lang w:bidi="ar"/>
              </w:rPr>
              <w:t>数据导出管理</w:t>
            </w:r>
          </w:p>
        </w:tc>
        <w:tc>
          <w:tcPr>
            <w:tcW w:w="3981" w:type="pct"/>
            <w:tcBorders>
              <w:top w:val="single" w:color="auto" w:sz="4" w:space="0"/>
              <w:left w:val="nil"/>
              <w:bottom w:val="single" w:color="auto" w:sz="4" w:space="0"/>
              <w:right w:val="single" w:color="auto" w:sz="4" w:space="0"/>
            </w:tcBorders>
            <w:shd w:val="clear" w:color="000000" w:fill="FFFFFF"/>
            <w:vAlign w:val="center"/>
          </w:tcPr>
          <w:p w14:paraId="46C65AFC">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1）</w:t>
            </w:r>
            <w:r>
              <w:rPr>
                <w:rFonts w:hint="eastAsia" w:ascii="宋体" w:hAnsi="宋体" w:cs="宋体"/>
                <w:color w:val="auto"/>
                <w:kern w:val="0"/>
                <w:sz w:val="24"/>
              </w:rPr>
              <w:t>需</w:t>
            </w:r>
            <w:r>
              <w:rPr>
                <w:rFonts w:hint="eastAsia" w:ascii="宋体" w:hAnsi="宋体" w:cs="宋体"/>
                <w:color w:val="auto"/>
                <w:kern w:val="0"/>
                <w:sz w:val="24"/>
                <w:lang w:bidi="ar"/>
              </w:rPr>
              <w:t>支持数据导出申请与审批,根据用户的数据权限，普通科研用户导出数据时需经过线上审批，保证数据使用安全性，导出数据可进行多次下载。</w:t>
            </w:r>
          </w:p>
        </w:tc>
      </w:tr>
      <w:tr w14:paraId="4273D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continue"/>
            <w:shd w:val="clear" w:color="auto" w:fill="auto"/>
            <w:vAlign w:val="center"/>
          </w:tcPr>
          <w:p w14:paraId="2723C457">
            <w:pPr>
              <w:pStyle w:val="968"/>
              <w:widowControl w:val="0"/>
              <w:spacing w:line="288" w:lineRule="auto"/>
              <w:ind w:firstLine="0" w:firstLineChars="0"/>
              <w:jc w:val="center"/>
              <w:rPr>
                <w:rFonts w:cs="宋体"/>
                <w:color w:val="auto"/>
                <w:szCs w:val="24"/>
              </w:rPr>
            </w:pPr>
          </w:p>
        </w:tc>
        <w:tc>
          <w:tcPr>
            <w:tcW w:w="582" w:type="pct"/>
            <w:vMerge w:val="continue"/>
            <w:tcBorders>
              <w:left w:val="single" w:color="auto" w:sz="4" w:space="0"/>
              <w:bottom w:val="single" w:color="auto" w:sz="4" w:space="0"/>
              <w:right w:val="single" w:color="auto" w:sz="4" w:space="0"/>
            </w:tcBorders>
            <w:shd w:val="clear" w:color="auto" w:fill="auto"/>
            <w:vAlign w:val="center"/>
          </w:tcPr>
          <w:p w14:paraId="222FF2CF">
            <w:pPr>
              <w:widowControl/>
              <w:adjustRightInd/>
              <w:spacing w:line="288" w:lineRule="auto"/>
              <w:jc w:val="center"/>
              <w:textAlignment w:val="top"/>
              <w:rPr>
                <w:rFonts w:ascii="宋体" w:hAnsi="宋体" w:cs="宋体"/>
                <w:color w:val="auto"/>
                <w:kern w:val="0"/>
                <w:sz w:val="24"/>
                <w:lang w:bidi="ar"/>
              </w:rPr>
            </w:pPr>
          </w:p>
        </w:tc>
        <w:tc>
          <w:tcPr>
            <w:tcW w:w="3981" w:type="pct"/>
            <w:tcBorders>
              <w:top w:val="nil"/>
              <w:left w:val="nil"/>
              <w:bottom w:val="single" w:color="auto" w:sz="4" w:space="0"/>
              <w:right w:val="single" w:color="auto" w:sz="4" w:space="0"/>
            </w:tcBorders>
            <w:shd w:val="clear" w:color="000000" w:fill="FFFFFF"/>
            <w:vAlign w:val="center"/>
          </w:tcPr>
          <w:p w14:paraId="2482A154">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2）</w:t>
            </w:r>
            <w:r>
              <w:rPr>
                <w:rFonts w:hint="eastAsia" w:ascii="宋体" w:hAnsi="宋体" w:cs="宋体"/>
                <w:color w:val="auto"/>
                <w:kern w:val="0"/>
                <w:sz w:val="24"/>
              </w:rPr>
              <w:t>需</w:t>
            </w:r>
            <w:r>
              <w:rPr>
                <w:rFonts w:hint="eastAsia" w:ascii="宋体" w:hAnsi="宋体" w:cs="宋体"/>
                <w:color w:val="auto"/>
                <w:kern w:val="0"/>
                <w:sz w:val="24"/>
                <w:lang w:bidi="ar"/>
              </w:rPr>
              <w:t>支持对患者编号、门诊号、住院号、检查号等编号进行脱敏导出。</w:t>
            </w:r>
          </w:p>
        </w:tc>
      </w:tr>
      <w:tr w14:paraId="75B9C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restart"/>
            <w:shd w:val="clear" w:color="auto" w:fill="auto"/>
            <w:vAlign w:val="center"/>
          </w:tcPr>
          <w:p w14:paraId="719F8DAC">
            <w:pPr>
              <w:pStyle w:val="968"/>
              <w:widowControl w:val="0"/>
              <w:spacing w:line="288" w:lineRule="auto"/>
              <w:ind w:firstLine="0" w:firstLineChars="0"/>
              <w:jc w:val="center"/>
              <w:rPr>
                <w:rFonts w:cs="宋体"/>
                <w:color w:val="auto"/>
                <w:szCs w:val="24"/>
              </w:rPr>
            </w:pPr>
            <w:r>
              <w:rPr>
                <w:rFonts w:hint="eastAsia" w:cs="宋体"/>
                <w:color w:val="auto"/>
                <w:szCs w:val="24"/>
              </w:rPr>
              <w:t>前瞻性科研项目</w:t>
            </w:r>
          </w:p>
        </w:tc>
        <w:tc>
          <w:tcPr>
            <w:tcW w:w="582" w:type="pct"/>
            <w:vMerge w:val="restart"/>
            <w:tcBorders>
              <w:top w:val="single" w:color="auto" w:sz="4" w:space="0"/>
              <w:left w:val="single" w:color="auto" w:sz="4" w:space="0"/>
              <w:right w:val="single" w:color="auto" w:sz="4" w:space="0"/>
            </w:tcBorders>
            <w:shd w:val="clear" w:color="000000" w:fill="FFFFFF"/>
            <w:vAlign w:val="center"/>
          </w:tcPr>
          <w:p w14:paraId="110AED55">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kern w:val="0"/>
                <w:sz w:val="24"/>
                <w:lang w:bidi="ar"/>
              </w:rPr>
              <w:t>项目</w:t>
            </w:r>
          </w:p>
          <w:p w14:paraId="6B3F9471">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kern w:val="0"/>
                <w:sz w:val="24"/>
                <w:lang w:bidi="ar"/>
              </w:rPr>
              <w:t>设置</w:t>
            </w:r>
          </w:p>
        </w:tc>
        <w:tc>
          <w:tcPr>
            <w:tcW w:w="3981" w:type="pct"/>
            <w:tcBorders>
              <w:top w:val="single" w:color="auto" w:sz="4" w:space="0"/>
              <w:left w:val="nil"/>
              <w:bottom w:val="single" w:color="auto" w:sz="4" w:space="0"/>
              <w:right w:val="single" w:color="auto" w:sz="4" w:space="0"/>
            </w:tcBorders>
            <w:shd w:val="clear" w:color="000000" w:fill="FFFFFF"/>
            <w:vAlign w:val="center"/>
          </w:tcPr>
          <w:p w14:paraId="012EA698">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1）</w:t>
            </w:r>
            <w:r>
              <w:rPr>
                <w:rFonts w:hint="eastAsia" w:ascii="宋体" w:hAnsi="宋体" w:cs="宋体"/>
                <w:color w:val="auto"/>
                <w:kern w:val="0"/>
                <w:sz w:val="24"/>
              </w:rPr>
              <w:t>需</w:t>
            </w:r>
            <w:r>
              <w:rPr>
                <w:rFonts w:hint="eastAsia" w:ascii="宋体" w:hAnsi="宋体" w:cs="宋体"/>
                <w:color w:val="auto"/>
                <w:kern w:val="0"/>
                <w:sz w:val="24"/>
                <w:lang w:bidi="ar"/>
              </w:rPr>
              <w:t>支持对前瞻性项目的项目名称、收集患者数量以及研究时长等进行灵活设置。</w:t>
            </w:r>
          </w:p>
        </w:tc>
      </w:tr>
      <w:tr w14:paraId="3087B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continue"/>
            <w:shd w:val="clear" w:color="auto" w:fill="auto"/>
            <w:vAlign w:val="center"/>
          </w:tcPr>
          <w:p w14:paraId="73DF2020">
            <w:pPr>
              <w:pStyle w:val="968"/>
              <w:widowControl w:val="0"/>
              <w:spacing w:line="288" w:lineRule="auto"/>
              <w:ind w:firstLine="0" w:firstLineChars="0"/>
              <w:jc w:val="center"/>
              <w:rPr>
                <w:rFonts w:cs="宋体"/>
                <w:color w:val="auto"/>
                <w:szCs w:val="24"/>
              </w:rPr>
            </w:pPr>
          </w:p>
        </w:tc>
        <w:tc>
          <w:tcPr>
            <w:tcW w:w="582" w:type="pct"/>
            <w:vMerge w:val="continue"/>
            <w:tcBorders>
              <w:left w:val="single" w:color="auto" w:sz="4" w:space="0"/>
              <w:right w:val="single" w:color="auto" w:sz="4" w:space="0"/>
            </w:tcBorders>
            <w:shd w:val="clear" w:color="000000" w:fill="FFFFFF"/>
            <w:vAlign w:val="center"/>
          </w:tcPr>
          <w:p w14:paraId="51E070EC">
            <w:pPr>
              <w:widowControl/>
              <w:adjustRightInd/>
              <w:spacing w:line="288" w:lineRule="auto"/>
              <w:jc w:val="center"/>
              <w:textAlignment w:val="top"/>
              <w:rPr>
                <w:rFonts w:ascii="宋体" w:hAnsi="宋体" w:cs="宋体"/>
                <w:color w:val="auto"/>
                <w:kern w:val="0"/>
                <w:sz w:val="24"/>
                <w:lang w:bidi="ar"/>
              </w:rPr>
            </w:pPr>
          </w:p>
        </w:tc>
        <w:tc>
          <w:tcPr>
            <w:tcW w:w="3981" w:type="pct"/>
            <w:tcBorders>
              <w:top w:val="single" w:color="auto" w:sz="4" w:space="0"/>
              <w:left w:val="nil"/>
              <w:bottom w:val="single" w:color="auto" w:sz="4" w:space="0"/>
              <w:right w:val="single" w:color="auto" w:sz="4" w:space="0"/>
            </w:tcBorders>
            <w:shd w:val="clear" w:color="000000" w:fill="FFFFFF"/>
            <w:vAlign w:val="center"/>
          </w:tcPr>
          <w:p w14:paraId="2A58ECF8">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2）</w:t>
            </w:r>
            <w:r>
              <w:rPr>
                <w:rFonts w:hint="eastAsia" w:ascii="宋体" w:hAnsi="宋体" w:cs="宋体"/>
                <w:color w:val="auto"/>
                <w:kern w:val="0"/>
                <w:sz w:val="24"/>
              </w:rPr>
              <w:t>需</w:t>
            </w:r>
            <w:r>
              <w:rPr>
                <w:rFonts w:hint="eastAsia" w:ascii="宋体" w:hAnsi="宋体" w:cs="宋体"/>
                <w:color w:val="auto"/>
                <w:kern w:val="0"/>
                <w:sz w:val="24"/>
                <w:lang w:bidi="ar"/>
              </w:rPr>
              <w:t>支持上传项目相关附件以便维护管理。</w:t>
            </w:r>
          </w:p>
        </w:tc>
      </w:tr>
      <w:tr w14:paraId="7167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continue"/>
            <w:shd w:val="clear" w:color="auto" w:fill="auto"/>
            <w:vAlign w:val="center"/>
          </w:tcPr>
          <w:p w14:paraId="6214AE6B">
            <w:pPr>
              <w:pStyle w:val="968"/>
              <w:widowControl w:val="0"/>
              <w:spacing w:line="288" w:lineRule="auto"/>
              <w:ind w:firstLine="0" w:firstLineChars="0"/>
              <w:jc w:val="center"/>
              <w:rPr>
                <w:rFonts w:cs="宋体"/>
                <w:color w:val="auto"/>
                <w:szCs w:val="24"/>
              </w:rPr>
            </w:pPr>
          </w:p>
        </w:tc>
        <w:tc>
          <w:tcPr>
            <w:tcW w:w="582" w:type="pct"/>
            <w:vMerge w:val="continue"/>
            <w:tcBorders>
              <w:left w:val="single" w:color="auto" w:sz="4" w:space="0"/>
              <w:bottom w:val="single" w:color="auto" w:sz="4" w:space="0"/>
              <w:right w:val="single" w:color="auto" w:sz="4" w:space="0"/>
            </w:tcBorders>
            <w:shd w:val="clear" w:color="auto" w:fill="auto"/>
            <w:vAlign w:val="center"/>
          </w:tcPr>
          <w:p w14:paraId="4E742812">
            <w:pPr>
              <w:widowControl/>
              <w:adjustRightInd/>
              <w:spacing w:line="288" w:lineRule="auto"/>
              <w:jc w:val="center"/>
              <w:textAlignment w:val="top"/>
              <w:rPr>
                <w:rFonts w:ascii="宋体" w:hAnsi="宋体" w:cs="宋体"/>
                <w:color w:val="auto"/>
                <w:kern w:val="0"/>
                <w:sz w:val="24"/>
                <w:lang w:bidi="ar"/>
              </w:rPr>
            </w:pPr>
          </w:p>
        </w:tc>
        <w:tc>
          <w:tcPr>
            <w:tcW w:w="3981" w:type="pct"/>
            <w:tcBorders>
              <w:top w:val="nil"/>
              <w:left w:val="nil"/>
              <w:bottom w:val="single" w:color="auto" w:sz="4" w:space="0"/>
              <w:right w:val="single" w:color="auto" w:sz="4" w:space="0"/>
            </w:tcBorders>
            <w:shd w:val="clear" w:color="000000" w:fill="FFFFFF"/>
            <w:vAlign w:val="center"/>
          </w:tcPr>
          <w:p w14:paraId="59321547">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3）对于多中心模式，</w:t>
            </w:r>
            <w:r>
              <w:rPr>
                <w:rFonts w:hint="eastAsia" w:ascii="宋体" w:hAnsi="宋体" w:cs="宋体"/>
                <w:color w:val="auto"/>
                <w:kern w:val="0"/>
                <w:sz w:val="24"/>
              </w:rPr>
              <w:t>需</w:t>
            </w:r>
            <w:r>
              <w:rPr>
                <w:rFonts w:hint="eastAsia" w:ascii="宋体" w:hAnsi="宋体" w:cs="宋体"/>
                <w:color w:val="auto"/>
                <w:kern w:val="0"/>
                <w:sz w:val="24"/>
                <w:lang w:bidi="ar"/>
              </w:rPr>
              <w:t>支持根据项目研究流程灵活切换数据审核机制，支持简单审核或多角色审核；</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①在简单审核模式下，项目角色包括录入员以及审核员，在录入员完成录入提交后由审核员审核确认；</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▲②在多角色审核模式下，项目角色包括数据录入员、数据审核员、数据管理员以及研究员，由数据录入员录入数据，数据审核员与数据管理员双重审核后，再由研究员确认进行电子签字。</w:t>
            </w:r>
            <w:r>
              <w:rPr>
                <w:rFonts w:hint="eastAsia" w:ascii="宋体" w:hAnsi="宋体" w:cs="宋体"/>
                <w:color w:val="auto"/>
                <w:kern w:val="0"/>
                <w:sz w:val="24"/>
                <w:lang w:bidi="ar"/>
              </w:rPr>
              <w:br w:type="textWrapping"/>
            </w:r>
            <w:r>
              <w:rPr>
                <w:rFonts w:hint="eastAsia" w:ascii="宋体" w:hAnsi="宋体" w:cs="宋体"/>
                <w:b/>
                <w:bCs/>
                <w:color w:val="auto"/>
                <w:kern w:val="0"/>
                <w:sz w:val="24"/>
                <w:lang w:bidi="ar"/>
              </w:rPr>
              <w:t>注：投标人须在投标文件中提供相关证明截图材料作为佐证，未提供或无法证明的本项即为负偏离。</w:t>
            </w:r>
          </w:p>
        </w:tc>
      </w:tr>
      <w:tr w14:paraId="3CF02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continue"/>
            <w:shd w:val="clear" w:color="auto" w:fill="auto"/>
            <w:vAlign w:val="center"/>
          </w:tcPr>
          <w:p w14:paraId="1BDE20B9">
            <w:pPr>
              <w:pStyle w:val="968"/>
              <w:widowControl w:val="0"/>
              <w:spacing w:line="288" w:lineRule="auto"/>
              <w:ind w:firstLine="0" w:firstLineChars="0"/>
              <w:jc w:val="center"/>
              <w:rPr>
                <w:rFonts w:cs="宋体"/>
                <w:color w:val="auto"/>
                <w:szCs w:val="24"/>
              </w:rPr>
            </w:pPr>
          </w:p>
        </w:tc>
        <w:tc>
          <w:tcPr>
            <w:tcW w:w="582" w:type="pct"/>
            <w:vMerge w:val="restart"/>
            <w:tcBorders>
              <w:top w:val="nil"/>
              <w:left w:val="single" w:color="auto" w:sz="4" w:space="0"/>
              <w:right w:val="single" w:color="auto" w:sz="4" w:space="0"/>
            </w:tcBorders>
            <w:shd w:val="clear" w:color="000000" w:fill="FFFFFF"/>
            <w:vAlign w:val="center"/>
          </w:tcPr>
          <w:p w14:paraId="339A2C01">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kern w:val="0"/>
                <w:sz w:val="24"/>
                <w:lang w:bidi="ar"/>
              </w:rPr>
              <w:t>成员</w:t>
            </w:r>
          </w:p>
          <w:p w14:paraId="3C96F130">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kern w:val="0"/>
                <w:sz w:val="24"/>
                <w:lang w:bidi="ar"/>
              </w:rPr>
              <w:t>管理</w:t>
            </w:r>
          </w:p>
        </w:tc>
        <w:tc>
          <w:tcPr>
            <w:tcW w:w="3981" w:type="pct"/>
            <w:tcBorders>
              <w:top w:val="nil"/>
              <w:left w:val="nil"/>
              <w:bottom w:val="single" w:color="auto" w:sz="4" w:space="0"/>
              <w:right w:val="single" w:color="auto" w:sz="4" w:space="0"/>
            </w:tcBorders>
            <w:shd w:val="clear" w:color="000000" w:fill="FFFFFF"/>
            <w:vAlign w:val="center"/>
          </w:tcPr>
          <w:p w14:paraId="05AF9B94">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1）</w:t>
            </w:r>
            <w:r>
              <w:rPr>
                <w:rFonts w:hint="eastAsia" w:ascii="宋体" w:hAnsi="宋体" w:cs="宋体"/>
                <w:color w:val="auto"/>
                <w:kern w:val="0"/>
                <w:sz w:val="24"/>
              </w:rPr>
              <w:t>需</w:t>
            </w:r>
            <w:r>
              <w:rPr>
                <w:rFonts w:hint="eastAsia" w:ascii="宋体" w:hAnsi="宋体" w:cs="宋体"/>
                <w:color w:val="auto"/>
                <w:kern w:val="0"/>
                <w:sz w:val="24"/>
                <w:lang w:bidi="ar"/>
              </w:rPr>
              <w:t>支持添加多个医疗机构实现机构分类管理。</w:t>
            </w:r>
          </w:p>
        </w:tc>
      </w:tr>
      <w:tr w14:paraId="0D959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continue"/>
            <w:shd w:val="clear" w:color="auto" w:fill="auto"/>
            <w:vAlign w:val="center"/>
          </w:tcPr>
          <w:p w14:paraId="6432BACF">
            <w:pPr>
              <w:pStyle w:val="968"/>
              <w:widowControl w:val="0"/>
              <w:spacing w:line="288" w:lineRule="auto"/>
              <w:ind w:firstLine="0" w:firstLineChars="0"/>
              <w:jc w:val="center"/>
              <w:rPr>
                <w:rFonts w:cs="宋体"/>
                <w:color w:val="auto"/>
                <w:szCs w:val="24"/>
              </w:rPr>
            </w:pPr>
          </w:p>
        </w:tc>
        <w:tc>
          <w:tcPr>
            <w:tcW w:w="582" w:type="pct"/>
            <w:vMerge w:val="continue"/>
            <w:tcBorders>
              <w:left w:val="single" w:color="auto" w:sz="4" w:space="0"/>
              <w:right w:val="single" w:color="auto" w:sz="4" w:space="0"/>
            </w:tcBorders>
            <w:shd w:val="clear" w:color="auto" w:fill="auto"/>
            <w:vAlign w:val="center"/>
          </w:tcPr>
          <w:p w14:paraId="093575EA">
            <w:pPr>
              <w:widowControl/>
              <w:adjustRightInd/>
              <w:spacing w:line="288" w:lineRule="auto"/>
              <w:jc w:val="center"/>
              <w:textAlignment w:val="top"/>
              <w:rPr>
                <w:rFonts w:ascii="宋体" w:hAnsi="宋体" w:cs="宋体"/>
                <w:color w:val="auto"/>
                <w:kern w:val="0"/>
                <w:sz w:val="24"/>
                <w:lang w:bidi="ar"/>
              </w:rPr>
            </w:pPr>
          </w:p>
        </w:tc>
        <w:tc>
          <w:tcPr>
            <w:tcW w:w="3981" w:type="pct"/>
            <w:tcBorders>
              <w:top w:val="nil"/>
              <w:left w:val="nil"/>
              <w:bottom w:val="single" w:color="auto" w:sz="4" w:space="0"/>
              <w:right w:val="single" w:color="auto" w:sz="4" w:space="0"/>
            </w:tcBorders>
            <w:shd w:val="clear" w:color="000000" w:fill="FFFFFF"/>
            <w:vAlign w:val="center"/>
          </w:tcPr>
          <w:p w14:paraId="62F935E6">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2）</w:t>
            </w:r>
            <w:r>
              <w:rPr>
                <w:rFonts w:hint="eastAsia" w:ascii="宋体" w:hAnsi="宋体" w:cs="宋体"/>
                <w:color w:val="auto"/>
                <w:kern w:val="0"/>
                <w:sz w:val="24"/>
              </w:rPr>
              <w:t>需</w:t>
            </w:r>
            <w:r>
              <w:rPr>
                <w:rFonts w:hint="eastAsia" w:ascii="宋体" w:hAnsi="宋体" w:cs="宋体"/>
                <w:color w:val="auto"/>
                <w:kern w:val="0"/>
                <w:sz w:val="24"/>
                <w:lang w:bidi="ar"/>
              </w:rPr>
              <w:t>支持设置成员所属中心机构，并根据数据审核模式设置包含系统管理员、数据审核员、数据录入员、数据管理员、研究员等角色。</w:t>
            </w:r>
          </w:p>
        </w:tc>
      </w:tr>
      <w:tr w14:paraId="7059F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continue"/>
            <w:shd w:val="clear" w:color="auto" w:fill="auto"/>
            <w:vAlign w:val="center"/>
          </w:tcPr>
          <w:p w14:paraId="3E269DFA">
            <w:pPr>
              <w:pStyle w:val="968"/>
              <w:widowControl w:val="0"/>
              <w:spacing w:line="288" w:lineRule="auto"/>
              <w:ind w:firstLine="0" w:firstLineChars="0"/>
              <w:jc w:val="center"/>
              <w:rPr>
                <w:rFonts w:cs="宋体"/>
                <w:color w:val="auto"/>
                <w:szCs w:val="24"/>
              </w:rPr>
            </w:pPr>
          </w:p>
        </w:tc>
        <w:tc>
          <w:tcPr>
            <w:tcW w:w="582" w:type="pct"/>
            <w:vMerge w:val="continue"/>
            <w:tcBorders>
              <w:left w:val="single" w:color="auto" w:sz="4" w:space="0"/>
              <w:bottom w:val="single" w:color="auto" w:sz="4" w:space="0"/>
              <w:right w:val="single" w:color="auto" w:sz="4" w:space="0"/>
            </w:tcBorders>
            <w:shd w:val="clear" w:color="auto" w:fill="auto"/>
            <w:vAlign w:val="center"/>
          </w:tcPr>
          <w:p w14:paraId="6A874CD8">
            <w:pPr>
              <w:widowControl/>
              <w:adjustRightInd/>
              <w:spacing w:line="288" w:lineRule="auto"/>
              <w:jc w:val="center"/>
              <w:textAlignment w:val="top"/>
              <w:rPr>
                <w:rFonts w:ascii="宋体" w:hAnsi="宋体" w:cs="宋体"/>
                <w:color w:val="auto"/>
                <w:kern w:val="0"/>
                <w:sz w:val="24"/>
                <w:lang w:bidi="ar"/>
              </w:rPr>
            </w:pPr>
          </w:p>
        </w:tc>
        <w:tc>
          <w:tcPr>
            <w:tcW w:w="3981" w:type="pct"/>
            <w:tcBorders>
              <w:top w:val="nil"/>
              <w:left w:val="nil"/>
              <w:bottom w:val="single" w:color="auto" w:sz="4" w:space="0"/>
              <w:right w:val="single" w:color="auto" w:sz="4" w:space="0"/>
            </w:tcBorders>
            <w:shd w:val="clear" w:color="000000" w:fill="FFFFFF"/>
            <w:vAlign w:val="center"/>
          </w:tcPr>
          <w:p w14:paraId="639BF02E">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3）对于多中心项目，</w:t>
            </w:r>
            <w:r>
              <w:rPr>
                <w:rFonts w:hint="eastAsia" w:ascii="宋体" w:hAnsi="宋体" w:cs="宋体"/>
                <w:color w:val="auto"/>
                <w:kern w:val="0"/>
                <w:sz w:val="24"/>
              </w:rPr>
              <w:t>需</w:t>
            </w:r>
            <w:r>
              <w:rPr>
                <w:rFonts w:hint="eastAsia" w:ascii="宋体" w:hAnsi="宋体" w:cs="宋体"/>
                <w:color w:val="auto"/>
                <w:kern w:val="0"/>
                <w:sz w:val="24"/>
                <w:lang w:bidi="ar"/>
              </w:rPr>
              <w:t>支持根据患者数据所属中心进行数据权限区分，例如A医院的成员仅可浏览属于A医院的数据。</w:t>
            </w:r>
          </w:p>
        </w:tc>
      </w:tr>
      <w:tr w14:paraId="041B2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continue"/>
            <w:shd w:val="clear" w:color="auto" w:fill="auto"/>
            <w:vAlign w:val="center"/>
          </w:tcPr>
          <w:p w14:paraId="472F713A">
            <w:pPr>
              <w:pStyle w:val="968"/>
              <w:widowControl w:val="0"/>
              <w:spacing w:line="288" w:lineRule="auto"/>
              <w:ind w:firstLine="0" w:firstLineChars="0"/>
              <w:jc w:val="center"/>
              <w:rPr>
                <w:rFonts w:cs="宋体"/>
                <w:color w:val="auto"/>
                <w:szCs w:val="24"/>
              </w:rPr>
            </w:pPr>
          </w:p>
        </w:tc>
        <w:tc>
          <w:tcPr>
            <w:tcW w:w="582" w:type="pct"/>
            <w:vMerge w:val="restart"/>
            <w:tcBorders>
              <w:top w:val="nil"/>
              <w:left w:val="single" w:color="auto" w:sz="4" w:space="0"/>
              <w:right w:val="single" w:color="auto" w:sz="4" w:space="0"/>
            </w:tcBorders>
            <w:shd w:val="clear" w:color="000000" w:fill="FFFFFF"/>
            <w:vAlign w:val="center"/>
          </w:tcPr>
          <w:p w14:paraId="0217A4A7">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kern w:val="0"/>
                <w:sz w:val="24"/>
                <w:lang w:bidi="ar"/>
              </w:rPr>
              <w:t>CRF表单配置</w:t>
            </w:r>
          </w:p>
        </w:tc>
        <w:tc>
          <w:tcPr>
            <w:tcW w:w="3981" w:type="pct"/>
            <w:tcBorders>
              <w:top w:val="nil"/>
              <w:left w:val="nil"/>
              <w:bottom w:val="single" w:color="auto" w:sz="4" w:space="0"/>
              <w:right w:val="single" w:color="auto" w:sz="4" w:space="0"/>
            </w:tcBorders>
            <w:shd w:val="clear" w:color="000000" w:fill="FFFFFF"/>
            <w:vAlign w:val="center"/>
          </w:tcPr>
          <w:p w14:paraId="60144154">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1）</w:t>
            </w:r>
            <w:r>
              <w:rPr>
                <w:rFonts w:hint="eastAsia" w:ascii="宋体" w:hAnsi="宋体" w:cs="宋体"/>
                <w:color w:val="auto"/>
                <w:kern w:val="0"/>
                <w:sz w:val="24"/>
              </w:rPr>
              <w:t>需</w:t>
            </w:r>
            <w:r>
              <w:rPr>
                <w:rFonts w:hint="eastAsia" w:ascii="宋体" w:hAnsi="宋体" w:cs="宋体"/>
                <w:color w:val="auto"/>
                <w:kern w:val="0"/>
                <w:sz w:val="24"/>
                <w:lang w:bidi="ar"/>
              </w:rPr>
              <w:t>支持自定义创建CRF表单，可灵活配置表单目录以及表单名称。并支持引用已有表单模板、复制已有表单结构，实现表单的快速创建。</w:t>
            </w:r>
          </w:p>
        </w:tc>
      </w:tr>
      <w:tr w14:paraId="53E6F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continue"/>
            <w:shd w:val="clear" w:color="auto" w:fill="auto"/>
            <w:vAlign w:val="center"/>
          </w:tcPr>
          <w:p w14:paraId="210994A0">
            <w:pPr>
              <w:pStyle w:val="968"/>
              <w:widowControl w:val="0"/>
              <w:spacing w:line="288" w:lineRule="auto"/>
              <w:ind w:firstLine="0" w:firstLineChars="0"/>
              <w:jc w:val="center"/>
              <w:rPr>
                <w:rFonts w:cs="宋体"/>
                <w:color w:val="auto"/>
                <w:szCs w:val="24"/>
              </w:rPr>
            </w:pPr>
          </w:p>
        </w:tc>
        <w:tc>
          <w:tcPr>
            <w:tcW w:w="582" w:type="pct"/>
            <w:vMerge w:val="continue"/>
            <w:tcBorders>
              <w:left w:val="single" w:color="auto" w:sz="4" w:space="0"/>
              <w:right w:val="single" w:color="auto" w:sz="4" w:space="0"/>
            </w:tcBorders>
            <w:shd w:val="clear" w:color="auto" w:fill="auto"/>
            <w:vAlign w:val="center"/>
          </w:tcPr>
          <w:p w14:paraId="07978FF3">
            <w:pPr>
              <w:widowControl/>
              <w:adjustRightInd/>
              <w:spacing w:line="288" w:lineRule="auto"/>
              <w:jc w:val="center"/>
              <w:textAlignment w:val="top"/>
              <w:rPr>
                <w:rFonts w:ascii="宋体" w:hAnsi="宋体" w:cs="宋体"/>
                <w:color w:val="auto"/>
                <w:kern w:val="0"/>
                <w:sz w:val="24"/>
                <w:lang w:bidi="ar"/>
              </w:rPr>
            </w:pPr>
          </w:p>
        </w:tc>
        <w:tc>
          <w:tcPr>
            <w:tcW w:w="3981" w:type="pct"/>
            <w:tcBorders>
              <w:top w:val="nil"/>
              <w:left w:val="nil"/>
              <w:bottom w:val="single" w:color="auto" w:sz="4" w:space="0"/>
              <w:right w:val="single" w:color="auto" w:sz="4" w:space="0"/>
            </w:tcBorders>
            <w:shd w:val="clear" w:color="000000" w:fill="FFFFFF"/>
            <w:vAlign w:val="center"/>
          </w:tcPr>
          <w:p w14:paraId="5C7A1E3D">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2）</w:t>
            </w:r>
            <w:r>
              <w:rPr>
                <w:rFonts w:hint="eastAsia" w:ascii="宋体" w:hAnsi="宋体" w:cs="宋体"/>
                <w:color w:val="auto"/>
                <w:kern w:val="0"/>
                <w:sz w:val="24"/>
              </w:rPr>
              <w:t>需</w:t>
            </w:r>
            <w:r>
              <w:rPr>
                <w:rFonts w:hint="eastAsia" w:ascii="宋体" w:hAnsi="宋体" w:cs="宋体"/>
                <w:color w:val="auto"/>
                <w:kern w:val="0"/>
                <w:sz w:val="24"/>
                <w:lang w:bidi="ar"/>
              </w:rPr>
              <w:t>支持CRF表单模版管理，支持用户自定义表单保存为模板。</w:t>
            </w:r>
          </w:p>
        </w:tc>
      </w:tr>
      <w:tr w14:paraId="6AC03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continue"/>
            <w:shd w:val="clear" w:color="auto" w:fill="auto"/>
            <w:vAlign w:val="center"/>
          </w:tcPr>
          <w:p w14:paraId="5E8BA5BA">
            <w:pPr>
              <w:pStyle w:val="968"/>
              <w:widowControl w:val="0"/>
              <w:spacing w:line="288" w:lineRule="auto"/>
              <w:ind w:firstLine="0" w:firstLineChars="0"/>
              <w:jc w:val="center"/>
              <w:rPr>
                <w:rFonts w:cs="宋体"/>
                <w:color w:val="auto"/>
                <w:szCs w:val="24"/>
              </w:rPr>
            </w:pPr>
          </w:p>
        </w:tc>
        <w:tc>
          <w:tcPr>
            <w:tcW w:w="582" w:type="pct"/>
            <w:vMerge w:val="continue"/>
            <w:tcBorders>
              <w:left w:val="single" w:color="auto" w:sz="4" w:space="0"/>
              <w:right w:val="single" w:color="auto" w:sz="4" w:space="0"/>
            </w:tcBorders>
            <w:shd w:val="clear" w:color="auto" w:fill="auto"/>
            <w:vAlign w:val="center"/>
          </w:tcPr>
          <w:p w14:paraId="2E61BBDE">
            <w:pPr>
              <w:widowControl/>
              <w:adjustRightInd/>
              <w:spacing w:line="288" w:lineRule="auto"/>
              <w:jc w:val="center"/>
              <w:textAlignment w:val="top"/>
              <w:rPr>
                <w:rFonts w:ascii="宋体" w:hAnsi="宋体" w:cs="宋体"/>
                <w:color w:val="auto"/>
                <w:kern w:val="0"/>
                <w:sz w:val="24"/>
                <w:lang w:bidi="ar"/>
              </w:rPr>
            </w:pPr>
          </w:p>
        </w:tc>
        <w:tc>
          <w:tcPr>
            <w:tcW w:w="3981" w:type="pct"/>
            <w:tcBorders>
              <w:top w:val="nil"/>
              <w:left w:val="nil"/>
              <w:bottom w:val="single" w:color="auto" w:sz="4" w:space="0"/>
              <w:right w:val="single" w:color="auto" w:sz="4" w:space="0"/>
            </w:tcBorders>
            <w:shd w:val="clear" w:color="000000" w:fill="FFFFFF"/>
            <w:vAlign w:val="center"/>
          </w:tcPr>
          <w:p w14:paraId="767111AE">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3）</w:t>
            </w:r>
            <w:r>
              <w:rPr>
                <w:rFonts w:hint="eastAsia" w:ascii="宋体" w:hAnsi="宋体" w:cs="宋体"/>
                <w:color w:val="auto"/>
                <w:kern w:val="0"/>
                <w:sz w:val="24"/>
              </w:rPr>
              <w:t>需</w:t>
            </w:r>
            <w:r>
              <w:rPr>
                <w:rFonts w:hint="eastAsia" w:ascii="宋体" w:hAnsi="宋体" w:cs="宋体"/>
                <w:color w:val="auto"/>
                <w:kern w:val="0"/>
                <w:sz w:val="24"/>
                <w:lang w:bidi="ar"/>
              </w:rPr>
              <w:t>支持多种题目类型，包括单选题、多选题、填空题、日期题、文件题、矩阵题、自增题等。其中选择类型题目可自定义设置选项、取值、必填项、默认值、展示样式等内容，文本类型题目可支持小数、整数、短文本、长文本、单位、必填、默认值等内容限制；文件题支持图片、音频、视频、word、excel、ppt、txt、pdf、zip、dicom 等文件格式。</w:t>
            </w:r>
          </w:p>
        </w:tc>
      </w:tr>
      <w:tr w14:paraId="4EE04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continue"/>
            <w:shd w:val="clear" w:color="auto" w:fill="auto"/>
            <w:vAlign w:val="center"/>
          </w:tcPr>
          <w:p w14:paraId="6C37970B">
            <w:pPr>
              <w:pStyle w:val="968"/>
              <w:widowControl w:val="0"/>
              <w:spacing w:line="288" w:lineRule="auto"/>
              <w:ind w:firstLine="0" w:firstLineChars="0"/>
              <w:jc w:val="center"/>
              <w:rPr>
                <w:rFonts w:cs="宋体"/>
                <w:color w:val="auto"/>
                <w:szCs w:val="24"/>
              </w:rPr>
            </w:pPr>
          </w:p>
        </w:tc>
        <w:tc>
          <w:tcPr>
            <w:tcW w:w="582" w:type="pct"/>
            <w:vMerge w:val="continue"/>
            <w:tcBorders>
              <w:left w:val="single" w:color="auto" w:sz="4" w:space="0"/>
              <w:right w:val="single" w:color="auto" w:sz="4" w:space="0"/>
            </w:tcBorders>
            <w:shd w:val="clear" w:color="auto" w:fill="auto"/>
            <w:vAlign w:val="center"/>
          </w:tcPr>
          <w:p w14:paraId="2BAA7224">
            <w:pPr>
              <w:widowControl/>
              <w:adjustRightInd/>
              <w:spacing w:line="288" w:lineRule="auto"/>
              <w:jc w:val="center"/>
              <w:textAlignment w:val="top"/>
              <w:rPr>
                <w:rFonts w:ascii="宋体" w:hAnsi="宋体" w:cs="宋体"/>
                <w:color w:val="auto"/>
                <w:kern w:val="0"/>
                <w:sz w:val="24"/>
                <w:lang w:bidi="ar"/>
              </w:rPr>
            </w:pPr>
          </w:p>
        </w:tc>
        <w:tc>
          <w:tcPr>
            <w:tcW w:w="3981" w:type="pct"/>
            <w:tcBorders>
              <w:top w:val="nil"/>
              <w:left w:val="nil"/>
              <w:bottom w:val="single" w:color="auto" w:sz="4" w:space="0"/>
              <w:right w:val="single" w:color="auto" w:sz="4" w:space="0"/>
            </w:tcBorders>
            <w:shd w:val="clear" w:color="000000" w:fill="FFFFFF"/>
            <w:vAlign w:val="center"/>
          </w:tcPr>
          <w:p w14:paraId="44E98D58">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4）</w:t>
            </w:r>
            <w:r>
              <w:rPr>
                <w:rFonts w:hint="eastAsia" w:ascii="宋体" w:hAnsi="宋体" w:cs="宋体"/>
                <w:color w:val="auto"/>
                <w:kern w:val="0"/>
                <w:sz w:val="24"/>
              </w:rPr>
              <w:t>需</w:t>
            </w:r>
            <w:r>
              <w:rPr>
                <w:rFonts w:hint="eastAsia" w:ascii="宋体" w:hAnsi="宋体" w:cs="宋体"/>
                <w:color w:val="auto"/>
                <w:kern w:val="0"/>
                <w:sz w:val="24"/>
                <w:lang w:bidi="ar"/>
              </w:rPr>
              <w:t>支持临床数据标准字典，可应用字典所支持的数据字段快速完成表单配置，字典包括患者基本信息、病案首页、入院记录、病理记录、手术记录、病程记录、出院记录等模块。</w:t>
            </w:r>
          </w:p>
        </w:tc>
      </w:tr>
      <w:tr w14:paraId="2973B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continue"/>
            <w:shd w:val="clear" w:color="auto" w:fill="auto"/>
            <w:vAlign w:val="center"/>
          </w:tcPr>
          <w:p w14:paraId="0C1C74A0">
            <w:pPr>
              <w:pStyle w:val="968"/>
              <w:widowControl w:val="0"/>
              <w:spacing w:line="288" w:lineRule="auto"/>
              <w:ind w:firstLine="0" w:firstLineChars="0"/>
              <w:jc w:val="center"/>
              <w:rPr>
                <w:rFonts w:cs="宋体"/>
                <w:color w:val="auto"/>
                <w:szCs w:val="24"/>
              </w:rPr>
            </w:pPr>
          </w:p>
        </w:tc>
        <w:tc>
          <w:tcPr>
            <w:tcW w:w="582" w:type="pct"/>
            <w:vMerge w:val="continue"/>
            <w:tcBorders>
              <w:left w:val="single" w:color="auto" w:sz="4" w:space="0"/>
              <w:right w:val="single" w:color="auto" w:sz="4" w:space="0"/>
            </w:tcBorders>
            <w:shd w:val="clear" w:color="auto" w:fill="auto"/>
            <w:vAlign w:val="center"/>
          </w:tcPr>
          <w:p w14:paraId="3AB2D593">
            <w:pPr>
              <w:widowControl/>
              <w:adjustRightInd/>
              <w:spacing w:line="288" w:lineRule="auto"/>
              <w:jc w:val="center"/>
              <w:textAlignment w:val="top"/>
              <w:rPr>
                <w:rFonts w:ascii="宋体" w:hAnsi="宋体" w:cs="宋体"/>
                <w:color w:val="auto"/>
                <w:kern w:val="0"/>
                <w:sz w:val="24"/>
                <w:lang w:bidi="ar"/>
              </w:rPr>
            </w:pPr>
          </w:p>
        </w:tc>
        <w:tc>
          <w:tcPr>
            <w:tcW w:w="3981" w:type="pct"/>
            <w:tcBorders>
              <w:top w:val="nil"/>
              <w:left w:val="nil"/>
              <w:bottom w:val="single" w:color="auto" w:sz="4" w:space="0"/>
              <w:right w:val="single" w:color="auto" w:sz="4" w:space="0"/>
            </w:tcBorders>
            <w:shd w:val="clear" w:color="000000" w:fill="FFFFFF"/>
            <w:vAlign w:val="center"/>
          </w:tcPr>
          <w:p w14:paraId="79B82BC2">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5）</w:t>
            </w:r>
            <w:r>
              <w:rPr>
                <w:rFonts w:hint="eastAsia" w:ascii="宋体" w:hAnsi="宋体" w:cs="宋体"/>
                <w:color w:val="auto"/>
                <w:kern w:val="0"/>
                <w:sz w:val="24"/>
              </w:rPr>
              <w:t>需</w:t>
            </w:r>
            <w:r>
              <w:rPr>
                <w:rFonts w:hint="eastAsia" w:ascii="宋体" w:hAnsi="宋体" w:cs="宋体"/>
                <w:color w:val="auto"/>
                <w:kern w:val="0"/>
                <w:sz w:val="24"/>
                <w:lang w:bidi="ar"/>
              </w:rPr>
              <w:t>支持设置题目之间的关联关系，例如可实现当性别取女的时候出现有无月经史的字段。</w:t>
            </w:r>
          </w:p>
        </w:tc>
      </w:tr>
      <w:tr w14:paraId="507D0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continue"/>
            <w:shd w:val="clear" w:color="auto" w:fill="auto"/>
            <w:vAlign w:val="center"/>
          </w:tcPr>
          <w:p w14:paraId="58263E81">
            <w:pPr>
              <w:pStyle w:val="968"/>
              <w:widowControl w:val="0"/>
              <w:spacing w:line="288" w:lineRule="auto"/>
              <w:ind w:firstLine="0" w:firstLineChars="0"/>
              <w:jc w:val="center"/>
              <w:rPr>
                <w:rFonts w:cs="宋体"/>
                <w:color w:val="auto"/>
                <w:szCs w:val="24"/>
              </w:rPr>
            </w:pPr>
          </w:p>
        </w:tc>
        <w:tc>
          <w:tcPr>
            <w:tcW w:w="582" w:type="pct"/>
            <w:vMerge w:val="continue"/>
            <w:tcBorders>
              <w:left w:val="single" w:color="auto" w:sz="4" w:space="0"/>
              <w:right w:val="single" w:color="auto" w:sz="4" w:space="0"/>
            </w:tcBorders>
            <w:shd w:val="clear" w:color="auto" w:fill="auto"/>
            <w:vAlign w:val="center"/>
          </w:tcPr>
          <w:p w14:paraId="4E38B9B9">
            <w:pPr>
              <w:widowControl/>
              <w:adjustRightInd/>
              <w:spacing w:line="288" w:lineRule="auto"/>
              <w:jc w:val="center"/>
              <w:textAlignment w:val="top"/>
              <w:rPr>
                <w:rFonts w:ascii="宋体" w:hAnsi="宋体" w:cs="宋体"/>
                <w:color w:val="auto"/>
                <w:kern w:val="0"/>
                <w:sz w:val="24"/>
                <w:lang w:bidi="ar"/>
              </w:rPr>
            </w:pPr>
          </w:p>
        </w:tc>
        <w:tc>
          <w:tcPr>
            <w:tcW w:w="3981" w:type="pct"/>
            <w:tcBorders>
              <w:top w:val="nil"/>
              <w:left w:val="nil"/>
              <w:bottom w:val="single" w:color="auto" w:sz="4" w:space="0"/>
              <w:right w:val="single" w:color="auto" w:sz="4" w:space="0"/>
            </w:tcBorders>
            <w:shd w:val="clear" w:color="000000" w:fill="FFFFFF"/>
            <w:vAlign w:val="center"/>
          </w:tcPr>
          <w:p w14:paraId="7139C665">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6）</w:t>
            </w:r>
            <w:r>
              <w:rPr>
                <w:rFonts w:hint="eastAsia" w:ascii="宋体" w:hAnsi="宋体" w:cs="宋体"/>
                <w:color w:val="auto"/>
                <w:kern w:val="0"/>
                <w:sz w:val="24"/>
              </w:rPr>
              <w:t>需</w:t>
            </w:r>
            <w:r>
              <w:rPr>
                <w:rFonts w:hint="eastAsia" w:ascii="宋体" w:hAnsi="宋体" w:cs="宋体"/>
                <w:color w:val="auto"/>
                <w:kern w:val="0"/>
                <w:sz w:val="24"/>
                <w:lang w:bidi="ar"/>
              </w:rPr>
              <w:t>支持以可视化拖拽的方式创建表单题目，支持题目间位置拖动调整、题目控件复制、题目删除等交互操作。</w:t>
            </w:r>
          </w:p>
        </w:tc>
      </w:tr>
      <w:tr w14:paraId="6A213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continue"/>
            <w:shd w:val="clear" w:color="auto" w:fill="auto"/>
            <w:vAlign w:val="center"/>
          </w:tcPr>
          <w:p w14:paraId="67CA60B3">
            <w:pPr>
              <w:pStyle w:val="968"/>
              <w:widowControl w:val="0"/>
              <w:spacing w:line="288" w:lineRule="auto"/>
              <w:ind w:firstLine="0" w:firstLineChars="0"/>
              <w:jc w:val="center"/>
              <w:rPr>
                <w:rFonts w:cs="宋体"/>
                <w:color w:val="auto"/>
                <w:szCs w:val="24"/>
              </w:rPr>
            </w:pPr>
          </w:p>
        </w:tc>
        <w:tc>
          <w:tcPr>
            <w:tcW w:w="582" w:type="pct"/>
            <w:vMerge w:val="continue"/>
            <w:tcBorders>
              <w:left w:val="single" w:color="auto" w:sz="4" w:space="0"/>
              <w:bottom w:val="single" w:color="auto" w:sz="4" w:space="0"/>
              <w:right w:val="single" w:color="auto" w:sz="4" w:space="0"/>
            </w:tcBorders>
            <w:shd w:val="clear" w:color="auto" w:fill="auto"/>
            <w:vAlign w:val="center"/>
          </w:tcPr>
          <w:p w14:paraId="59EC9F5F">
            <w:pPr>
              <w:widowControl/>
              <w:adjustRightInd/>
              <w:spacing w:line="288" w:lineRule="auto"/>
              <w:jc w:val="center"/>
              <w:textAlignment w:val="top"/>
              <w:rPr>
                <w:rFonts w:ascii="宋体" w:hAnsi="宋体" w:cs="宋体"/>
                <w:color w:val="auto"/>
                <w:kern w:val="0"/>
                <w:sz w:val="24"/>
                <w:lang w:bidi="ar"/>
              </w:rPr>
            </w:pPr>
          </w:p>
        </w:tc>
        <w:tc>
          <w:tcPr>
            <w:tcW w:w="3981" w:type="pct"/>
            <w:tcBorders>
              <w:top w:val="nil"/>
              <w:left w:val="nil"/>
              <w:bottom w:val="single" w:color="auto" w:sz="4" w:space="0"/>
              <w:right w:val="single" w:color="auto" w:sz="4" w:space="0"/>
            </w:tcBorders>
            <w:shd w:val="clear" w:color="000000" w:fill="FFFFFF"/>
            <w:vAlign w:val="center"/>
          </w:tcPr>
          <w:p w14:paraId="65AAF260">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7）</w:t>
            </w:r>
            <w:r>
              <w:rPr>
                <w:rFonts w:hint="eastAsia" w:ascii="宋体" w:hAnsi="宋体" w:cs="宋体"/>
                <w:color w:val="auto"/>
                <w:kern w:val="0"/>
                <w:sz w:val="24"/>
              </w:rPr>
              <w:t>需</w:t>
            </w:r>
            <w:r>
              <w:rPr>
                <w:rFonts w:hint="eastAsia" w:ascii="宋体" w:hAnsi="宋体" w:cs="宋体"/>
                <w:color w:val="auto"/>
                <w:kern w:val="0"/>
                <w:sz w:val="24"/>
                <w:lang w:bidi="ar"/>
              </w:rPr>
              <w:t>支持表单预览，通过预览功能可随时查看表单配置效果。</w:t>
            </w:r>
          </w:p>
        </w:tc>
      </w:tr>
      <w:tr w14:paraId="7EBC9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continue"/>
            <w:shd w:val="clear" w:color="auto" w:fill="auto"/>
            <w:vAlign w:val="center"/>
          </w:tcPr>
          <w:p w14:paraId="1774CE06">
            <w:pPr>
              <w:pStyle w:val="968"/>
              <w:widowControl w:val="0"/>
              <w:spacing w:line="288" w:lineRule="auto"/>
              <w:ind w:firstLine="0" w:firstLineChars="0"/>
              <w:jc w:val="center"/>
              <w:rPr>
                <w:rFonts w:cs="宋体"/>
                <w:color w:val="auto"/>
                <w:szCs w:val="24"/>
              </w:rPr>
            </w:pPr>
          </w:p>
        </w:tc>
        <w:tc>
          <w:tcPr>
            <w:tcW w:w="582" w:type="pct"/>
            <w:tcBorders>
              <w:top w:val="nil"/>
              <w:left w:val="single" w:color="auto" w:sz="4" w:space="0"/>
              <w:bottom w:val="single" w:color="auto" w:sz="4" w:space="0"/>
              <w:right w:val="single" w:color="auto" w:sz="4" w:space="0"/>
            </w:tcBorders>
            <w:shd w:val="clear" w:color="000000" w:fill="FFFFFF"/>
            <w:vAlign w:val="center"/>
          </w:tcPr>
          <w:p w14:paraId="77106E14">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kern w:val="0"/>
                <w:sz w:val="24"/>
                <w:lang w:bidi="ar"/>
              </w:rPr>
              <w:t>项目访视配置</w:t>
            </w:r>
          </w:p>
        </w:tc>
        <w:tc>
          <w:tcPr>
            <w:tcW w:w="3981" w:type="pct"/>
            <w:tcBorders>
              <w:top w:val="nil"/>
              <w:left w:val="nil"/>
              <w:bottom w:val="single" w:color="auto" w:sz="4" w:space="0"/>
              <w:right w:val="single" w:color="auto" w:sz="4" w:space="0"/>
            </w:tcBorders>
            <w:shd w:val="clear" w:color="000000" w:fill="FFFFFF"/>
            <w:vAlign w:val="center"/>
          </w:tcPr>
          <w:p w14:paraId="4C5BF46B">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rPr>
              <w:t>需支持访视内容自定义配置，包括访视名称、访视类型、访视表单等，其中访式类型支持自由访视和一般访视，可根据访视需求灵活选择</w:t>
            </w:r>
            <w:r>
              <w:rPr>
                <w:rFonts w:hint="eastAsia" w:ascii="宋体" w:hAnsi="宋体" w:cs="宋体"/>
                <w:color w:val="auto"/>
                <w:kern w:val="0"/>
                <w:sz w:val="24"/>
                <w:lang w:bidi="ar"/>
              </w:rPr>
              <w:t>。</w:t>
            </w:r>
          </w:p>
        </w:tc>
      </w:tr>
      <w:tr w14:paraId="775B8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continue"/>
            <w:shd w:val="clear" w:color="auto" w:fill="auto"/>
            <w:vAlign w:val="center"/>
          </w:tcPr>
          <w:p w14:paraId="22F2F57F">
            <w:pPr>
              <w:pStyle w:val="968"/>
              <w:widowControl w:val="0"/>
              <w:spacing w:line="288" w:lineRule="auto"/>
              <w:ind w:firstLine="0" w:firstLineChars="0"/>
              <w:jc w:val="center"/>
              <w:rPr>
                <w:rFonts w:cs="宋体"/>
                <w:color w:val="auto"/>
                <w:szCs w:val="24"/>
              </w:rPr>
            </w:pPr>
          </w:p>
        </w:tc>
        <w:tc>
          <w:tcPr>
            <w:tcW w:w="582" w:type="pct"/>
            <w:tcBorders>
              <w:top w:val="nil"/>
              <w:left w:val="single" w:color="auto" w:sz="4" w:space="0"/>
              <w:bottom w:val="single" w:color="auto" w:sz="4" w:space="0"/>
              <w:right w:val="single" w:color="auto" w:sz="4" w:space="0"/>
            </w:tcBorders>
            <w:shd w:val="clear" w:color="000000" w:fill="FFFFFF"/>
            <w:vAlign w:val="center"/>
          </w:tcPr>
          <w:p w14:paraId="5DC0CDFF">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kern w:val="0"/>
                <w:sz w:val="24"/>
                <w:lang w:bidi="ar"/>
              </w:rPr>
              <w:t>随访日程配置</w:t>
            </w:r>
          </w:p>
        </w:tc>
        <w:tc>
          <w:tcPr>
            <w:tcW w:w="3981" w:type="pct"/>
            <w:tcBorders>
              <w:top w:val="nil"/>
              <w:left w:val="nil"/>
              <w:bottom w:val="single" w:color="auto" w:sz="4" w:space="0"/>
              <w:right w:val="single" w:color="auto" w:sz="4" w:space="0"/>
            </w:tcBorders>
            <w:shd w:val="clear" w:color="000000" w:fill="FFFFFF"/>
            <w:vAlign w:val="center"/>
          </w:tcPr>
          <w:p w14:paraId="48AB86B4">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对于随访项目，访视类型支持随访访视。需支持等距随访与自定义随访两种访视计划，从而灵活设定随访频次。</w:t>
            </w:r>
          </w:p>
        </w:tc>
      </w:tr>
      <w:tr w14:paraId="7EA8C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continue"/>
            <w:shd w:val="clear" w:color="auto" w:fill="auto"/>
            <w:vAlign w:val="center"/>
          </w:tcPr>
          <w:p w14:paraId="0CDB41B6">
            <w:pPr>
              <w:pStyle w:val="968"/>
              <w:widowControl w:val="0"/>
              <w:spacing w:line="288" w:lineRule="auto"/>
              <w:ind w:firstLine="0" w:firstLineChars="0"/>
              <w:jc w:val="center"/>
              <w:rPr>
                <w:rFonts w:cs="宋体"/>
                <w:color w:val="auto"/>
                <w:szCs w:val="24"/>
              </w:rPr>
            </w:pPr>
          </w:p>
        </w:tc>
        <w:tc>
          <w:tcPr>
            <w:tcW w:w="582" w:type="pct"/>
            <w:tcBorders>
              <w:top w:val="nil"/>
              <w:left w:val="single" w:color="auto" w:sz="4" w:space="0"/>
              <w:bottom w:val="single" w:color="auto" w:sz="4" w:space="0"/>
              <w:right w:val="single" w:color="auto" w:sz="4" w:space="0"/>
            </w:tcBorders>
            <w:shd w:val="clear" w:color="000000" w:fill="FFFFFF"/>
            <w:vAlign w:val="center"/>
          </w:tcPr>
          <w:p w14:paraId="5274A37B">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kern w:val="0"/>
                <w:sz w:val="24"/>
                <w:lang w:bidi="ar"/>
              </w:rPr>
              <w:t>项目</w:t>
            </w:r>
          </w:p>
          <w:p w14:paraId="5FB080A5">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kern w:val="0"/>
                <w:sz w:val="24"/>
                <w:lang w:bidi="ar"/>
              </w:rPr>
              <w:t>概览</w:t>
            </w:r>
          </w:p>
        </w:tc>
        <w:tc>
          <w:tcPr>
            <w:tcW w:w="3981" w:type="pct"/>
            <w:tcBorders>
              <w:top w:val="nil"/>
              <w:left w:val="nil"/>
              <w:bottom w:val="single" w:color="auto" w:sz="4" w:space="0"/>
              <w:right w:val="single" w:color="auto" w:sz="4" w:space="0"/>
            </w:tcBorders>
            <w:shd w:val="clear" w:color="000000" w:fill="FFFFFF"/>
            <w:vAlign w:val="center"/>
          </w:tcPr>
          <w:p w14:paraId="1144276A">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rPr>
              <w:t>需</w:t>
            </w:r>
            <w:r>
              <w:rPr>
                <w:rFonts w:hint="eastAsia" w:ascii="宋体" w:hAnsi="宋体" w:cs="宋体"/>
                <w:color w:val="auto"/>
                <w:kern w:val="0"/>
                <w:sz w:val="24"/>
                <w:lang w:bidi="ar"/>
              </w:rPr>
              <w:t>支持项目进度看板，以数据可视化的方式查看入组患者情况、数据录入情况等。</w:t>
            </w:r>
          </w:p>
        </w:tc>
      </w:tr>
      <w:tr w14:paraId="4CFC6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continue"/>
            <w:shd w:val="clear" w:color="auto" w:fill="auto"/>
            <w:vAlign w:val="center"/>
          </w:tcPr>
          <w:p w14:paraId="2D2B1C43">
            <w:pPr>
              <w:pStyle w:val="968"/>
              <w:widowControl w:val="0"/>
              <w:spacing w:line="288" w:lineRule="auto"/>
              <w:ind w:firstLine="0" w:firstLineChars="0"/>
              <w:jc w:val="center"/>
              <w:rPr>
                <w:rFonts w:cs="宋体"/>
                <w:color w:val="auto"/>
                <w:szCs w:val="24"/>
              </w:rPr>
            </w:pPr>
          </w:p>
        </w:tc>
        <w:tc>
          <w:tcPr>
            <w:tcW w:w="582" w:type="pct"/>
            <w:tcBorders>
              <w:top w:val="nil"/>
              <w:left w:val="single" w:color="auto" w:sz="4" w:space="0"/>
              <w:bottom w:val="single" w:color="auto" w:sz="4" w:space="0"/>
              <w:right w:val="single" w:color="auto" w:sz="4" w:space="0"/>
            </w:tcBorders>
            <w:shd w:val="clear" w:color="000000" w:fill="FFFFFF"/>
            <w:vAlign w:val="center"/>
          </w:tcPr>
          <w:p w14:paraId="69E7F3B4">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kern w:val="0"/>
                <w:sz w:val="24"/>
                <w:lang w:bidi="ar"/>
              </w:rPr>
              <w:t>患者</w:t>
            </w:r>
          </w:p>
          <w:p w14:paraId="027D3788">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kern w:val="0"/>
                <w:sz w:val="24"/>
                <w:lang w:bidi="ar"/>
              </w:rPr>
              <w:t>纳排</w:t>
            </w:r>
          </w:p>
        </w:tc>
        <w:tc>
          <w:tcPr>
            <w:tcW w:w="3981" w:type="pct"/>
            <w:tcBorders>
              <w:top w:val="nil"/>
              <w:left w:val="nil"/>
              <w:bottom w:val="single" w:color="auto" w:sz="4" w:space="0"/>
              <w:right w:val="single" w:color="auto" w:sz="4" w:space="0"/>
            </w:tcBorders>
            <w:shd w:val="clear" w:color="000000" w:fill="FFFFFF"/>
            <w:vAlign w:val="center"/>
          </w:tcPr>
          <w:p w14:paraId="18C8088B">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rPr>
              <w:t>需</w:t>
            </w:r>
            <w:r>
              <w:rPr>
                <w:rFonts w:hint="eastAsia" w:ascii="宋体" w:hAnsi="宋体" w:cs="宋体"/>
                <w:color w:val="auto"/>
                <w:kern w:val="0"/>
                <w:sz w:val="24"/>
                <w:lang w:bidi="ar"/>
              </w:rPr>
              <w:t>支持将搜索出的患者入组到项目中，支持查看和调整队列对应的筛选条件。用户可根据患者数据情况进一步审核患者是否入组。</w:t>
            </w:r>
          </w:p>
        </w:tc>
      </w:tr>
      <w:tr w14:paraId="519EE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continue"/>
            <w:shd w:val="clear" w:color="auto" w:fill="auto"/>
            <w:vAlign w:val="center"/>
          </w:tcPr>
          <w:p w14:paraId="0B4C6D0A">
            <w:pPr>
              <w:pStyle w:val="968"/>
              <w:widowControl w:val="0"/>
              <w:spacing w:line="288" w:lineRule="auto"/>
              <w:ind w:firstLine="0" w:firstLineChars="0"/>
              <w:jc w:val="center"/>
              <w:rPr>
                <w:rFonts w:cs="宋体"/>
                <w:color w:val="auto"/>
                <w:szCs w:val="24"/>
              </w:rPr>
            </w:pPr>
          </w:p>
        </w:tc>
        <w:tc>
          <w:tcPr>
            <w:tcW w:w="582" w:type="pct"/>
            <w:tcBorders>
              <w:top w:val="nil"/>
              <w:left w:val="single" w:color="auto" w:sz="4" w:space="0"/>
              <w:bottom w:val="single" w:color="auto" w:sz="4" w:space="0"/>
              <w:right w:val="single" w:color="auto" w:sz="4" w:space="0"/>
            </w:tcBorders>
            <w:shd w:val="clear" w:color="000000" w:fill="FFFFFF"/>
            <w:vAlign w:val="center"/>
          </w:tcPr>
          <w:p w14:paraId="0DFFDF72">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kern w:val="0"/>
                <w:sz w:val="24"/>
                <w:lang w:bidi="ar"/>
              </w:rPr>
              <w:t>患者</w:t>
            </w:r>
          </w:p>
          <w:p w14:paraId="2C2BBE7B">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kern w:val="0"/>
                <w:sz w:val="24"/>
                <w:lang w:bidi="ar"/>
              </w:rPr>
              <w:t>列表</w:t>
            </w:r>
          </w:p>
        </w:tc>
        <w:tc>
          <w:tcPr>
            <w:tcW w:w="3981" w:type="pct"/>
            <w:tcBorders>
              <w:top w:val="nil"/>
              <w:left w:val="nil"/>
              <w:bottom w:val="single" w:color="auto" w:sz="4" w:space="0"/>
              <w:right w:val="single" w:color="auto" w:sz="4" w:space="0"/>
            </w:tcBorders>
            <w:shd w:val="clear" w:color="000000" w:fill="FFFFFF"/>
            <w:vAlign w:val="center"/>
          </w:tcPr>
          <w:p w14:paraId="253732A7">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对于已经入组的患者</w:t>
            </w:r>
            <w:r>
              <w:rPr>
                <w:rFonts w:hint="eastAsia" w:ascii="宋体" w:hAnsi="宋体" w:cs="宋体"/>
                <w:color w:val="auto"/>
                <w:kern w:val="0"/>
                <w:sz w:val="24"/>
              </w:rPr>
              <w:t>需</w:t>
            </w:r>
            <w:r>
              <w:rPr>
                <w:rFonts w:hint="eastAsia" w:ascii="宋体" w:hAnsi="宋体" w:cs="宋体"/>
                <w:color w:val="auto"/>
                <w:kern w:val="0"/>
                <w:sz w:val="24"/>
                <w:lang w:bidi="ar"/>
              </w:rPr>
              <w:t>支持查看对应患者数据列表。支持新增、删除入组患者数据。</w:t>
            </w:r>
          </w:p>
        </w:tc>
      </w:tr>
      <w:tr w14:paraId="77803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continue"/>
            <w:shd w:val="clear" w:color="auto" w:fill="auto"/>
            <w:vAlign w:val="center"/>
          </w:tcPr>
          <w:p w14:paraId="58E242C2">
            <w:pPr>
              <w:pStyle w:val="968"/>
              <w:widowControl w:val="0"/>
              <w:spacing w:line="288" w:lineRule="auto"/>
              <w:ind w:firstLine="0" w:firstLineChars="0"/>
              <w:jc w:val="center"/>
              <w:rPr>
                <w:rFonts w:cs="宋体"/>
                <w:color w:val="auto"/>
                <w:szCs w:val="24"/>
              </w:rPr>
            </w:pPr>
          </w:p>
        </w:tc>
        <w:tc>
          <w:tcPr>
            <w:tcW w:w="582" w:type="pct"/>
            <w:tcBorders>
              <w:top w:val="nil"/>
              <w:left w:val="single" w:color="auto" w:sz="4" w:space="0"/>
              <w:bottom w:val="single" w:color="auto" w:sz="4" w:space="0"/>
              <w:right w:val="single" w:color="auto" w:sz="4" w:space="0"/>
            </w:tcBorders>
            <w:shd w:val="clear" w:color="000000" w:fill="FFFFFF"/>
            <w:vAlign w:val="center"/>
          </w:tcPr>
          <w:p w14:paraId="7B27E8C9">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kern w:val="0"/>
                <w:sz w:val="24"/>
                <w:lang w:bidi="ar"/>
              </w:rPr>
              <w:t>数据</w:t>
            </w:r>
          </w:p>
          <w:p w14:paraId="451A5ED4">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kern w:val="0"/>
                <w:sz w:val="24"/>
                <w:lang w:bidi="ar"/>
              </w:rPr>
              <w:t>录入</w:t>
            </w:r>
          </w:p>
        </w:tc>
        <w:tc>
          <w:tcPr>
            <w:tcW w:w="3981" w:type="pct"/>
            <w:tcBorders>
              <w:top w:val="nil"/>
              <w:left w:val="nil"/>
              <w:bottom w:val="single" w:color="auto" w:sz="4" w:space="0"/>
              <w:right w:val="single" w:color="auto" w:sz="4" w:space="0"/>
            </w:tcBorders>
            <w:shd w:val="clear" w:color="000000" w:fill="FFFFFF"/>
            <w:vAlign w:val="center"/>
          </w:tcPr>
          <w:p w14:paraId="1FB4D5F1">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rPr>
              <w:t>需</w:t>
            </w:r>
            <w:r>
              <w:rPr>
                <w:rFonts w:hint="eastAsia" w:ascii="宋体" w:hAnsi="宋体" w:cs="宋体"/>
                <w:color w:val="auto"/>
                <w:kern w:val="0"/>
                <w:sz w:val="24"/>
                <w:lang w:bidi="ar"/>
              </w:rPr>
              <w:t>支持进行数据录入，支持增加、删除访视，可自定义访视名称、选择访视菜单、添加访视内容。对于录入的数据支持保存与提交。</w:t>
            </w:r>
          </w:p>
        </w:tc>
      </w:tr>
      <w:tr w14:paraId="497B0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continue"/>
            <w:shd w:val="clear" w:color="auto" w:fill="auto"/>
            <w:vAlign w:val="center"/>
          </w:tcPr>
          <w:p w14:paraId="0D341AE6">
            <w:pPr>
              <w:pStyle w:val="968"/>
              <w:widowControl w:val="0"/>
              <w:spacing w:line="288" w:lineRule="auto"/>
              <w:ind w:firstLine="0" w:firstLineChars="0"/>
              <w:jc w:val="center"/>
              <w:rPr>
                <w:rFonts w:cs="宋体"/>
                <w:color w:val="auto"/>
                <w:szCs w:val="24"/>
              </w:rPr>
            </w:pPr>
          </w:p>
        </w:tc>
        <w:tc>
          <w:tcPr>
            <w:tcW w:w="582" w:type="pct"/>
            <w:tcBorders>
              <w:top w:val="nil"/>
              <w:left w:val="single" w:color="auto" w:sz="4" w:space="0"/>
              <w:bottom w:val="single" w:color="auto" w:sz="4" w:space="0"/>
              <w:right w:val="single" w:color="auto" w:sz="4" w:space="0"/>
            </w:tcBorders>
            <w:shd w:val="clear" w:color="000000" w:fill="FFFFFF"/>
            <w:vAlign w:val="center"/>
          </w:tcPr>
          <w:p w14:paraId="22F89A2F">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kern w:val="0"/>
                <w:sz w:val="24"/>
                <w:lang w:bidi="ar"/>
              </w:rPr>
              <w:t>数据预填充</w:t>
            </w:r>
          </w:p>
        </w:tc>
        <w:tc>
          <w:tcPr>
            <w:tcW w:w="3981" w:type="pct"/>
            <w:tcBorders>
              <w:top w:val="nil"/>
              <w:left w:val="nil"/>
              <w:bottom w:val="single" w:color="auto" w:sz="4" w:space="0"/>
              <w:right w:val="single" w:color="auto" w:sz="4" w:space="0"/>
            </w:tcBorders>
            <w:shd w:val="clear" w:color="000000" w:fill="FFFFFF"/>
            <w:vAlign w:val="center"/>
          </w:tcPr>
          <w:p w14:paraId="363FD27E">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rPr>
              <w:t>需</w:t>
            </w:r>
            <w:r>
              <w:rPr>
                <w:rFonts w:hint="eastAsia" w:ascii="宋体" w:hAnsi="宋体" w:cs="宋体"/>
                <w:color w:val="auto"/>
                <w:kern w:val="0"/>
                <w:sz w:val="24"/>
                <w:lang w:bidi="ar"/>
              </w:rPr>
              <w:t>支持部分人口学信息模块的研究指标实现自动预填写，包括患者姓名、性别、出生日期、民族、职业等内容，从而提升数据录入效率。</w:t>
            </w:r>
          </w:p>
        </w:tc>
      </w:tr>
      <w:tr w14:paraId="1876D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continue"/>
            <w:shd w:val="clear" w:color="auto" w:fill="auto"/>
            <w:vAlign w:val="center"/>
          </w:tcPr>
          <w:p w14:paraId="0FFAA50E">
            <w:pPr>
              <w:pStyle w:val="968"/>
              <w:widowControl w:val="0"/>
              <w:spacing w:line="288" w:lineRule="auto"/>
              <w:ind w:firstLine="0" w:firstLineChars="0"/>
              <w:jc w:val="center"/>
              <w:rPr>
                <w:rFonts w:cs="宋体"/>
                <w:color w:val="auto"/>
                <w:szCs w:val="24"/>
              </w:rPr>
            </w:pPr>
          </w:p>
        </w:tc>
        <w:tc>
          <w:tcPr>
            <w:tcW w:w="582" w:type="pct"/>
            <w:tcBorders>
              <w:top w:val="nil"/>
              <w:left w:val="single" w:color="auto" w:sz="4" w:space="0"/>
              <w:bottom w:val="single" w:color="auto" w:sz="4" w:space="0"/>
              <w:right w:val="single" w:color="auto" w:sz="4" w:space="0"/>
            </w:tcBorders>
            <w:shd w:val="clear" w:color="000000" w:fill="FFFFFF"/>
            <w:vAlign w:val="center"/>
          </w:tcPr>
          <w:p w14:paraId="1D9AC236">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kern w:val="0"/>
                <w:sz w:val="24"/>
                <w:lang w:bidi="ar"/>
              </w:rPr>
              <w:t>数据</w:t>
            </w:r>
          </w:p>
          <w:p w14:paraId="551946F7">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kern w:val="0"/>
                <w:sz w:val="24"/>
                <w:lang w:bidi="ar"/>
              </w:rPr>
              <w:t>留痕</w:t>
            </w:r>
          </w:p>
        </w:tc>
        <w:tc>
          <w:tcPr>
            <w:tcW w:w="3981" w:type="pct"/>
            <w:tcBorders>
              <w:top w:val="nil"/>
              <w:left w:val="nil"/>
              <w:bottom w:val="single" w:color="auto" w:sz="4" w:space="0"/>
              <w:right w:val="single" w:color="auto" w:sz="4" w:space="0"/>
            </w:tcBorders>
            <w:shd w:val="clear" w:color="000000" w:fill="FFFFFF"/>
            <w:vAlign w:val="center"/>
          </w:tcPr>
          <w:p w14:paraId="45C45828">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rPr>
              <w:t>需</w:t>
            </w:r>
            <w:r>
              <w:rPr>
                <w:rFonts w:hint="eastAsia" w:ascii="宋体" w:hAnsi="宋体" w:cs="宋体"/>
                <w:color w:val="auto"/>
                <w:kern w:val="0"/>
                <w:sz w:val="24"/>
                <w:lang w:bidi="ar"/>
              </w:rPr>
              <w:t>支持数据留痕，包括字段修改留痕、字段质疑痕迹、字段状态留痕，实现数据录入全程追踪。</w:t>
            </w:r>
          </w:p>
        </w:tc>
      </w:tr>
      <w:tr w14:paraId="59DD2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continue"/>
            <w:shd w:val="clear" w:color="auto" w:fill="auto"/>
            <w:vAlign w:val="center"/>
          </w:tcPr>
          <w:p w14:paraId="22E22A24">
            <w:pPr>
              <w:pStyle w:val="968"/>
              <w:widowControl w:val="0"/>
              <w:spacing w:line="288" w:lineRule="auto"/>
              <w:ind w:firstLine="0" w:firstLineChars="0"/>
              <w:jc w:val="center"/>
              <w:rPr>
                <w:rFonts w:cs="宋体"/>
                <w:color w:val="auto"/>
                <w:szCs w:val="24"/>
              </w:rPr>
            </w:pPr>
          </w:p>
        </w:tc>
        <w:tc>
          <w:tcPr>
            <w:tcW w:w="582" w:type="pct"/>
            <w:tcBorders>
              <w:top w:val="nil"/>
              <w:left w:val="single" w:color="auto" w:sz="4" w:space="0"/>
              <w:bottom w:val="single" w:color="auto" w:sz="4" w:space="0"/>
              <w:right w:val="single" w:color="auto" w:sz="4" w:space="0"/>
            </w:tcBorders>
            <w:shd w:val="clear" w:color="000000" w:fill="FFFFFF"/>
            <w:vAlign w:val="center"/>
          </w:tcPr>
          <w:p w14:paraId="59776784">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kern w:val="0"/>
                <w:sz w:val="24"/>
                <w:lang w:bidi="ar"/>
              </w:rPr>
              <w:t>随访</w:t>
            </w:r>
          </w:p>
          <w:p w14:paraId="54CB14E2">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kern w:val="0"/>
                <w:sz w:val="24"/>
                <w:lang w:bidi="ar"/>
              </w:rPr>
              <w:t>日历</w:t>
            </w:r>
          </w:p>
        </w:tc>
        <w:tc>
          <w:tcPr>
            <w:tcW w:w="3981" w:type="pct"/>
            <w:tcBorders>
              <w:top w:val="nil"/>
              <w:left w:val="nil"/>
              <w:bottom w:val="single" w:color="auto" w:sz="4" w:space="0"/>
              <w:right w:val="single" w:color="auto" w:sz="4" w:space="0"/>
            </w:tcBorders>
            <w:shd w:val="clear" w:color="000000" w:fill="FFFFFF"/>
            <w:vAlign w:val="center"/>
          </w:tcPr>
          <w:p w14:paraId="0DED0B74">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对于随访项目</w:t>
            </w:r>
            <w:r>
              <w:rPr>
                <w:rFonts w:hint="eastAsia" w:ascii="宋体" w:hAnsi="宋体" w:cs="宋体"/>
                <w:color w:val="auto"/>
                <w:kern w:val="0"/>
                <w:sz w:val="24"/>
              </w:rPr>
              <w:t>需</w:t>
            </w:r>
            <w:r>
              <w:rPr>
                <w:rFonts w:hint="eastAsia" w:ascii="宋体" w:hAnsi="宋体" w:cs="宋体"/>
                <w:color w:val="auto"/>
                <w:kern w:val="0"/>
                <w:sz w:val="24"/>
                <w:lang w:bidi="ar"/>
              </w:rPr>
              <w:t>支持根据患者入组时间自动生成随访日程，并以日历形式提供每日的随访工作安排，方便随访人员快速开展随访数据录入工作。</w:t>
            </w:r>
          </w:p>
        </w:tc>
      </w:tr>
      <w:tr w14:paraId="0AA7D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continue"/>
            <w:shd w:val="clear" w:color="auto" w:fill="auto"/>
            <w:vAlign w:val="center"/>
          </w:tcPr>
          <w:p w14:paraId="13A5E977">
            <w:pPr>
              <w:pStyle w:val="968"/>
              <w:widowControl w:val="0"/>
              <w:spacing w:line="288" w:lineRule="auto"/>
              <w:ind w:firstLine="0" w:firstLineChars="0"/>
              <w:jc w:val="center"/>
              <w:rPr>
                <w:rFonts w:cs="宋体"/>
                <w:color w:val="auto"/>
                <w:szCs w:val="24"/>
              </w:rPr>
            </w:pPr>
          </w:p>
        </w:tc>
        <w:tc>
          <w:tcPr>
            <w:tcW w:w="582" w:type="pct"/>
            <w:tcBorders>
              <w:top w:val="nil"/>
              <w:left w:val="single" w:color="auto" w:sz="4" w:space="0"/>
              <w:bottom w:val="single" w:color="auto" w:sz="4" w:space="0"/>
              <w:right w:val="single" w:color="auto" w:sz="4" w:space="0"/>
            </w:tcBorders>
            <w:shd w:val="clear" w:color="000000" w:fill="FFFFFF"/>
            <w:vAlign w:val="center"/>
          </w:tcPr>
          <w:p w14:paraId="5EFA4947">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kern w:val="0"/>
                <w:sz w:val="24"/>
                <w:lang w:bidi="ar"/>
              </w:rPr>
              <w:t>数据</w:t>
            </w:r>
          </w:p>
          <w:p w14:paraId="42DA1AD5">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kern w:val="0"/>
                <w:sz w:val="24"/>
                <w:lang w:bidi="ar"/>
              </w:rPr>
              <w:t>导出</w:t>
            </w:r>
          </w:p>
        </w:tc>
        <w:tc>
          <w:tcPr>
            <w:tcW w:w="3981" w:type="pct"/>
            <w:tcBorders>
              <w:top w:val="nil"/>
              <w:left w:val="nil"/>
              <w:bottom w:val="single" w:color="auto" w:sz="4" w:space="0"/>
              <w:right w:val="single" w:color="auto" w:sz="4" w:space="0"/>
            </w:tcBorders>
            <w:shd w:val="clear" w:color="000000" w:fill="FFFFFF"/>
            <w:vAlign w:val="center"/>
          </w:tcPr>
          <w:p w14:paraId="444448C0">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rPr>
              <w:t>需</w:t>
            </w:r>
            <w:r>
              <w:rPr>
                <w:rFonts w:hint="eastAsia" w:ascii="宋体" w:hAnsi="宋体" w:cs="宋体"/>
                <w:color w:val="auto"/>
                <w:kern w:val="0"/>
                <w:sz w:val="24"/>
                <w:lang w:bidi="ar"/>
              </w:rPr>
              <w:t>支持数据导出，可按照数据表单模块自定义选择需要导出的数据范围，</w:t>
            </w:r>
            <w:r>
              <w:rPr>
                <w:rFonts w:hint="eastAsia" w:ascii="宋体" w:hAnsi="宋体" w:cs="宋体"/>
                <w:color w:val="auto"/>
                <w:kern w:val="0"/>
                <w:sz w:val="24"/>
              </w:rPr>
              <w:t>需</w:t>
            </w:r>
            <w:r>
              <w:rPr>
                <w:rFonts w:hint="eastAsia" w:ascii="宋体" w:hAnsi="宋体" w:cs="宋体"/>
                <w:color w:val="auto"/>
                <w:kern w:val="0"/>
                <w:sz w:val="24"/>
                <w:lang w:bidi="ar"/>
              </w:rPr>
              <w:t>支持以excel格式导出CRF表单数据。</w:t>
            </w:r>
          </w:p>
        </w:tc>
      </w:tr>
      <w:bookmarkEnd w:id="38"/>
      <w:tr w14:paraId="14699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restart"/>
            <w:vAlign w:val="center"/>
          </w:tcPr>
          <w:p w14:paraId="634D0A42">
            <w:pPr>
              <w:pStyle w:val="968"/>
              <w:widowControl w:val="0"/>
              <w:spacing w:line="288" w:lineRule="auto"/>
              <w:ind w:firstLine="0" w:firstLineChars="0"/>
              <w:jc w:val="center"/>
              <w:rPr>
                <w:rFonts w:cs="宋体"/>
                <w:color w:val="auto"/>
                <w:szCs w:val="24"/>
              </w:rPr>
            </w:pPr>
            <w:r>
              <w:rPr>
                <w:rFonts w:hint="eastAsia" w:cs="宋体"/>
                <w:color w:val="auto"/>
                <w:szCs w:val="24"/>
              </w:rPr>
              <w:t>多模态数据科研</w:t>
            </w:r>
          </w:p>
        </w:tc>
        <w:tc>
          <w:tcPr>
            <w:tcW w:w="582" w:type="pct"/>
            <w:vMerge w:val="restart"/>
            <w:vAlign w:val="center"/>
          </w:tcPr>
          <w:p w14:paraId="1D8F5F25">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kern w:val="0"/>
                <w:sz w:val="24"/>
                <w:lang w:bidi="ar"/>
              </w:rPr>
              <w:t>数据</w:t>
            </w:r>
          </w:p>
          <w:p w14:paraId="2041C7C4">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kern w:val="0"/>
                <w:sz w:val="24"/>
                <w:lang w:bidi="ar"/>
              </w:rPr>
              <w:t>标注</w:t>
            </w:r>
          </w:p>
        </w:tc>
        <w:tc>
          <w:tcPr>
            <w:tcW w:w="3981" w:type="pct"/>
            <w:vAlign w:val="center"/>
          </w:tcPr>
          <w:p w14:paraId="16995BF5">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1）能够进行图像数据线上和线下标注，方便科研人员灵活处理标注数据。</w:t>
            </w:r>
          </w:p>
        </w:tc>
      </w:tr>
      <w:tr w14:paraId="43377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continue"/>
            <w:vAlign w:val="center"/>
          </w:tcPr>
          <w:p w14:paraId="30E70D02">
            <w:pPr>
              <w:pStyle w:val="968"/>
              <w:widowControl w:val="0"/>
              <w:spacing w:line="288" w:lineRule="auto"/>
              <w:ind w:firstLine="0" w:firstLineChars="0"/>
              <w:jc w:val="center"/>
              <w:rPr>
                <w:rFonts w:cs="宋体"/>
                <w:color w:val="auto"/>
                <w:szCs w:val="24"/>
              </w:rPr>
            </w:pPr>
          </w:p>
        </w:tc>
        <w:tc>
          <w:tcPr>
            <w:tcW w:w="582" w:type="pct"/>
            <w:vMerge w:val="continue"/>
            <w:vAlign w:val="center"/>
          </w:tcPr>
          <w:p w14:paraId="2AEACB56">
            <w:pPr>
              <w:widowControl/>
              <w:adjustRightInd/>
              <w:spacing w:line="288" w:lineRule="auto"/>
              <w:jc w:val="center"/>
              <w:textAlignment w:val="top"/>
              <w:rPr>
                <w:rFonts w:ascii="宋体" w:hAnsi="宋体" w:cs="宋体"/>
                <w:color w:val="auto"/>
                <w:kern w:val="0"/>
                <w:sz w:val="24"/>
                <w:lang w:bidi="ar"/>
              </w:rPr>
            </w:pPr>
          </w:p>
        </w:tc>
        <w:tc>
          <w:tcPr>
            <w:tcW w:w="3981" w:type="pct"/>
            <w:vAlign w:val="center"/>
          </w:tcPr>
          <w:p w14:paraId="0C877245">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sz w:val="24"/>
              </w:rPr>
              <w:t>▲</w:t>
            </w:r>
            <w:r>
              <w:rPr>
                <w:rFonts w:hint="eastAsia" w:ascii="宋体" w:hAnsi="宋体" w:cs="宋体"/>
                <w:color w:val="auto"/>
                <w:kern w:val="0"/>
                <w:sz w:val="24"/>
                <w:lang w:bidi="ar"/>
              </w:rPr>
              <w:t>2）</w:t>
            </w:r>
            <w:r>
              <w:rPr>
                <w:rFonts w:hint="eastAsia" w:ascii="宋体" w:hAnsi="宋体" w:cs="宋体"/>
                <w:color w:val="auto"/>
                <w:kern w:val="0"/>
                <w:sz w:val="24"/>
              </w:rPr>
              <w:t>需</w:t>
            </w:r>
            <w:r>
              <w:rPr>
                <w:rFonts w:hint="eastAsia" w:ascii="宋体" w:hAnsi="宋体" w:cs="宋体"/>
                <w:color w:val="auto"/>
                <w:kern w:val="0"/>
                <w:sz w:val="24"/>
                <w:lang w:bidi="ar"/>
              </w:rPr>
              <w:t>支持图像数据自动标注、自动选框标注、点状标注、插值标注功能、扩展标注功能，满足各类标注应用场景。</w:t>
            </w:r>
            <w:r>
              <w:rPr>
                <w:rFonts w:hint="eastAsia" w:ascii="宋体" w:hAnsi="宋体" w:cs="宋体"/>
                <w:color w:val="auto"/>
                <w:kern w:val="0"/>
                <w:sz w:val="24"/>
                <w:lang w:bidi="ar"/>
              </w:rPr>
              <w:br w:type="textWrapping"/>
            </w:r>
            <w:r>
              <w:rPr>
                <w:rFonts w:hint="eastAsia" w:ascii="宋体" w:hAnsi="宋体" w:cs="宋体"/>
                <w:b/>
                <w:bCs/>
                <w:color w:val="auto"/>
                <w:kern w:val="0"/>
                <w:sz w:val="24"/>
                <w:lang w:bidi="ar"/>
              </w:rPr>
              <w:t>注：投标人须在投标文件中提供相关证明截图材料作为佐证，未提供或无法证明的本项即为负偏离。</w:t>
            </w:r>
          </w:p>
        </w:tc>
      </w:tr>
      <w:tr w14:paraId="14DB0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continue"/>
            <w:vAlign w:val="center"/>
          </w:tcPr>
          <w:p w14:paraId="41734AAF">
            <w:pPr>
              <w:pStyle w:val="968"/>
              <w:widowControl w:val="0"/>
              <w:spacing w:line="288" w:lineRule="auto"/>
              <w:ind w:firstLine="0" w:firstLineChars="0"/>
              <w:jc w:val="center"/>
              <w:rPr>
                <w:rFonts w:cs="宋体"/>
                <w:color w:val="auto"/>
                <w:szCs w:val="24"/>
              </w:rPr>
            </w:pPr>
          </w:p>
        </w:tc>
        <w:tc>
          <w:tcPr>
            <w:tcW w:w="582" w:type="pct"/>
            <w:vMerge w:val="continue"/>
            <w:vAlign w:val="center"/>
          </w:tcPr>
          <w:p w14:paraId="7F050572">
            <w:pPr>
              <w:widowControl/>
              <w:adjustRightInd/>
              <w:spacing w:line="288" w:lineRule="auto"/>
              <w:jc w:val="center"/>
              <w:textAlignment w:val="top"/>
              <w:rPr>
                <w:rFonts w:ascii="宋体" w:hAnsi="宋体" w:cs="宋体"/>
                <w:color w:val="auto"/>
                <w:kern w:val="0"/>
                <w:sz w:val="24"/>
                <w:lang w:bidi="ar"/>
              </w:rPr>
            </w:pPr>
          </w:p>
        </w:tc>
        <w:tc>
          <w:tcPr>
            <w:tcW w:w="3981" w:type="pct"/>
            <w:vAlign w:val="center"/>
          </w:tcPr>
          <w:p w14:paraId="7EAED980">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▲3）AI辅助标注，需支持应用AI算法实现对图像病灶的自动标注，提高标注效率。</w:t>
            </w:r>
            <w:r>
              <w:rPr>
                <w:rFonts w:hint="eastAsia" w:ascii="宋体" w:hAnsi="宋体" w:cs="宋体"/>
                <w:color w:val="auto"/>
                <w:kern w:val="0"/>
                <w:sz w:val="24"/>
                <w:lang w:bidi="ar"/>
              </w:rPr>
              <w:br w:type="textWrapping"/>
            </w:r>
            <w:r>
              <w:rPr>
                <w:rFonts w:hint="eastAsia" w:ascii="宋体" w:hAnsi="宋体" w:cs="宋体"/>
                <w:b/>
                <w:bCs/>
                <w:color w:val="auto"/>
                <w:kern w:val="0"/>
                <w:sz w:val="24"/>
                <w:lang w:bidi="ar"/>
              </w:rPr>
              <w:t>注：投标人须在投标文件中提供相关证明截图材料作为佐证，未提供或无法证明的本项即为负偏离。</w:t>
            </w:r>
          </w:p>
        </w:tc>
      </w:tr>
      <w:tr w14:paraId="796C1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436" w:type="pct"/>
            <w:vMerge w:val="continue"/>
            <w:vAlign w:val="center"/>
          </w:tcPr>
          <w:p w14:paraId="3129E223">
            <w:pPr>
              <w:pStyle w:val="968"/>
              <w:widowControl w:val="0"/>
              <w:spacing w:line="288" w:lineRule="auto"/>
              <w:ind w:firstLine="0" w:firstLineChars="0"/>
              <w:jc w:val="center"/>
              <w:rPr>
                <w:rFonts w:cs="宋体"/>
                <w:color w:val="auto"/>
                <w:szCs w:val="24"/>
              </w:rPr>
            </w:pPr>
          </w:p>
        </w:tc>
        <w:tc>
          <w:tcPr>
            <w:tcW w:w="582" w:type="pct"/>
            <w:vMerge w:val="continue"/>
            <w:vAlign w:val="center"/>
          </w:tcPr>
          <w:p w14:paraId="2ED53913">
            <w:pPr>
              <w:widowControl/>
              <w:adjustRightInd/>
              <w:spacing w:line="288" w:lineRule="auto"/>
              <w:jc w:val="center"/>
              <w:textAlignment w:val="top"/>
              <w:rPr>
                <w:rFonts w:ascii="宋体" w:hAnsi="宋体" w:cs="宋体"/>
                <w:color w:val="auto"/>
                <w:kern w:val="0"/>
                <w:sz w:val="24"/>
                <w:lang w:bidi="ar"/>
              </w:rPr>
            </w:pPr>
          </w:p>
        </w:tc>
        <w:tc>
          <w:tcPr>
            <w:tcW w:w="3981" w:type="pct"/>
            <w:vAlign w:val="center"/>
          </w:tcPr>
          <w:p w14:paraId="44FB5802">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4）需具备通用医疗大模型的能力，支持采用通用医疗分割模型进行交互式分割，支持点选、框选等模式，支持病灶分割、器官分割。</w:t>
            </w:r>
          </w:p>
        </w:tc>
      </w:tr>
      <w:tr w14:paraId="25D20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436" w:type="pct"/>
            <w:vMerge w:val="continue"/>
            <w:vAlign w:val="center"/>
          </w:tcPr>
          <w:p w14:paraId="41CF6A04">
            <w:pPr>
              <w:pStyle w:val="968"/>
              <w:widowControl w:val="0"/>
              <w:spacing w:line="288" w:lineRule="auto"/>
              <w:ind w:firstLine="0" w:firstLineChars="0"/>
              <w:jc w:val="center"/>
              <w:rPr>
                <w:rFonts w:cs="宋体"/>
                <w:color w:val="auto"/>
                <w:szCs w:val="24"/>
              </w:rPr>
            </w:pPr>
          </w:p>
        </w:tc>
        <w:tc>
          <w:tcPr>
            <w:tcW w:w="582" w:type="pct"/>
            <w:vMerge w:val="continue"/>
            <w:vAlign w:val="center"/>
          </w:tcPr>
          <w:p w14:paraId="4D22E7CE">
            <w:pPr>
              <w:widowControl/>
              <w:adjustRightInd/>
              <w:spacing w:line="288" w:lineRule="auto"/>
              <w:jc w:val="center"/>
              <w:textAlignment w:val="top"/>
              <w:rPr>
                <w:rFonts w:ascii="宋体" w:hAnsi="宋体" w:cs="宋体"/>
                <w:color w:val="auto"/>
                <w:kern w:val="0"/>
                <w:sz w:val="24"/>
                <w:lang w:bidi="ar"/>
              </w:rPr>
            </w:pPr>
          </w:p>
        </w:tc>
        <w:tc>
          <w:tcPr>
            <w:tcW w:w="3981" w:type="pct"/>
            <w:vAlign w:val="center"/>
          </w:tcPr>
          <w:p w14:paraId="4F23A732">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5）需具备支持病理数据标注的能力，包括细胞病理、组织病理、免疫组化中的上皮细胞、淋巴细胞、精母细胞、癌细胞分割等。</w:t>
            </w:r>
          </w:p>
        </w:tc>
      </w:tr>
      <w:tr w14:paraId="44E9D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436" w:type="pct"/>
            <w:vMerge w:val="continue"/>
            <w:vAlign w:val="center"/>
          </w:tcPr>
          <w:p w14:paraId="06A73992">
            <w:pPr>
              <w:pStyle w:val="968"/>
              <w:widowControl w:val="0"/>
              <w:spacing w:line="288" w:lineRule="auto"/>
              <w:ind w:firstLine="0" w:firstLineChars="0"/>
              <w:jc w:val="center"/>
              <w:rPr>
                <w:rFonts w:cs="宋体"/>
                <w:color w:val="auto"/>
                <w:szCs w:val="24"/>
              </w:rPr>
            </w:pPr>
          </w:p>
        </w:tc>
        <w:tc>
          <w:tcPr>
            <w:tcW w:w="582" w:type="pct"/>
            <w:vMerge w:val="continue"/>
            <w:vAlign w:val="center"/>
          </w:tcPr>
          <w:p w14:paraId="58584F82">
            <w:pPr>
              <w:widowControl/>
              <w:adjustRightInd/>
              <w:spacing w:line="288" w:lineRule="auto"/>
              <w:jc w:val="center"/>
              <w:textAlignment w:val="top"/>
              <w:rPr>
                <w:rFonts w:ascii="宋体" w:hAnsi="宋体" w:cs="宋体"/>
                <w:color w:val="auto"/>
                <w:kern w:val="0"/>
                <w:sz w:val="24"/>
                <w:lang w:bidi="ar"/>
              </w:rPr>
            </w:pPr>
          </w:p>
        </w:tc>
        <w:tc>
          <w:tcPr>
            <w:tcW w:w="3981" w:type="pct"/>
            <w:vAlign w:val="center"/>
          </w:tcPr>
          <w:p w14:paraId="4EEF1447">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6）</w:t>
            </w:r>
            <w:r>
              <w:rPr>
                <w:rFonts w:hint="eastAsia" w:ascii="宋体" w:hAnsi="宋体" w:cs="宋体"/>
                <w:color w:val="auto"/>
                <w:kern w:val="0"/>
                <w:sz w:val="24"/>
              </w:rPr>
              <w:t>需支持影像特征自动提取，需支持超过2600种影像特征的批量计算及导出</w:t>
            </w:r>
            <w:r>
              <w:rPr>
                <w:rFonts w:hint="eastAsia" w:ascii="宋体" w:hAnsi="宋体" w:cs="宋体"/>
                <w:color w:val="auto"/>
                <w:kern w:val="0"/>
                <w:sz w:val="24"/>
                <w:lang w:bidi="ar"/>
              </w:rPr>
              <w:t>。</w:t>
            </w:r>
          </w:p>
        </w:tc>
      </w:tr>
      <w:tr w14:paraId="32C3F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continue"/>
            <w:vAlign w:val="center"/>
          </w:tcPr>
          <w:p w14:paraId="58FADB66">
            <w:pPr>
              <w:pStyle w:val="968"/>
              <w:widowControl w:val="0"/>
              <w:spacing w:line="288" w:lineRule="auto"/>
              <w:ind w:firstLine="0" w:firstLineChars="0"/>
              <w:jc w:val="center"/>
              <w:rPr>
                <w:rFonts w:cs="宋体"/>
                <w:color w:val="auto"/>
                <w:szCs w:val="24"/>
              </w:rPr>
            </w:pPr>
          </w:p>
        </w:tc>
        <w:tc>
          <w:tcPr>
            <w:tcW w:w="582" w:type="pct"/>
            <w:vMerge w:val="restart"/>
            <w:vAlign w:val="center"/>
          </w:tcPr>
          <w:p w14:paraId="2ABFBCFC">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kern w:val="0"/>
                <w:sz w:val="24"/>
                <w:lang w:bidi="ar"/>
              </w:rPr>
              <w:t>机器</w:t>
            </w:r>
          </w:p>
          <w:p w14:paraId="18C1DCBA">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kern w:val="0"/>
                <w:sz w:val="24"/>
                <w:lang w:bidi="ar"/>
              </w:rPr>
              <w:t>学习</w:t>
            </w:r>
          </w:p>
        </w:tc>
        <w:tc>
          <w:tcPr>
            <w:tcW w:w="3981" w:type="pct"/>
            <w:vAlign w:val="center"/>
          </w:tcPr>
          <w:p w14:paraId="603D827E">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▲1）</w:t>
            </w:r>
            <w:r>
              <w:rPr>
                <w:rFonts w:hint="eastAsia" w:ascii="宋体" w:hAnsi="宋体" w:cs="宋体"/>
                <w:color w:val="auto"/>
                <w:kern w:val="0"/>
                <w:sz w:val="24"/>
              </w:rPr>
              <w:t>需</w:t>
            </w:r>
            <w:r>
              <w:rPr>
                <w:rFonts w:hint="eastAsia" w:ascii="宋体" w:hAnsi="宋体" w:cs="宋体"/>
                <w:color w:val="auto"/>
                <w:kern w:val="0"/>
                <w:sz w:val="24"/>
                <w:lang w:bidi="ar"/>
              </w:rPr>
              <w:t>支持以可视化的操作方法进行各类参数配置，包括配置因变量、配置组学特征滤波变换、配置组学特征类型、配置模型验证方法、特征清洗等能力。</w:t>
            </w:r>
            <w:r>
              <w:rPr>
                <w:rFonts w:hint="eastAsia" w:ascii="宋体" w:hAnsi="宋体" w:cs="宋体"/>
                <w:color w:val="auto"/>
                <w:kern w:val="0"/>
                <w:sz w:val="24"/>
                <w:lang w:bidi="ar"/>
              </w:rPr>
              <w:br w:type="textWrapping"/>
            </w:r>
            <w:r>
              <w:rPr>
                <w:rFonts w:hint="eastAsia" w:ascii="宋体" w:hAnsi="宋体" w:cs="宋体"/>
                <w:b/>
                <w:bCs/>
                <w:color w:val="auto"/>
                <w:kern w:val="0"/>
                <w:sz w:val="24"/>
                <w:lang w:bidi="ar"/>
              </w:rPr>
              <w:t>注：投标人须在投标文件中提供相关证明截图材料作为佐证，未提供或无法证明的本项即为负偏离。</w:t>
            </w:r>
          </w:p>
        </w:tc>
      </w:tr>
      <w:tr w14:paraId="081F6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continue"/>
            <w:vAlign w:val="center"/>
          </w:tcPr>
          <w:p w14:paraId="23843045">
            <w:pPr>
              <w:pStyle w:val="968"/>
              <w:widowControl w:val="0"/>
              <w:spacing w:line="288" w:lineRule="auto"/>
              <w:ind w:firstLine="0" w:firstLineChars="0"/>
              <w:jc w:val="center"/>
              <w:rPr>
                <w:rFonts w:cs="宋体"/>
                <w:color w:val="auto"/>
                <w:szCs w:val="24"/>
              </w:rPr>
            </w:pPr>
          </w:p>
        </w:tc>
        <w:tc>
          <w:tcPr>
            <w:tcW w:w="582" w:type="pct"/>
            <w:vMerge w:val="continue"/>
            <w:vAlign w:val="center"/>
          </w:tcPr>
          <w:p w14:paraId="213C802A">
            <w:pPr>
              <w:widowControl/>
              <w:adjustRightInd/>
              <w:spacing w:line="288" w:lineRule="auto"/>
              <w:jc w:val="center"/>
              <w:textAlignment w:val="top"/>
              <w:rPr>
                <w:rFonts w:ascii="宋体" w:hAnsi="宋体" w:cs="宋体"/>
                <w:color w:val="auto"/>
                <w:kern w:val="0"/>
                <w:sz w:val="24"/>
                <w:lang w:bidi="ar"/>
              </w:rPr>
            </w:pPr>
          </w:p>
        </w:tc>
        <w:tc>
          <w:tcPr>
            <w:tcW w:w="3981" w:type="pct"/>
            <w:vAlign w:val="center"/>
          </w:tcPr>
          <w:p w14:paraId="290D8E78">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2）需支持Logistic Regression、SVM、Linear SVC、Decision Tree、Random Forest、Ada Boost、Gradient Boosting、XG Boost、Bernoulli NB、Gaussian NB、K Nearest Neighbors、Linear Discriminant Analysis、SGD、Multilayer Perceptron等14种及以上机器学习模型。</w:t>
            </w:r>
          </w:p>
        </w:tc>
      </w:tr>
      <w:tr w14:paraId="0B973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continue"/>
            <w:vAlign w:val="center"/>
          </w:tcPr>
          <w:p w14:paraId="3804B786">
            <w:pPr>
              <w:pStyle w:val="968"/>
              <w:widowControl w:val="0"/>
              <w:spacing w:line="288" w:lineRule="auto"/>
              <w:ind w:firstLine="0" w:firstLineChars="0"/>
              <w:jc w:val="center"/>
              <w:rPr>
                <w:rFonts w:cs="宋体"/>
                <w:color w:val="auto"/>
                <w:szCs w:val="24"/>
              </w:rPr>
            </w:pPr>
          </w:p>
        </w:tc>
        <w:tc>
          <w:tcPr>
            <w:tcW w:w="582" w:type="pct"/>
            <w:vMerge w:val="continue"/>
            <w:vAlign w:val="center"/>
          </w:tcPr>
          <w:p w14:paraId="28015FDB">
            <w:pPr>
              <w:widowControl/>
              <w:adjustRightInd/>
              <w:spacing w:line="288" w:lineRule="auto"/>
              <w:jc w:val="center"/>
              <w:textAlignment w:val="top"/>
              <w:rPr>
                <w:rFonts w:ascii="宋体" w:hAnsi="宋体" w:cs="宋体"/>
                <w:color w:val="auto"/>
                <w:kern w:val="0"/>
                <w:sz w:val="24"/>
                <w:lang w:bidi="ar"/>
              </w:rPr>
            </w:pPr>
          </w:p>
        </w:tc>
        <w:tc>
          <w:tcPr>
            <w:tcW w:w="3981" w:type="pct"/>
            <w:vAlign w:val="center"/>
          </w:tcPr>
          <w:p w14:paraId="57C715AC">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3）需支持模型调参、全局超参搜索等能力。</w:t>
            </w:r>
          </w:p>
        </w:tc>
      </w:tr>
      <w:tr w14:paraId="02569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continue"/>
            <w:vAlign w:val="center"/>
          </w:tcPr>
          <w:p w14:paraId="43CEC90B">
            <w:pPr>
              <w:pStyle w:val="968"/>
              <w:widowControl w:val="0"/>
              <w:spacing w:line="288" w:lineRule="auto"/>
              <w:ind w:firstLine="0" w:firstLineChars="0"/>
              <w:jc w:val="center"/>
              <w:rPr>
                <w:rFonts w:cs="宋体"/>
                <w:color w:val="auto"/>
                <w:szCs w:val="24"/>
              </w:rPr>
            </w:pPr>
          </w:p>
        </w:tc>
        <w:tc>
          <w:tcPr>
            <w:tcW w:w="582" w:type="pct"/>
            <w:vMerge w:val="continue"/>
            <w:vAlign w:val="center"/>
          </w:tcPr>
          <w:p w14:paraId="6F0370AD">
            <w:pPr>
              <w:widowControl/>
              <w:adjustRightInd/>
              <w:spacing w:line="288" w:lineRule="auto"/>
              <w:jc w:val="center"/>
              <w:textAlignment w:val="top"/>
              <w:rPr>
                <w:rFonts w:ascii="宋体" w:hAnsi="宋体" w:cs="宋体"/>
                <w:color w:val="auto"/>
                <w:kern w:val="0"/>
                <w:sz w:val="24"/>
                <w:lang w:bidi="ar"/>
              </w:rPr>
            </w:pPr>
          </w:p>
        </w:tc>
        <w:tc>
          <w:tcPr>
            <w:tcW w:w="3981" w:type="pct"/>
            <w:vAlign w:val="center"/>
          </w:tcPr>
          <w:p w14:paraId="72069A33">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sz w:val="24"/>
              </w:rPr>
              <w:t>▲</w:t>
            </w:r>
            <w:r>
              <w:rPr>
                <w:rFonts w:hint="eastAsia" w:ascii="宋体" w:hAnsi="宋体" w:cs="宋体"/>
                <w:color w:val="auto"/>
                <w:kern w:val="0"/>
                <w:sz w:val="24"/>
                <w:lang w:bidi="ar"/>
              </w:rPr>
              <w:t>4）需支持自动生成ROC曲线、PR曲线、决策曲线、校准曲线、诺模图等，方便实验结果可视化分析。</w:t>
            </w:r>
            <w:r>
              <w:rPr>
                <w:rFonts w:hint="eastAsia" w:ascii="宋体" w:hAnsi="宋体" w:cs="宋体"/>
                <w:color w:val="auto"/>
                <w:kern w:val="0"/>
                <w:sz w:val="24"/>
                <w:lang w:bidi="ar"/>
              </w:rPr>
              <w:br w:type="textWrapping"/>
            </w:r>
            <w:r>
              <w:rPr>
                <w:rFonts w:hint="eastAsia" w:ascii="宋体" w:hAnsi="宋体" w:cs="宋体"/>
                <w:b/>
                <w:bCs/>
                <w:color w:val="auto"/>
                <w:kern w:val="0"/>
                <w:sz w:val="24"/>
                <w:lang w:bidi="ar"/>
              </w:rPr>
              <w:t>注：投标人须在投标文件中提供相关证明截图材料作为佐证，未提供或无法证明的本项即为负偏离。</w:t>
            </w:r>
          </w:p>
        </w:tc>
      </w:tr>
      <w:tr w14:paraId="22D89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continue"/>
            <w:vAlign w:val="center"/>
          </w:tcPr>
          <w:p w14:paraId="4E3A9D2E">
            <w:pPr>
              <w:pStyle w:val="968"/>
              <w:widowControl w:val="0"/>
              <w:spacing w:line="288" w:lineRule="auto"/>
              <w:ind w:firstLine="0" w:firstLineChars="0"/>
              <w:jc w:val="center"/>
              <w:rPr>
                <w:rFonts w:cs="宋体"/>
                <w:color w:val="auto"/>
                <w:szCs w:val="24"/>
              </w:rPr>
            </w:pPr>
          </w:p>
        </w:tc>
        <w:tc>
          <w:tcPr>
            <w:tcW w:w="582" w:type="pct"/>
            <w:vMerge w:val="continue"/>
            <w:vAlign w:val="center"/>
          </w:tcPr>
          <w:p w14:paraId="39ACD6EA">
            <w:pPr>
              <w:widowControl/>
              <w:adjustRightInd/>
              <w:spacing w:line="288" w:lineRule="auto"/>
              <w:jc w:val="center"/>
              <w:textAlignment w:val="top"/>
              <w:rPr>
                <w:rFonts w:ascii="宋体" w:hAnsi="宋体" w:cs="宋体"/>
                <w:color w:val="auto"/>
                <w:kern w:val="0"/>
                <w:sz w:val="24"/>
                <w:lang w:bidi="ar"/>
              </w:rPr>
            </w:pPr>
          </w:p>
        </w:tc>
        <w:tc>
          <w:tcPr>
            <w:tcW w:w="3981" w:type="pct"/>
            <w:vAlign w:val="center"/>
          </w:tcPr>
          <w:p w14:paraId="36BD9A63">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5）需支持算法模型的外部验证，生成相关模型效果评价结果。</w:t>
            </w:r>
          </w:p>
        </w:tc>
      </w:tr>
      <w:tr w14:paraId="77A6B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continue"/>
            <w:vAlign w:val="center"/>
          </w:tcPr>
          <w:p w14:paraId="6A377F5A">
            <w:pPr>
              <w:pStyle w:val="968"/>
              <w:widowControl w:val="0"/>
              <w:spacing w:line="288" w:lineRule="auto"/>
              <w:ind w:firstLine="0" w:firstLineChars="0"/>
              <w:jc w:val="center"/>
              <w:rPr>
                <w:rFonts w:cs="宋体"/>
                <w:color w:val="auto"/>
                <w:szCs w:val="24"/>
              </w:rPr>
            </w:pPr>
          </w:p>
        </w:tc>
        <w:tc>
          <w:tcPr>
            <w:tcW w:w="582" w:type="pct"/>
            <w:vMerge w:val="restart"/>
            <w:vAlign w:val="center"/>
          </w:tcPr>
          <w:p w14:paraId="6E1D98B4">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kern w:val="0"/>
                <w:sz w:val="24"/>
                <w:lang w:bidi="ar"/>
              </w:rPr>
              <w:t>深度</w:t>
            </w:r>
          </w:p>
          <w:p w14:paraId="007818A5">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kern w:val="0"/>
                <w:sz w:val="24"/>
                <w:lang w:bidi="ar"/>
              </w:rPr>
              <w:t>学习</w:t>
            </w:r>
          </w:p>
        </w:tc>
        <w:tc>
          <w:tcPr>
            <w:tcW w:w="3981" w:type="pct"/>
            <w:vAlign w:val="center"/>
          </w:tcPr>
          <w:p w14:paraId="1A56311C">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1）需具备深度学习算法模型的能力，满足深度学习数据分析，支持整图分类、病灶分类、病灶检测、病灶分割四种深度学习场景。</w:t>
            </w:r>
          </w:p>
        </w:tc>
      </w:tr>
      <w:tr w14:paraId="1A4DA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continue"/>
            <w:vAlign w:val="center"/>
          </w:tcPr>
          <w:p w14:paraId="51D57F54">
            <w:pPr>
              <w:pStyle w:val="968"/>
              <w:widowControl w:val="0"/>
              <w:spacing w:line="288" w:lineRule="auto"/>
              <w:ind w:firstLine="0" w:firstLineChars="0"/>
              <w:jc w:val="center"/>
              <w:rPr>
                <w:rFonts w:cs="宋体"/>
                <w:color w:val="auto"/>
                <w:szCs w:val="24"/>
              </w:rPr>
            </w:pPr>
          </w:p>
        </w:tc>
        <w:tc>
          <w:tcPr>
            <w:tcW w:w="582" w:type="pct"/>
            <w:vMerge w:val="continue"/>
            <w:vAlign w:val="center"/>
          </w:tcPr>
          <w:p w14:paraId="0682AA96">
            <w:pPr>
              <w:widowControl/>
              <w:adjustRightInd/>
              <w:spacing w:line="288" w:lineRule="auto"/>
              <w:jc w:val="center"/>
              <w:textAlignment w:val="top"/>
              <w:rPr>
                <w:rFonts w:ascii="宋体" w:hAnsi="宋体" w:cs="宋体"/>
                <w:color w:val="auto"/>
                <w:kern w:val="0"/>
                <w:sz w:val="24"/>
                <w:lang w:bidi="ar"/>
              </w:rPr>
            </w:pPr>
          </w:p>
        </w:tc>
        <w:tc>
          <w:tcPr>
            <w:tcW w:w="3981" w:type="pct"/>
            <w:vAlign w:val="center"/>
          </w:tcPr>
          <w:p w14:paraId="5DD6F3A3">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2、需支持多种数据增强方式，包括镜像（Mirroring）、弹性变换（Elastic Deformations）、旋转（Rotations）、缩放（Scaling）、重采样（Resampling）、亮度（Brightness）、 对比度（Contrast）、伽马变换（Gamma）、高斯噪声（Gaussian Noise）、随机裁剪（Random Crop）、中央裁剪（Center Crop）等12种及以上数据增强方式。</w:t>
            </w:r>
          </w:p>
        </w:tc>
      </w:tr>
      <w:tr w14:paraId="03B50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continue"/>
            <w:vAlign w:val="center"/>
          </w:tcPr>
          <w:p w14:paraId="3043533D">
            <w:pPr>
              <w:pStyle w:val="968"/>
              <w:widowControl w:val="0"/>
              <w:spacing w:line="288" w:lineRule="auto"/>
              <w:ind w:firstLine="0" w:firstLineChars="0"/>
              <w:jc w:val="center"/>
              <w:rPr>
                <w:rFonts w:cs="宋体"/>
                <w:color w:val="auto"/>
                <w:szCs w:val="24"/>
              </w:rPr>
            </w:pPr>
          </w:p>
        </w:tc>
        <w:tc>
          <w:tcPr>
            <w:tcW w:w="582" w:type="pct"/>
            <w:vMerge w:val="continue"/>
            <w:vAlign w:val="center"/>
          </w:tcPr>
          <w:p w14:paraId="21DD0562">
            <w:pPr>
              <w:widowControl/>
              <w:adjustRightInd/>
              <w:spacing w:line="288" w:lineRule="auto"/>
              <w:jc w:val="center"/>
              <w:textAlignment w:val="top"/>
              <w:rPr>
                <w:rFonts w:ascii="宋体" w:hAnsi="宋体" w:cs="宋体"/>
                <w:color w:val="auto"/>
                <w:kern w:val="0"/>
                <w:sz w:val="24"/>
                <w:lang w:bidi="ar"/>
              </w:rPr>
            </w:pPr>
          </w:p>
        </w:tc>
        <w:tc>
          <w:tcPr>
            <w:tcW w:w="3981" w:type="pct"/>
            <w:vAlign w:val="center"/>
          </w:tcPr>
          <w:p w14:paraId="37243940">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3、需支持算法分类模型，包括Resnet、AlexNet、DenseNet、SqueezeNet、ResNext、Xception、InceptionNet、VggNet等8种及以上2D分类模型，支持至少包括ResNet3D、DenseNet3D的3D病灶分类模型。</w:t>
            </w:r>
          </w:p>
        </w:tc>
      </w:tr>
      <w:tr w14:paraId="7D46E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continue"/>
            <w:vAlign w:val="center"/>
          </w:tcPr>
          <w:p w14:paraId="539ABF08">
            <w:pPr>
              <w:pStyle w:val="968"/>
              <w:widowControl w:val="0"/>
              <w:spacing w:line="288" w:lineRule="auto"/>
              <w:ind w:firstLine="0" w:firstLineChars="0"/>
              <w:jc w:val="center"/>
              <w:rPr>
                <w:rFonts w:cs="宋体"/>
                <w:color w:val="auto"/>
                <w:szCs w:val="24"/>
              </w:rPr>
            </w:pPr>
          </w:p>
        </w:tc>
        <w:tc>
          <w:tcPr>
            <w:tcW w:w="582" w:type="pct"/>
            <w:vMerge w:val="continue"/>
            <w:vAlign w:val="center"/>
          </w:tcPr>
          <w:p w14:paraId="729F7DFB">
            <w:pPr>
              <w:widowControl/>
              <w:adjustRightInd/>
              <w:spacing w:line="288" w:lineRule="auto"/>
              <w:jc w:val="center"/>
              <w:textAlignment w:val="top"/>
              <w:rPr>
                <w:rFonts w:ascii="宋体" w:hAnsi="宋体" w:cs="宋体"/>
                <w:color w:val="auto"/>
                <w:kern w:val="0"/>
                <w:sz w:val="24"/>
                <w:lang w:bidi="ar"/>
              </w:rPr>
            </w:pPr>
          </w:p>
        </w:tc>
        <w:tc>
          <w:tcPr>
            <w:tcW w:w="3981" w:type="pct"/>
            <w:vAlign w:val="center"/>
          </w:tcPr>
          <w:p w14:paraId="6BB0EB7C">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sz w:val="24"/>
              </w:rPr>
              <w:t>▲</w:t>
            </w:r>
            <w:r>
              <w:rPr>
                <w:rFonts w:hint="eastAsia" w:ascii="宋体" w:hAnsi="宋体" w:cs="宋体"/>
                <w:color w:val="auto"/>
                <w:kern w:val="0"/>
                <w:sz w:val="24"/>
                <w:lang w:bidi="ar"/>
              </w:rPr>
              <w:t>4）需支持检测算法模型，包括2D检测模型、提供Unet。</w:t>
            </w:r>
            <w:r>
              <w:rPr>
                <w:rFonts w:hint="eastAsia" w:ascii="宋体" w:hAnsi="宋体" w:cs="宋体"/>
                <w:color w:val="auto"/>
                <w:kern w:val="0"/>
                <w:sz w:val="24"/>
                <w:lang w:bidi="ar"/>
              </w:rPr>
              <w:br w:type="textWrapping"/>
            </w:r>
            <w:r>
              <w:rPr>
                <w:rFonts w:hint="eastAsia" w:ascii="宋体" w:hAnsi="宋体" w:cs="宋体"/>
                <w:b/>
                <w:bCs/>
                <w:color w:val="auto"/>
                <w:kern w:val="0"/>
                <w:sz w:val="24"/>
                <w:lang w:bidi="ar"/>
              </w:rPr>
              <w:t>注：投标人须在投标文件中提供相关证明截图材料作为佐证，未提供或无法证明的本项即为负偏离。</w:t>
            </w:r>
          </w:p>
        </w:tc>
      </w:tr>
      <w:tr w14:paraId="75647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continue"/>
            <w:vAlign w:val="center"/>
          </w:tcPr>
          <w:p w14:paraId="23A828EF">
            <w:pPr>
              <w:pStyle w:val="968"/>
              <w:widowControl w:val="0"/>
              <w:spacing w:line="288" w:lineRule="auto"/>
              <w:ind w:firstLine="0" w:firstLineChars="0"/>
              <w:jc w:val="center"/>
              <w:rPr>
                <w:rFonts w:cs="宋体"/>
                <w:color w:val="auto"/>
                <w:szCs w:val="24"/>
              </w:rPr>
            </w:pPr>
          </w:p>
        </w:tc>
        <w:tc>
          <w:tcPr>
            <w:tcW w:w="582" w:type="pct"/>
            <w:vMerge w:val="continue"/>
            <w:vAlign w:val="center"/>
          </w:tcPr>
          <w:p w14:paraId="05371AB1">
            <w:pPr>
              <w:widowControl/>
              <w:adjustRightInd/>
              <w:spacing w:line="288" w:lineRule="auto"/>
              <w:jc w:val="center"/>
              <w:textAlignment w:val="top"/>
              <w:rPr>
                <w:rFonts w:ascii="宋体" w:hAnsi="宋体" w:cs="宋体"/>
                <w:color w:val="auto"/>
                <w:kern w:val="0"/>
                <w:sz w:val="24"/>
                <w:lang w:bidi="ar"/>
              </w:rPr>
            </w:pPr>
          </w:p>
        </w:tc>
        <w:tc>
          <w:tcPr>
            <w:tcW w:w="3981" w:type="pct"/>
            <w:vAlign w:val="center"/>
          </w:tcPr>
          <w:p w14:paraId="2E079ED1">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sz w:val="24"/>
              </w:rPr>
              <w:t>▲</w:t>
            </w:r>
            <w:r>
              <w:rPr>
                <w:rFonts w:hint="eastAsia" w:ascii="宋体" w:hAnsi="宋体" w:cs="宋体"/>
                <w:color w:val="auto"/>
                <w:kern w:val="0"/>
                <w:sz w:val="24"/>
                <w:lang w:bidi="ar"/>
              </w:rPr>
              <w:t>5）需支持分割算法模型，包括2D分割模型，提供RetinaNet。</w:t>
            </w:r>
            <w:r>
              <w:rPr>
                <w:rFonts w:hint="eastAsia" w:ascii="宋体" w:hAnsi="宋体" w:cs="宋体"/>
                <w:color w:val="auto"/>
                <w:kern w:val="0"/>
                <w:sz w:val="24"/>
                <w:lang w:bidi="ar"/>
              </w:rPr>
              <w:br w:type="textWrapping"/>
            </w:r>
            <w:r>
              <w:rPr>
                <w:rFonts w:hint="eastAsia" w:ascii="宋体" w:hAnsi="宋体" w:cs="宋体"/>
                <w:b/>
                <w:bCs/>
                <w:color w:val="auto"/>
                <w:kern w:val="0"/>
                <w:sz w:val="24"/>
                <w:lang w:bidi="ar"/>
              </w:rPr>
              <w:t>注：投标人须在投标文件中提供相关证明截图材料作为佐证，未提供或无法证明的本项即为负偏离。</w:t>
            </w:r>
          </w:p>
        </w:tc>
      </w:tr>
      <w:tr w14:paraId="77C2E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continue"/>
            <w:vAlign w:val="center"/>
          </w:tcPr>
          <w:p w14:paraId="2A8FC809">
            <w:pPr>
              <w:pStyle w:val="968"/>
              <w:widowControl w:val="0"/>
              <w:spacing w:line="288" w:lineRule="auto"/>
              <w:ind w:firstLine="0" w:firstLineChars="0"/>
              <w:jc w:val="center"/>
              <w:rPr>
                <w:rFonts w:cs="宋体"/>
                <w:color w:val="auto"/>
                <w:szCs w:val="24"/>
              </w:rPr>
            </w:pPr>
          </w:p>
        </w:tc>
        <w:tc>
          <w:tcPr>
            <w:tcW w:w="582" w:type="pct"/>
            <w:vMerge w:val="continue"/>
            <w:vAlign w:val="center"/>
          </w:tcPr>
          <w:p w14:paraId="68F9DB68">
            <w:pPr>
              <w:widowControl/>
              <w:adjustRightInd/>
              <w:spacing w:line="288" w:lineRule="auto"/>
              <w:jc w:val="center"/>
              <w:textAlignment w:val="top"/>
              <w:rPr>
                <w:rFonts w:ascii="宋体" w:hAnsi="宋体" w:cs="宋体"/>
                <w:color w:val="auto"/>
                <w:kern w:val="0"/>
                <w:sz w:val="24"/>
                <w:lang w:bidi="ar"/>
              </w:rPr>
            </w:pPr>
          </w:p>
        </w:tc>
        <w:tc>
          <w:tcPr>
            <w:tcW w:w="3981" w:type="pct"/>
            <w:vAlign w:val="center"/>
          </w:tcPr>
          <w:p w14:paraId="54631253">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6）需支持超参数调参，包括对8项及以上超参数进行调参，包括学习率，参数优化算法、batch size、迭代轮数等。</w:t>
            </w:r>
          </w:p>
        </w:tc>
      </w:tr>
      <w:tr w14:paraId="001F2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continue"/>
            <w:vAlign w:val="center"/>
          </w:tcPr>
          <w:p w14:paraId="0B81A3F6">
            <w:pPr>
              <w:pStyle w:val="968"/>
              <w:widowControl w:val="0"/>
              <w:spacing w:line="288" w:lineRule="auto"/>
              <w:ind w:firstLine="0" w:firstLineChars="0"/>
              <w:jc w:val="center"/>
              <w:rPr>
                <w:rFonts w:cs="宋体"/>
                <w:color w:val="auto"/>
                <w:szCs w:val="24"/>
              </w:rPr>
            </w:pPr>
          </w:p>
        </w:tc>
        <w:tc>
          <w:tcPr>
            <w:tcW w:w="582" w:type="pct"/>
            <w:vMerge w:val="continue"/>
            <w:vAlign w:val="center"/>
          </w:tcPr>
          <w:p w14:paraId="077BD209">
            <w:pPr>
              <w:widowControl/>
              <w:adjustRightInd/>
              <w:spacing w:line="288" w:lineRule="auto"/>
              <w:jc w:val="center"/>
              <w:textAlignment w:val="top"/>
              <w:rPr>
                <w:rFonts w:ascii="宋体" w:hAnsi="宋体" w:cs="宋体"/>
                <w:color w:val="auto"/>
                <w:kern w:val="0"/>
                <w:sz w:val="24"/>
                <w:lang w:bidi="ar"/>
              </w:rPr>
            </w:pPr>
          </w:p>
        </w:tc>
        <w:tc>
          <w:tcPr>
            <w:tcW w:w="3981" w:type="pct"/>
            <w:vAlign w:val="center"/>
          </w:tcPr>
          <w:p w14:paraId="3435698E">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7）为方便进行病理数据的学习研究，系统需支持具备病理数据的分类、分割及检测研究分析，包括支持病理组织分类中的亚型分类、病理分级分析，细胞学中的癌细胞分类、细胞形态学分析，细胞核分割研究、不同类型的组织分割研究，肿瘤区域检测研究、细胞区域检测研究、对病理学图像中的其它目标进行检测研究，例如细胞核、血管等。</w:t>
            </w:r>
          </w:p>
        </w:tc>
      </w:tr>
      <w:tr w14:paraId="42E68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continue"/>
            <w:vAlign w:val="center"/>
          </w:tcPr>
          <w:p w14:paraId="474B7E65">
            <w:pPr>
              <w:pStyle w:val="968"/>
              <w:widowControl w:val="0"/>
              <w:spacing w:line="288" w:lineRule="auto"/>
              <w:ind w:firstLine="0" w:firstLineChars="0"/>
              <w:jc w:val="center"/>
              <w:rPr>
                <w:rFonts w:cs="宋体"/>
                <w:color w:val="auto"/>
                <w:szCs w:val="24"/>
              </w:rPr>
            </w:pPr>
          </w:p>
        </w:tc>
        <w:tc>
          <w:tcPr>
            <w:tcW w:w="582" w:type="pct"/>
            <w:vAlign w:val="center"/>
          </w:tcPr>
          <w:p w14:paraId="363CC83A">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kern w:val="0"/>
                <w:sz w:val="24"/>
                <w:lang w:bidi="ar"/>
              </w:rPr>
              <w:t>报告</w:t>
            </w:r>
          </w:p>
          <w:p w14:paraId="54DA31A2">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kern w:val="0"/>
                <w:sz w:val="24"/>
                <w:lang w:bidi="ar"/>
              </w:rPr>
              <w:t>导出</w:t>
            </w:r>
          </w:p>
        </w:tc>
        <w:tc>
          <w:tcPr>
            <w:tcW w:w="3981" w:type="pct"/>
            <w:vAlign w:val="center"/>
          </w:tcPr>
          <w:p w14:paraId="51AF0884">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需支持下载深度学习分类实验的结构化报告到本地，包括课题背景、实验数据、模型参数、训练过程、训练结果的内容。</w:t>
            </w:r>
          </w:p>
        </w:tc>
      </w:tr>
      <w:tr w14:paraId="6F01C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restart"/>
            <w:vAlign w:val="center"/>
          </w:tcPr>
          <w:p w14:paraId="202FEEB5">
            <w:pPr>
              <w:pStyle w:val="968"/>
              <w:widowControl w:val="0"/>
              <w:spacing w:line="288" w:lineRule="auto"/>
              <w:ind w:firstLine="0" w:firstLineChars="0"/>
              <w:jc w:val="center"/>
              <w:rPr>
                <w:rFonts w:cs="宋体"/>
                <w:color w:val="auto"/>
                <w:szCs w:val="24"/>
              </w:rPr>
            </w:pPr>
            <w:r>
              <w:rPr>
                <w:rFonts w:hint="eastAsia" w:cs="宋体"/>
                <w:color w:val="auto"/>
                <w:szCs w:val="24"/>
              </w:rPr>
              <w:t>数据补录</w:t>
            </w:r>
          </w:p>
        </w:tc>
        <w:tc>
          <w:tcPr>
            <w:tcW w:w="582" w:type="pct"/>
            <w:vMerge w:val="restart"/>
            <w:vAlign w:val="center"/>
          </w:tcPr>
          <w:p w14:paraId="69E550A5">
            <w:pPr>
              <w:adjustRightInd/>
              <w:spacing w:line="288" w:lineRule="auto"/>
              <w:jc w:val="center"/>
              <w:rPr>
                <w:rFonts w:ascii="宋体" w:hAnsi="宋体" w:cs="宋体"/>
                <w:color w:val="auto"/>
                <w:sz w:val="24"/>
              </w:rPr>
            </w:pPr>
            <w:r>
              <w:rPr>
                <w:rFonts w:hint="eastAsia" w:ascii="宋体" w:hAnsi="宋体" w:cs="宋体"/>
                <w:color w:val="auto"/>
                <w:sz w:val="24"/>
              </w:rPr>
              <w:t>数据</w:t>
            </w:r>
          </w:p>
          <w:p w14:paraId="1D53C14E">
            <w:pPr>
              <w:adjustRightInd/>
              <w:spacing w:line="288" w:lineRule="auto"/>
              <w:jc w:val="center"/>
              <w:rPr>
                <w:rFonts w:ascii="宋体" w:hAnsi="宋体" w:cs="宋体"/>
                <w:color w:val="auto"/>
                <w:sz w:val="24"/>
              </w:rPr>
            </w:pPr>
            <w:r>
              <w:rPr>
                <w:rFonts w:hint="eastAsia" w:ascii="宋体" w:hAnsi="宋体" w:cs="宋体"/>
                <w:color w:val="auto"/>
                <w:sz w:val="24"/>
              </w:rPr>
              <w:t>补录</w:t>
            </w:r>
          </w:p>
        </w:tc>
        <w:tc>
          <w:tcPr>
            <w:tcW w:w="3981" w:type="pct"/>
            <w:vAlign w:val="center"/>
          </w:tcPr>
          <w:p w14:paraId="312B8E60">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1）</w:t>
            </w:r>
            <w:r>
              <w:rPr>
                <w:rFonts w:hint="eastAsia" w:ascii="宋体" w:hAnsi="宋体" w:cs="宋体"/>
                <w:color w:val="auto"/>
                <w:kern w:val="0"/>
                <w:sz w:val="24"/>
              </w:rPr>
              <w:t>需</w:t>
            </w:r>
            <w:r>
              <w:rPr>
                <w:rFonts w:hint="eastAsia" w:ascii="宋体" w:hAnsi="宋体" w:cs="宋体"/>
                <w:color w:val="auto"/>
                <w:kern w:val="0"/>
                <w:sz w:val="24"/>
                <w:lang w:bidi="ar"/>
              </w:rPr>
              <w:t>支持对库内患者的结构化数据进行补充录入及修改。</w:t>
            </w:r>
          </w:p>
        </w:tc>
      </w:tr>
      <w:tr w14:paraId="3F751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continue"/>
            <w:vAlign w:val="center"/>
          </w:tcPr>
          <w:p w14:paraId="320F1E66">
            <w:pPr>
              <w:pStyle w:val="968"/>
              <w:widowControl w:val="0"/>
              <w:spacing w:line="288" w:lineRule="auto"/>
              <w:ind w:firstLine="0" w:firstLineChars="0"/>
              <w:jc w:val="center"/>
              <w:rPr>
                <w:rFonts w:cs="宋体"/>
                <w:color w:val="auto"/>
                <w:szCs w:val="24"/>
              </w:rPr>
            </w:pPr>
          </w:p>
        </w:tc>
        <w:tc>
          <w:tcPr>
            <w:tcW w:w="582" w:type="pct"/>
            <w:vMerge w:val="continue"/>
            <w:vAlign w:val="center"/>
          </w:tcPr>
          <w:p w14:paraId="090DF484">
            <w:pPr>
              <w:widowControl/>
              <w:adjustRightInd/>
              <w:spacing w:line="288" w:lineRule="auto"/>
              <w:jc w:val="center"/>
              <w:textAlignment w:val="top"/>
              <w:rPr>
                <w:rFonts w:ascii="宋体" w:hAnsi="宋体" w:cs="宋体"/>
                <w:color w:val="auto"/>
                <w:kern w:val="0"/>
                <w:sz w:val="24"/>
                <w:lang w:bidi="ar"/>
              </w:rPr>
            </w:pPr>
          </w:p>
        </w:tc>
        <w:tc>
          <w:tcPr>
            <w:tcW w:w="3981" w:type="pct"/>
            <w:vAlign w:val="center"/>
          </w:tcPr>
          <w:p w14:paraId="776A2E09">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2）</w:t>
            </w:r>
            <w:r>
              <w:rPr>
                <w:rFonts w:hint="eastAsia" w:ascii="宋体" w:hAnsi="宋体" w:cs="宋体"/>
                <w:color w:val="auto"/>
                <w:kern w:val="0"/>
                <w:sz w:val="24"/>
              </w:rPr>
              <w:t>需</w:t>
            </w:r>
            <w:r>
              <w:rPr>
                <w:rFonts w:hint="eastAsia" w:ascii="宋体" w:hAnsi="宋体" w:cs="宋体"/>
                <w:color w:val="auto"/>
                <w:kern w:val="0"/>
                <w:sz w:val="24"/>
                <w:lang w:bidi="ar"/>
              </w:rPr>
              <w:t>支持补录任务查看与管理。</w:t>
            </w:r>
          </w:p>
        </w:tc>
      </w:tr>
      <w:tr w14:paraId="4DA51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continue"/>
            <w:vAlign w:val="center"/>
          </w:tcPr>
          <w:p w14:paraId="0A101900">
            <w:pPr>
              <w:pStyle w:val="968"/>
              <w:widowControl w:val="0"/>
              <w:spacing w:line="288" w:lineRule="auto"/>
              <w:ind w:firstLine="0" w:firstLineChars="0"/>
              <w:jc w:val="center"/>
              <w:rPr>
                <w:rFonts w:cs="宋体"/>
                <w:color w:val="auto"/>
                <w:szCs w:val="24"/>
              </w:rPr>
            </w:pPr>
          </w:p>
        </w:tc>
        <w:tc>
          <w:tcPr>
            <w:tcW w:w="582" w:type="pct"/>
            <w:vMerge w:val="continue"/>
            <w:vAlign w:val="center"/>
          </w:tcPr>
          <w:p w14:paraId="269BC029">
            <w:pPr>
              <w:widowControl/>
              <w:adjustRightInd/>
              <w:spacing w:line="288" w:lineRule="auto"/>
              <w:jc w:val="center"/>
              <w:textAlignment w:val="top"/>
              <w:rPr>
                <w:rFonts w:ascii="宋体" w:hAnsi="宋体" w:cs="宋体"/>
                <w:color w:val="auto"/>
                <w:kern w:val="0"/>
                <w:sz w:val="24"/>
                <w:lang w:bidi="ar"/>
              </w:rPr>
            </w:pPr>
          </w:p>
        </w:tc>
        <w:tc>
          <w:tcPr>
            <w:tcW w:w="3981" w:type="pct"/>
            <w:vAlign w:val="center"/>
          </w:tcPr>
          <w:p w14:paraId="4027B059">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3）</w:t>
            </w:r>
            <w:r>
              <w:rPr>
                <w:rFonts w:hint="eastAsia" w:ascii="宋体" w:hAnsi="宋体" w:cs="宋体"/>
                <w:color w:val="auto"/>
                <w:kern w:val="0"/>
                <w:sz w:val="24"/>
              </w:rPr>
              <w:t>需</w:t>
            </w:r>
            <w:r>
              <w:rPr>
                <w:rFonts w:hint="eastAsia" w:ascii="宋体" w:hAnsi="宋体" w:cs="宋体"/>
                <w:color w:val="auto"/>
                <w:kern w:val="0"/>
                <w:sz w:val="24"/>
                <w:lang w:bidi="ar"/>
              </w:rPr>
              <w:t>支持对补录数据筛选、统计分析、项目数据制备等功能应用。</w:t>
            </w:r>
          </w:p>
        </w:tc>
      </w:tr>
      <w:tr w14:paraId="054F6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restart"/>
            <w:vAlign w:val="center"/>
          </w:tcPr>
          <w:p w14:paraId="524EAF7A">
            <w:pPr>
              <w:pStyle w:val="968"/>
              <w:widowControl w:val="0"/>
              <w:spacing w:line="288" w:lineRule="auto"/>
              <w:ind w:firstLine="0" w:firstLineChars="0"/>
              <w:jc w:val="center"/>
              <w:rPr>
                <w:rFonts w:cs="宋体"/>
                <w:color w:val="auto"/>
                <w:szCs w:val="24"/>
              </w:rPr>
            </w:pPr>
            <w:r>
              <w:rPr>
                <w:rFonts w:hint="eastAsia" w:cs="宋体"/>
                <w:color w:val="auto"/>
                <w:szCs w:val="24"/>
              </w:rPr>
              <w:t>个人中心</w:t>
            </w:r>
          </w:p>
        </w:tc>
        <w:tc>
          <w:tcPr>
            <w:tcW w:w="582" w:type="pct"/>
            <w:vAlign w:val="center"/>
          </w:tcPr>
          <w:p w14:paraId="2FAEAE58">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kern w:val="0"/>
                <w:sz w:val="24"/>
                <w:lang w:bidi="ar"/>
              </w:rPr>
              <w:t>患者收藏夹</w:t>
            </w:r>
          </w:p>
        </w:tc>
        <w:tc>
          <w:tcPr>
            <w:tcW w:w="3981" w:type="pct"/>
            <w:vAlign w:val="center"/>
          </w:tcPr>
          <w:p w14:paraId="5B632355">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rPr>
              <w:t>需</w:t>
            </w:r>
            <w:r>
              <w:rPr>
                <w:rFonts w:hint="eastAsia" w:ascii="宋体" w:hAnsi="宋体" w:cs="宋体"/>
                <w:color w:val="auto"/>
                <w:kern w:val="0"/>
                <w:sz w:val="24"/>
                <w:lang w:bidi="ar"/>
              </w:rPr>
              <w:t>支持患者数据收藏管理，对于感兴趣的典型患者，可加入“收藏夹”，进行快速查阅，并且可将特定患者号入特定的项目组。</w:t>
            </w:r>
          </w:p>
        </w:tc>
      </w:tr>
      <w:tr w14:paraId="241A3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continue"/>
            <w:vAlign w:val="center"/>
          </w:tcPr>
          <w:p w14:paraId="52C94AF3">
            <w:pPr>
              <w:pStyle w:val="968"/>
              <w:widowControl w:val="0"/>
              <w:spacing w:line="288" w:lineRule="auto"/>
              <w:ind w:firstLine="0" w:firstLineChars="0"/>
              <w:jc w:val="center"/>
              <w:rPr>
                <w:rFonts w:cs="宋体"/>
                <w:color w:val="auto"/>
                <w:szCs w:val="24"/>
              </w:rPr>
            </w:pPr>
          </w:p>
        </w:tc>
        <w:tc>
          <w:tcPr>
            <w:tcW w:w="582" w:type="pct"/>
            <w:vMerge w:val="restart"/>
            <w:vAlign w:val="center"/>
          </w:tcPr>
          <w:p w14:paraId="0F4D2598">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kern w:val="0"/>
                <w:sz w:val="24"/>
                <w:lang w:bidi="ar"/>
              </w:rPr>
              <w:t>操作</w:t>
            </w:r>
          </w:p>
          <w:p w14:paraId="1DA7FF7A">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kern w:val="0"/>
                <w:sz w:val="24"/>
                <w:lang w:bidi="ar"/>
              </w:rPr>
              <w:t>记录</w:t>
            </w:r>
          </w:p>
        </w:tc>
        <w:tc>
          <w:tcPr>
            <w:tcW w:w="3981" w:type="pct"/>
            <w:vAlign w:val="center"/>
          </w:tcPr>
          <w:p w14:paraId="5100BB31">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1）</w:t>
            </w:r>
            <w:r>
              <w:rPr>
                <w:rFonts w:hint="eastAsia" w:ascii="宋体" w:hAnsi="宋体" w:cs="宋体"/>
                <w:color w:val="auto"/>
                <w:kern w:val="0"/>
                <w:sz w:val="24"/>
              </w:rPr>
              <w:t>需</w:t>
            </w:r>
            <w:r>
              <w:rPr>
                <w:rFonts w:hint="eastAsia" w:ascii="宋体" w:hAnsi="宋体" w:cs="宋体"/>
                <w:color w:val="auto"/>
                <w:kern w:val="0"/>
                <w:sz w:val="24"/>
                <w:lang w:bidi="ar"/>
              </w:rPr>
              <w:t>支持搜索记录查看，可查看历史的筛选操作记录，可以对历史的筛选条件做恢复。</w:t>
            </w:r>
          </w:p>
        </w:tc>
      </w:tr>
      <w:tr w14:paraId="3999D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continue"/>
            <w:vAlign w:val="center"/>
          </w:tcPr>
          <w:p w14:paraId="1D009B9C">
            <w:pPr>
              <w:pStyle w:val="968"/>
              <w:widowControl w:val="0"/>
              <w:spacing w:line="288" w:lineRule="auto"/>
              <w:ind w:firstLine="0" w:firstLineChars="0"/>
              <w:jc w:val="center"/>
              <w:rPr>
                <w:rFonts w:cs="宋体"/>
                <w:color w:val="auto"/>
                <w:szCs w:val="24"/>
              </w:rPr>
            </w:pPr>
          </w:p>
        </w:tc>
        <w:tc>
          <w:tcPr>
            <w:tcW w:w="582" w:type="pct"/>
            <w:vMerge w:val="continue"/>
            <w:vAlign w:val="center"/>
          </w:tcPr>
          <w:p w14:paraId="3B5E726F">
            <w:pPr>
              <w:widowControl/>
              <w:adjustRightInd/>
              <w:spacing w:line="288" w:lineRule="auto"/>
              <w:jc w:val="center"/>
              <w:textAlignment w:val="top"/>
              <w:rPr>
                <w:rFonts w:ascii="宋体" w:hAnsi="宋体" w:cs="宋体"/>
                <w:color w:val="auto"/>
                <w:kern w:val="0"/>
                <w:sz w:val="24"/>
                <w:lang w:bidi="ar"/>
              </w:rPr>
            </w:pPr>
          </w:p>
        </w:tc>
        <w:tc>
          <w:tcPr>
            <w:tcW w:w="3981" w:type="pct"/>
            <w:vAlign w:val="center"/>
          </w:tcPr>
          <w:p w14:paraId="3158E018">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lang w:bidi="ar"/>
              </w:rPr>
              <w:t>2）</w:t>
            </w:r>
            <w:r>
              <w:rPr>
                <w:rFonts w:hint="eastAsia" w:ascii="宋体" w:hAnsi="宋体" w:cs="宋体"/>
                <w:color w:val="auto"/>
                <w:kern w:val="0"/>
                <w:sz w:val="24"/>
              </w:rPr>
              <w:t>需</w:t>
            </w:r>
            <w:r>
              <w:rPr>
                <w:rFonts w:hint="eastAsia" w:ascii="宋体" w:hAnsi="宋体" w:cs="宋体"/>
                <w:color w:val="auto"/>
                <w:kern w:val="0"/>
                <w:sz w:val="24"/>
                <w:lang w:bidi="ar"/>
              </w:rPr>
              <w:t>支持导出记录管理，可以查看数据导出时间、导出类型、是否脱敏、导出数据量等，可以支持重复下载历史导出的文件。</w:t>
            </w:r>
          </w:p>
        </w:tc>
      </w:tr>
      <w:tr w14:paraId="52C4D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36" w:type="pct"/>
            <w:vMerge w:val="continue"/>
            <w:vAlign w:val="center"/>
          </w:tcPr>
          <w:p w14:paraId="5D9CC4B5">
            <w:pPr>
              <w:pStyle w:val="968"/>
              <w:widowControl w:val="0"/>
              <w:spacing w:line="288" w:lineRule="auto"/>
              <w:ind w:firstLine="0" w:firstLineChars="0"/>
              <w:jc w:val="center"/>
              <w:rPr>
                <w:rFonts w:cs="宋体"/>
                <w:color w:val="auto"/>
                <w:szCs w:val="24"/>
              </w:rPr>
            </w:pPr>
          </w:p>
        </w:tc>
        <w:tc>
          <w:tcPr>
            <w:tcW w:w="582" w:type="pct"/>
            <w:vAlign w:val="center"/>
          </w:tcPr>
          <w:p w14:paraId="623329FF">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kern w:val="0"/>
                <w:sz w:val="24"/>
                <w:lang w:bidi="ar"/>
              </w:rPr>
              <w:t>密码</w:t>
            </w:r>
          </w:p>
          <w:p w14:paraId="5FDEF819">
            <w:pPr>
              <w:widowControl/>
              <w:adjustRightInd/>
              <w:spacing w:line="288" w:lineRule="auto"/>
              <w:jc w:val="center"/>
              <w:textAlignment w:val="top"/>
              <w:rPr>
                <w:rFonts w:ascii="宋体" w:hAnsi="宋体" w:cs="宋体"/>
                <w:color w:val="auto"/>
                <w:kern w:val="0"/>
                <w:sz w:val="24"/>
                <w:lang w:bidi="ar"/>
              </w:rPr>
            </w:pPr>
            <w:r>
              <w:rPr>
                <w:rFonts w:hint="eastAsia" w:ascii="宋体" w:hAnsi="宋体" w:cs="宋体"/>
                <w:color w:val="auto"/>
                <w:kern w:val="0"/>
                <w:sz w:val="24"/>
                <w:lang w:bidi="ar"/>
              </w:rPr>
              <w:t>修改</w:t>
            </w:r>
          </w:p>
        </w:tc>
        <w:tc>
          <w:tcPr>
            <w:tcW w:w="3981" w:type="pct"/>
            <w:vAlign w:val="center"/>
          </w:tcPr>
          <w:p w14:paraId="07E0B678">
            <w:pPr>
              <w:widowControl/>
              <w:adjustRightInd/>
              <w:spacing w:line="288" w:lineRule="auto"/>
              <w:textAlignment w:val="top"/>
              <w:rPr>
                <w:rFonts w:ascii="宋体" w:hAnsi="宋体" w:cs="宋体"/>
                <w:color w:val="auto"/>
                <w:kern w:val="0"/>
                <w:sz w:val="24"/>
                <w:lang w:bidi="ar"/>
              </w:rPr>
            </w:pPr>
            <w:r>
              <w:rPr>
                <w:rFonts w:hint="eastAsia" w:ascii="宋体" w:hAnsi="宋体" w:cs="宋体"/>
                <w:color w:val="auto"/>
                <w:kern w:val="0"/>
                <w:sz w:val="24"/>
              </w:rPr>
              <w:t>需</w:t>
            </w:r>
            <w:r>
              <w:rPr>
                <w:rFonts w:hint="eastAsia" w:ascii="宋体" w:hAnsi="宋体" w:cs="宋体"/>
                <w:color w:val="auto"/>
                <w:kern w:val="0"/>
                <w:sz w:val="24"/>
                <w:lang w:bidi="ar"/>
              </w:rPr>
              <w:t>支持新密码设置，可进行强安全性的校验和提示。</w:t>
            </w:r>
          </w:p>
        </w:tc>
      </w:tr>
    </w:tbl>
    <w:p w14:paraId="644C4E14">
      <w:pPr>
        <w:adjustRightInd/>
        <w:spacing w:line="360" w:lineRule="auto"/>
        <w:rPr>
          <w:rFonts w:ascii="宋体" w:hAnsi="宋体" w:cs="宋体"/>
          <w:b/>
          <w:color w:val="auto"/>
          <w:sz w:val="24"/>
        </w:rPr>
      </w:pPr>
    </w:p>
    <w:p w14:paraId="5E5C3F36">
      <w:pPr>
        <w:adjustRightInd/>
        <w:spacing w:line="360" w:lineRule="auto"/>
        <w:rPr>
          <w:rFonts w:ascii="宋体" w:hAnsi="宋体" w:cs="宋体"/>
          <w:b/>
          <w:color w:val="auto"/>
          <w:sz w:val="24"/>
        </w:rPr>
      </w:pPr>
    </w:p>
    <w:p w14:paraId="13F1F4AE">
      <w:pPr>
        <w:adjustRightInd/>
        <w:spacing w:line="360" w:lineRule="auto"/>
        <w:rPr>
          <w:rFonts w:ascii="宋体" w:hAnsi="宋体" w:cs="宋体"/>
          <w:b/>
          <w:color w:val="auto"/>
          <w:sz w:val="24"/>
        </w:rPr>
      </w:pPr>
    </w:p>
    <w:p w14:paraId="44446691">
      <w:pPr>
        <w:adjustRightInd/>
        <w:spacing w:line="360" w:lineRule="auto"/>
        <w:rPr>
          <w:rFonts w:ascii="宋体" w:hAnsi="宋体" w:cs="宋体"/>
          <w:b/>
          <w:color w:val="auto"/>
          <w:sz w:val="24"/>
        </w:rPr>
      </w:pPr>
    </w:p>
    <w:p w14:paraId="0F1F9ABA">
      <w:pPr>
        <w:adjustRightInd/>
        <w:spacing w:line="360" w:lineRule="auto"/>
        <w:rPr>
          <w:rFonts w:ascii="宋体" w:hAnsi="宋体" w:cs="宋体"/>
          <w:b/>
          <w:color w:val="auto"/>
          <w:sz w:val="24"/>
        </w:rPr>
      </w:pPr>
    </w:p>
    <w:p w14:paraId="4A7F8113">
      <w:pPr>
        <w:adjustRightInd/>
        <w:spacing w:line="360" w:lineRule="auto"/>
        <w:rPr>
          <w:rFonts w:ascii="宋体" w:hAnsi="宋体" w:cs="宋体"/>
          <w:b/>
          <w:color w:val="auto"/>
          <w:sz w:val="24"/>
        </w:rPr>
      </w:pPr>
      <w:r>
        <w:rPr>
          <w:rFonts w:hint="eastAsia" w:ascii="宋体" w:hAnsi="宋体" w:cs="宋体"/>
          <w:b/>
          <w:color w:val="auto"/>
          <w:sz w:val="24"/>
        </w:rPr>
        <w:t>（4）配套硬件：</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6"/>
        <w:gridCol w:w="6960"/>
      </w:tblGrid>
      <w:tr w14:paraId="74B39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blHeader/>
        </w:trPr>
        <w:tc>
          <w:tcPr>
            <w:tcW w:w="1252" w:type="pct"/>
            <w:vAlign w:val="center"/>
          </w:tcPr>
          <w:p w14:paraId="188795E3">
            <w:pPr>
              <w:pStyle w:val="968"/>
              <w:widowControl w:val="0"/>
              <w:spacing w:line="288" w:lineRule="auto"/>
              <w:ind w:firstLine="0" w:firstLineChars="0"/>
              <w:jc w:val="center"/>
              <w:rPr>
                <w:rFonts w:cs="宋体"/>
                <w:color w:val="auto"/>
                <w:szCs w:val="24"/>
              </w:rPr>
            </w:pPr>
            <w:r>
              <w:rPr>
                <w:rFonts w:hint="eastAsia" w:cs="宋体"/>
                <w:color w:val="auto"/>
                <w:szCs w:val="24"/>
              </w:rPr>
              <w:t>设备名称</w:t>
            </w:r>
          </w:p>
        </w:tc>
        <w:tc>
          <w:tcPr>
            <w:tcW w:w="3747" w:type="pct"/>
          </w:tcPr>
          <w:p w14:paraId="248DF318">
            <w:pPr>
              <w:pStyle w:val="968"/>
              <w:widowControl w:val="0"/>
              <w:spacing w:line="288" w:lineRule="auto"/>
              <w:ind w:firstLine="0" w:firstLineChars="0"/>
              <w:jc w:val="center"/>
              <w:rPr>
                <w:rFonts w:cs="宋体"/>
                <w:color w:val="auto"/>
                <w:szCs w:val="24"/>
              </w:rPr>
            </w:pPr>
            <w:r>
              <w:rPr>
                <w:rFonts w:hint="eastAsia" w:cs="宋体"/>
                <w:color w:val="auto"/>
                <w:szCs w:val="24"/>
              </w:rPr>
              <w:t>技术功能参数要求</w:t>
            </w:r>
          </w:p>
        </w:tc>
      </w:tr>
      <w:tr w14:paraId="14C2D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pct"/>
            <w:vAlign w:val="center"/>
          </w:tcPr>
          <w:p w14:paraId="292B2AF1">
            <w:pPr>
              <w:pStyle w:val="968"/>
              <w:widowControl w:val="0"/>
              <w:spacing w:line="288" w:lineRule="auto"/>
              <w:ind w:firstLine="0" w:firstLineChars="0"/>
              <w:jc w:val="center"/>
              <w:rPr>
                <w:rFonts w:cs="宋体"/>
                <w:color w:val="auto"/>
                <w:kern w:val="0"/>
                <w:szCs w:val="24"/>
              </w:rPr>
            </w:pPr>
            <w:r>
              <w:rPr>
                <w:rFonts w:hint="eastAsia" w:cs="宋体"/>
                <w:color w:val="auto"/>
                <w:kern w:val="0"/>
                <w:szCs w:val="24"/>
                <w:lang w:bidi="ar"/>
              </w:rPr>
              <w:t>防火墙2台</w:t>
            </w:r>
          </w:p>
        </w:tc>
        <w:tc>
          <w:tcPr>
            <w:tcW w:w="3747" w:type="pct"/>
          </w:tcPr>
          <w:p w14:paraId="781B1738">
            <w:pPr>
              <w:pStyle w:val="968"/>
              <w:widowControl w:val="0"/>
              <w:spacing w:line="288" w:lineRule="auto"/>
              <w:ind w:firstLine="0" w:firstLineChars="0"/>
              <w:jc w:val="both"/>
              <w:rPr>
                <w:rFonts w:cs="宋体"/>
                <w:color w:val="auto"/>
                <w:szCs w:val="24"/>
              </w:rPr>
            </w:pPr>
            <w:r>
              <w:rPr>
                <w:rFonts w:hint="eastAsia" w:cs="宋体"/>
                <w:color w:val="auto"/>
                <w:kern w:val="0"/>
                <w:szCs w:val="24"/>
                <w:lang w:bidi="ar"/>
              </w:rPr>
              <w:t>吞吐量≥2Gpbs；</w:t>
            </w:r>
          </w:p>
          <w:p w14:paraId="4256BDF9">
            <w:pPr>
              <w:pStyle w:val="968"/>
              <w:widowControl w:val="0"/>
              <w:spacing w:line="288" w:lineRule="auto"/>
              <w:ind w:firstLine="0" w:firstLineChars="0"/>
              <w:jc w:val="both"/>
              <w:rPr>
                <w:rFonts w:cs="宋体"/>
                <w:color w:val="auto"/>
                <w:szCs w:val="24"/>
              </w:rPr>
            </w:pPr>
            <w:r>
              <w:rPr>
                <w:rFonts w:hint="eastAsia" w:cs="宋体"/>
                <w:color w:val="auto"/>
                <w:szCs w:val="24"/>
              </w:rPr>
              <w:t>接口支持：不少于2×GE WAN+4×GE Combo+2×10GE SFP+。</w:t>
            </w:r>
          </w:p>
        </w:tc>
      </w:tr>
      <w:tr w14:paraId="031EF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pct"/>
            <w:vAlign w:val="center"/>
          </w:tcPr>
          <w:p w14:paraId="110E5DD6">
            <w:pPr>
              <w:pStyle w:val="968"/>
              <w:widowControl w:val="0"/>
              <w:spacing w:line="288" w:lineRule="auto"/>
              <w:ind w:firstLine="0" w:firstLineChars="0"/>
              <w:jc w:val="center"/>
              <w:rPr>
                <w:rFonts w:cs="宋体"/>
                <w:color w:val="auto"/>
                <w:kern w:val="0"/>
                <w:szCs w:val="24"/>
              </w:rPr>
            </w:pPr>
            <w:r>
              <w:rPr>
                <w:rFonts w:hint="eastAsia" w:cs="宋体"/>
                <w:color w:val="auto"/>
                <w:kern w:val="0"/>
                <w:szCs w:val="24"/>
                <w:lang w:bidi="ar"/>
              </w:rPr>
              <w:t>交换机2台</w:t>
            </w:r>
          </w:p>
        </w:tc>
        <w:tc>
          <w:tcPr>
            <w:tcW w:w="3747" w:type="pct"/>
          </w:tcPr>
          <w:p w14:paraId="6F3298DB">
            <w:pPr>
              <w:pStyle w:val="968"/>
              <w:widowControl w:val="0"/>
              <w:spacing w:line="288" w:lineRule="auto"/>
              <w:ind w:firstLine="0" w:firstLineChars="0"/>
              <w:jc w:val="both"/>
              <w:rPr>
                <w:rFonts w:cs="宋体"/>
                <w:color w:val="auto"/>
                <w:kern w:val="0"/>
                <w:szCs w:val="24"/>
              </w:rPr>
            </w:pPr>
            <w:r>
              <w:rPr>
                <w:rFonts w:hint="eastAsia" w:cs="宋体"/>
                <w:color w:val="auto"/>
                <w:kern w:val="0"/>
                <w:szCs w:val="24"/>
                <w:lang w:bidi="ar"/>
              </w:rPr>
              <w:t>传输速率：支持100/1000/10000Mbps；</w:t>
            </w:r>
            <w:r>
              <w:rPr>
                <w:rFonts w:hint="eastAsia" w:cs="宋体"/>
                <w:color w:val="auto"/>
                <w:kern w:val="0"/>
                <w:szCs w:val="24"/>
                <w:lang w:bidi="ar"/>
              </w:rPr>
              <w:br w:type="textWrapping"/>
            </w:r>
            <w:r>
              <w:rPr>
                <w:rFonts w:hint="eastAsia" w:cs="宋体"/>
                <w:color w:val="auto"/>
                <w:kern w:val="0"/>
                <w:szCs w:val="24"/>
                <w:lang w:bidi="ar"/>
              </w:rPr>
              <w:t>背板带宽：1.28Tbps/12.8Tbps；</w:t>
            </w:r>
            <w:r>
              <w:rPr>
                <w:rFonts w:hint="eastAsia" w:cs="宋体"/>
                <w:color w:val="auto"/>
                <w:kern w:val="0"/>
                <w:szCs w:val="24"/>
                <w:lang w:bidi="ar"/>
              </w:rPr>
              <w:br w:type="textWrapping"/>
            </w:r>
            <w:r>
              <w:rPr>
                <w:rFonts w:hint="eastAsia" w:cs="宋体"/>
                <w:color w:val="auto"/>
                <w:kern w:val="0"/>
                <w:szCs w:val="24"/>
                <w:lang w:bidi="ar"/>
              </w:rPr>
              <w:t>包转发率≥480Mpps；</w:t>
            </w:r>
            <w:r>
              <w:rPr>
                <w:rFonts w:hint="eastAsia" w:cs="宋体"/>
                <w:color w:val="auto"/>
                <w:kern w:val="0"/>
                <w:szCs w:val="24"/>
                <w:lang w:bidi="ar"/>
              </w:rPr>
              <w:br w:type="textWrapping"/>
            </w:r>
            <w:r>
              <w:rPr>
                <w:rFonts w:hint="eastAsia" w:cs="宋体"/>
                <w:color w:val="auto"/>
                <w:kern w:val="0"/>
                <w:szCs w:val="24"/>
                <w:lang w:bidi="ar"/>
              </w:rPr>
              <w:t>端口数量≥10GE SFP+端口24个（含16个万兆光模块），40GE QSFP+；端口 2个(含2个四万兆光模块+5个光转电模块)。</w:t>
            </w:r>
          </w:p>
        </w:tc>
      </w:tr>
      <w:tr w14:paraId="4D953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pct"/>
            <w:vAlign w:val="center"/>
          </w:tcPr>
          <w:p w14:paraId="565C4B51">
            <w:pPr>
              <w:pStyle w:val="968"/>
              <w:widowControl w:val="0"/>
              <w:spacing w:line="288" w:lineRule="auto"/>
              <w:ind w:firstLine="0" w:firstLineChars="0"/>
              <w:jc w:val="center"/>
              <w:rPr>
                <w:rFonts w:cs="宋体"/>
                <w:color w:val="auto"/>
                <w:kern w:val="0"/>
                <w:szCs w:val="24"/>
              </w:rPr>
            </w:pPr>
            <w:r>
              <w:rPr>
                <w:rFonts w:hint="eastAsia" w:cs="宋体"/>
                <w:color w:val="auto"/>
                <w:kern w:val="0"/>
                <w:szCs w:val="24"/>
                <w:lang w:bidi="ar"/>
              </w:rPr>
              <w:t>前置机主机1台</w:t>
            </w:r>
          </w:p>
        </w:tc>
        <w:tc>
          <w:tcPr>
            <w:tcW w:w="3747" w:type="pct"/>
          </w:tcPr>
          <w:p w14:paraId="2DC23F7E">
            <w:pPr>
              <w:pStyle w:val="968"/>
              <w:widowControl w:val="0"/>
              <w:spacing w:line="288" w:lineRule="auto"/>
              <w:ind w:firstLine="0" w:firstLineChars="0"/>
              <w:jc w:val="both"/>
              <w:rPr>
                <w:rFonts w:cs="宋体"/>
                <w:color w:val="auto"/>
                <w:kern w:val="0"/>
                <w:szCs w:val="24"/>
                <w:lang w:bidi="ar"/>
              </w:rPr>
            </w:pPr>
            <w:r>
              <w:rPr>
                <w:rFonts w:hint="eastAsia" w:cs="宋体"/>
                <w:color w:val="auto"/>
                <w:kern w:val="0"/>
                <w:szCs w:val="24"/>
                <w:lang w:bidi="ar"/>
              </w:rPr>
              <w:t>CPU：配置不少于2颗(2.4GHz/16-Core处理器）；</w:t>
            </w:r>
          </w:p>
          <w:p w14:paraId="100A7FD2">
            <w:pPr>
              <w:pStyle w:val="968"/>
              <w:widowControl w:val="0"/>
              <w:spacing w:line="288" w:lineRule="auto"/>
              <w:ind w:firstLine="0" w:firstLineChars="0"/>
              <w:jc w:val="both"/>
              <w:rPr>
                <w:rFonts w:cs="宋体"/>
                <w:color w:val="auto"/>
                <w:kern w:val="0"/>
                <w:szCs w:val="24"/>
                <w:lang w:bidi="ar"/>
              </w:rPr>
            </w:pPr>
            <w:r>
              <w:rPr>
                <w:rFonts w:hint="eastAsia" w:cs="宋体"/>
                <w:color w:val="auto"/>
                <w:kern w:val="0"/>
                <w:szCs w:val="24"/>
                <w:lang w:bidi="ar"/>
              </w:rPr>
              <w:t>内存≥512G DDR；</w:t>
            </w:r>
          </w:p>
          <w:p w14:paraId="7DD653DB">
            <w:pPr>
              <w:pStyle w:val="968"/>
              <w:widowControl w:val="0"/>
              <w:spacing w:line="288" w:lineRule="auto"/>
              <w:ind w:firstLine="0" w:firstLineChars="0"/>
              <w:jc w:val="both"/>
              <w:rPr>
                <w:rFonts w:cs="宋体"/>
                <w:color w:val="auto"/>
                <w:kern w:val="0"/>
                <w:szCs w:val="24"/>
                <w:lang w:bidi="ar"/>
              </w:rPr>
            </w:pPr>
            <w:r>
              <w:rPr>
                <w:rFonts w:hint="eastAsia" w:cs="宋体"/>
                <w:color w:val="auto"/>
                <w:kern w:val="0"/>
                <w:szCs w:val="24"/>
                <w:lang w:bidi="ar"/>
              </w:rPr>
              <w:t>系统盘≥2×960G SSD 固态硬盘 2.5英寸热插拔硬盘；</w:t>
            </w:r>
          </w:p>
          <w:p w14:paraId="225BFE15">
            <w:pPr>
              <w:pStyle w:val="968"/>
              <w:widowControl w:val="0"/>
              <w:spacing w:line="288" w:lineRule="auto"/>
              <w:ind w:firstLine="0" w:firstLineChars="0"/>
              <w:jc w:val="both"/>
              <w:rPr>
                <w:rFonts w:cs="宋体"/>
                <w:color w:val="auto"/>
                <w:kern w:val="0"/>
                <w:szCs w:val="24"/>
                <w:lang w:bidi="ar"/>
              </w:rPr>
            </w:pPr>
            <w:r>
              <w:rPr>
                <w:rFonts w:hint="eastAsia" w:cs="宋体"/>
                <w:color w:val="auto"/>
                <w:kern w:val="0"/>
                <w:szCs w:val="24"/>
                <w:lang w:bidi="ar"/>
              </w:rPr>
              <w:t>数据盘≥4×1.92T SSDe,8×8T 7.2K HDD；</w:t>
            </w:r>
          </w:p>
          <w:p w14:paraId="3E2F397B">
            <w:pPr>
              <w:pStyle w:val="968"/>
              <w:widowControl w:val="0"/>
              <w:spacing w:line="288" w:lineRule="auto"/>
              <w:ind w:firstLine="0" w:firstLineChars="0"/>
              <w:jc w:val="both"/>
              <w:rPr>
                <w:rFonts w:cs="宋体"/>
                <w:color w:val="auto"/>
                <w:kern w:val="0"/>
                <w:szCs w:val="24"/>
                <w:lang w:bidi="ar"/>
              </w:rPr>
            </w:pPr>
            <w:r>
              <w:rPr>
                <w:rFonts w:hint="eastAsia" w:cs="宋体"/>
                <w:color w:val="auto"/>
                <w:kern w:val="0"/>
                <w:szCs w:val="24"/>
                <w:lang w:bidi="ar"/>
              </w:rPr>
              <w:t>阵列卡：支持RAID 0,1,5,6,10；支持jbod功能；支持SSD/HDD热插拔；2G缓存；</w:t>
            </w:r>
          </w:p>
          <w:p w14:paraId="34BCF2F5">
            <w:pPr>
              <w:pStyle w:val="968"/>
              <w:widowControl w:val="0"/>
              <w:spacing w:line="288" w:lineRule="auto"/>
              <w:ind w:firstLine="0" w:firstLineChars="0"/>
              <w:jc w:val="both"/>
              <w:rPr>
                <w:rFonts w:cs="宋体"/>
                <w:color w:val="auto"/>
                <w:kern w:val="0"/>
                <w:szCs w:val="24"/>
                <w:lang w:bidi="ar"/>
              </w:rPr>
            </w:pPr>
            <w:r>
              <w:rPr>
                <w:rFonts w:hint="eastAsia" w:cs="宋体"/>
                <w:color w:val="auto"/>
                <w:kern w:val="0"/>
                <w:szCs w:val="24"/>
                <w:lang w:bidi="ar"/>
              </w:rPr>
              <w:t>网卡：2个10Gb SFP+端口及2个1Gb以太网端口，并配置模块；</w:t>
            </w:r>
          </w:p>
          <w:p w14:paraId="4FC18196">
            <w:pPr>
              <w:pStyle w:val="968"/>
              <w:widowControl w:val="0"/>
              <w:spacing w:line="288" w:lineRule="auto"/>
              <w:ind w:firstLine="0" w:firstLineChars="0"/>
              <w:jc w:val="both"/>
              <w:rPr>
                <w:rFonts w:cs="宋体"/>
                <w:color w:val="auto"/>
                <w:kern w:val="0"/>
                <w:szCs w:val="24"/>
              </w:rPr>
            </w:pPr>
            <w:r>
              <w:rPr>
                <w:rFonts w:hint="eastAsia" w:cs="宋体"/>
                <w:color w:val="auto"/>
                <w:kern w:val="0"/>
                <w:szCs w:val="24"/>
                <w:lang w:bidi="ar"/>
              </w:rPr>
              <w:t>电源：1+1冗余电源。</w:t>
            </w:r>
          </w:p>
        </w:tc>
      </w:tr>
      <w:tr w14:paraId="5E522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pct"/>
            <w:vAlign w:val="center"/>
          </w:tcPr>
          <w:p w14:paraId="7058B2A0">
            <w:pPr>
              <w:pStyle w:val="969"/>
              <w:spacing w:line="288" w:lineRule="auto"/>
              <w:ind w:firstLine="0"/>
              <w:jc w:val="center"/>
              <w:rPr>
                <w:rFonts w:cs="宋体"/>
                <w:color w:val="auto"/>
                <w:sz w:val="24"/>
                <w:szCs w:val="24"/>
              </w:rPr>
            </w:pPr>
            <w:r>
              <w:rPr>
                <w:rFonts w:hint="eastAsia" w:cs="宋体"/>
                <w:color w:val="auto"/>
                <w:kern w:val="0"/>
                <w:sz w:val="24"/>
                <w:szCs w:val="24"/>
                <w:lang w:bidi="ar"/>
              </w:rPr>
              <w:t>安全认证主机1台</w:t>
            </w:r>
          </w:p>
        </w:tc>
        <w:tc>
          <w:tcPr>
            <w:tcW w:w="3747" w:type="pct"/>
          </w:tcPr>
          <w:p w14:paraId="15C99412">
            <w:pPr>
              <w:pStyle w:val="969"/>
              <w:spacing w:line="288" w:lineRule="auto"/>
              <w:ind w:firstLine="0"/>
              <w:rPr>
                <w:rFonts w:cs="宋体"/>
                <w:color w:val="auto"/>
                <w:kern w:val="0"/>
                <w:sz w:val="24"/>
                <w:szCs w:val="24"/>
                <w:lang w:bidi="ar"/>
              </w:rPr>
            </w:pPr>
            <w:r>
              <w:rPr>
                <w:rFonts w:hint="eastAsia" w:cs="宋体"/>
                <w:color w:val="auto"/>
                <w:kern w:val="0"/>
                <w:sz w:val="24"/>
                <w:szCs w:val="24"/>
                <w:lang w:bidi="ar"/>
              </w:rPr>
              <w:t>CPU≥2颗(2.4GHz/16-Core处理器）；</w:t>
            </w:r>
          </w:p>
          <w:p w14:paraId="71423866">
            <w:pPr>
              <w:pStyle w:val="969"/>
              <w:spacing w:line="288" w:lineRule="auto"/>
              <w:ind w:firstLine="0"/>
              <w:rPr>
                <w:rFonts w:cs="宋体"/>
                <w:color w:val="auto"/>
                <w:kern w:val="0"/>
                <w:sz w:val="24"/>
                <w:szCs w:val="24"/>
                <w:lang w:bidi="ar"/>
              </w:rPr>
            </w:pPr>
            <w:r>
              <w:rPr>
                <w:rFonts w:hint="eastAsia" w:cs="宋体"/>
                <w:color w:val="auto"/>
                <w:kern w:val="0"/>
                <w:sz w:val="24"/>
                <w:szCs w:val="24"/>
                <w:lang w:bidi="ar"/>
              </w:rPr>
              <w:t>内存≥512G DDR；</w:t>
            </w:r>
          </w:p>
          <w:p w14:paraId="147A944C">
            <w:pPr>
              <w:pStyle w:val="969"/>
              <w:spacing w:line="288" w:lineRule="auto"/>
              <w:ind w:firstLine="0"/>
              <w:rPr>
                <w:rFonts w:cs="宋体"/>
                <w:color w:val="auto"/>
                <w:kern w:val="0"/>
                <w:sz w:val="24"/>
                <w:szCs w:val="24"/>
                <w:lang w:bidi="ar"/>
              </w:rPr>
            </w:pPr>
            <w:r>
              <w:rPr>
                <w:rFonts w:hint="eastAsia" w:cs="宋体"/>
                <w:color w:val="auto"/>
                <w:kern w:val="0"/>
                <w:sz w:val="24"/>
                <w:szCs w:val="24"/>
                <w:lang w:bidi="ar"/>
              </w:rPr>
              <w:t>系统盘≥2×960G SSD 固态硬盘 2.5英寸热插拔硬盘；</w:t>
            </w:r>
          </w:p>
          <w:p w14:paraId="3D97E92C">
            <w:pPr>
              <w:pStyle w:val="969"/>
              <w:spacing w:line="288" w:lineRule="auto"/>
              <w:ind w:firstLine="0"/>
              <w:rPr>
                <w:rFonts w:cs="宋体"/>
                <w:color w:val="auto"/>
                <w:kern w:val="0"/>
                <w:sz w:val="24"/>
                <w:szCs w:val="24"/>
                <w:lang w:bidi="ar"/>
              </w:rPr>
            </w:pPr>
            <w:r>
              <w:rPr>
                <w:rFonts w:hint="eastAsia" w:cs="宋体"/>
                <w:color w:val="auto"/>
                <w:kern w:val="0"/>
                <w:sz w:val="24"/>
                <w:szCs w:val="24"/>
                <w:lang w:bidi="ar"/>
              </w:rPr>
              <w:t>数据盘≥4×1.92T SSDe,8×8T 7.2K HDD；</w:t>
            </w:r>
          </w:p>
          <w:p w14:paraId="07D9145B">
            <w:pPr>
              <w:pStyle w:val="969"/>
              <w:spacing w:line="288" w:lineRule="auto"/>
              <w:ind w:firstLine="0"/>
              <w:rPr>
                <w:rFonts w:cs="宋体"/>
                <w:color w:val="auto"/>
                <w:kern w:val="0"/>
                <w:sz w:val="24"/>
                <w:szCs w:val="24"/>
                <w:lang w:bidi="ar"/>
              </w:rPr>
            </w:pPr>
            <w:r>
              <w:rPr>
                <w:rFonts w:hint="eastAsia" w:cs="宋体"/>
                <w:color w:val="auto"/>
                <w:kern w:val="0"/>
                <w:sz w:val="24"/>
                <w:szCs w:val="24"/>
                <w:lang w:bidi="ar"/>
              </w:rPr>
              <w:t>阵列卡：支持RAID 0,1,5,6,10；支持jbod功能；支持SSD/HDD热插拔；2G缓存；</w:t>
            </w:r>
          </w:p>
          <w:p w14:paraId="2DEE9298">
            <w:pPr>
              <w:pStyle w:val="969"/>
              <w:spacing w:line="288" w:lineRule="auto"/>
              <w:ind w:firstLine="0"/>
              <w:rPr>
                <w:rFonts w:cs="宋体"/>
                <w:color w:val="auto"/>
                <w:kern w:val="0"/>
                <w:sz w:val="24"/>
                <w:szCs w:val="24"/>
                <w:lang w:bidi="ar"/>
              </w:rPr>
            </w:pPr>
            <w:r>
              <w:rPr>
                <w:rFonts w:hint="eastAsia" w:cs="宋体"/>
                <w:color w:val="auto"/>
                <w:kern w:val="0"/>
                <w:sz w:val="24"/>
                <w:szCs w:val="24"/>
                <w:lang w:bidi="ar"/>
              </w:rPr>
              <w:t>网卡≥2个10Gb SFP+端口及2个1Gb以太网端口，并配置模块；</w:t>
            </w:r>
          </w:p>
          <w:p w14:paraId="347A9927">
            <w:pPr>
              <w:pStyle w:val="969"/>
              <w:spacing w:line="288" w:lineRule="auto"/>
              <w:ind w:firstLine="0"/>
              <w:rPr>
                <w:rFonts w:cs="宋体"/>
                <w:color w:val="auto"/>
                <w:kern w:val="0"/>
                <w:sz w:val="24"/>
                <w:szCs w:val="24"/>
              </w:rPr>
            </w:pPr>
            <w:r>
              <w:rPr>
                <w:rFonts w:hint="eastAsia" w:cs="宋体"/>
                <w:color w:val="auto"/>
                <w:kern w:val="0"/>
                <w:sz w:val="24"/>
                <w:szCs w:val="24"/>
                <w:lang w:bidi="ar"/>
              </w:rPr>
              <w:t>电源：1+1冗余电源。</w:t>
            </w:r>
          </w:p>
        </w:tc>
      </w:tr>
      <w:tr w14:paraId="05305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pct"/>
            <w:vAlign w:val="center"/>
          </w:tcPr>
          <w:p w14:paraId="11E312C9">
            <w:pPr>
              <w:widowControl/>
              <w:adjustRightInd/>
              <w:spacing w:line="288" w:lineRule="auto"/>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计算应用主机4台</w:t>
            </w:r>
          </w:p>
        </w:tc>
        <w:tc>
          <w:tcPr>
            <w:tcW w:w="3747" w:type="pct"/>
          </w:tcPr>
          <w:p w14:paraId="4F546A6E">
            <w:pPr>
              <w:pStyle w:val="969"/>
              <w:spacing w:line="288" w:lineRule="auto"/>
              <w:ind w:firstLine="0"/>
              <w:rPr>
                <w:rFonts w:cs="宋体"/>
                <w:color w:val="auto"/>
                <w:kern w:val="0"/>
                <w:sz w:val="24"/>
                <w:szCs w:val="24"/>
                <w:lang w:bidi="ar"/>
              </w:rPr>
            </w:pPr>
            <w:r>
              <w:rPr>
                <w:rFonts w:hint="eastAsia" w:cs="宋体"/>
                <w:color w:val="auto"/>
                <w:kern w:val="0"/>
                <w:sz w:val="24"/>
                <w:szCs w:val="24"/>
                <w:lang w:bidi="ar"/>
              </w:rPr>
              <w:t>CPU≥2颗(2.4GHz/16-Core处理器）；</w:t>
            </w:r>
          </w:p>
          <w:p w14:paraId="7483EDC0">
            <w:pPr>
              <w:pStyle w:val="969"/>
              <w:spacing w:line="288" w:lineRule="auto"/>
              <w:ind w:firstLine="0"/>
              <w:rPr>
                <w:rFonts w:cs="宋体"/>
                <w:color w:val="auto"/>
                <w:kern w:val="0"/>
                <w:sz w:val="24"/>
                <w:szCs w:val="24"/>
                <w:lang w:bidi="ar"/>
              </w:rPr>
            </w:pPr>
            <w:r>
              <w:rPr>
                <w:rFonts w:hint="eastAsia" w:cs="宋体"/>
                <w:color w:val="auto"/>
                <w:kern w:val="0"/>
                <w:sz w:val="24"/>
                <w:szCs w:val="24"/>
                <w:lang w:bidi="ar"/>
              </w:rPr>
              <w:t>内存≥512G DDR；</w:t>
            </w:r>
          </w:p>
          <w:p w14:paraId="0444DF42">
            <w:pPr>
              <w:pStyle w:val="969"/>
              <w:spacing w:line="288" w:lineRule="auto"/>
              <w:ind w:firstLine="0"/>
              <w:rPr>
                <w:rFonts w:cs="宋体"/>
                <w:color w:val="auto"/>
                <w:kern w:val="0"/>
                <w:sz w:val="24"/>
                <w:szCs w:val="24"/>
                <w:lang w:bidi="ar"/>
              </w:rPr>
            </w:pPr>
            <w:r>
              <w:rPr>
                <w:rFonts w:hint="eastAsia" w:cs="宋体"/>
                <w:color w:val="auto"/>
                <w:kern w:val="0"/>
                <w:sz w:val="24"/>
                <w:szCs w:val="24"/>
                <w:lang w:bidi="ar"/>
              </w:rPr>
              <w:t>系统盘≥2×960G SSD 固态硬盘 2.5英寸热插拔硬盘；</w:t>
            </w:r>
          </w:p>
          <w:p w14:paraId="613587DE">
            <w:pPr>
              <w:pStyle w:val="969"/>
              <w:spacing w:line="288" w:lineRule="auto"/>
              <w:ind w:firstLine="0"/>
              <w:rPr>
                <w:rFonts w:cs="宋体"/>
                <w:color w:val="auto"/>
                <w:kern w:val="0"/>
                <w:sz w:val="24"/>
                <w:szCs w:val="24"/>
                <w:lang w:bidi="ar"/>
              </w:rPr>
            </w:pPr>
            <w:r>
              <w:rPr>
                <w:rFonts w:hint="eastAsia" w:cs="宋体"/>
                <w:color w:val="auto"/>
                <w:kern w:val="0"/>
                <w:sz w:val="24"/>
                <w:szCs w:val="24"/>
                <w:lang w:bidi="ar"/>
              </w:rPr>
              <w:t>数据盘≥2×3.84T SSD,8×8T 7.2K HDD；</w:t>
            </w:r>
          </w:p>
          <w:p w14:paraId="5DAA45E2">
            <w:pPr>
              <w:pStyle w:val="969"/>
              <w:spacing w:line="288" w:lineRule="auto"/>
              <w:ind w:firstLine="0"/>
              <w:rPr>
                <w:rFonts w:cs="宋体"/>
                <w:color w:val="auto"/>
                <w:kern w:val="0"/>
                <w:sz w:val="24"/>
                <w:szCs w:val="24"/>
                <w:lang w:bidi="ar"/>
              </w:rPr>
            </w:pPr>
            <w:r>
              <w:rPr>
                <w:rFonts w:hint="eastAsia" w:cs="宋体"/>
                <w:color w:val="auto"/>
                <w:kern w:val="0"/>
                <w:sz w:val="24"/>
                <w:szCs w:val="24"/>
                <w:lang w:bidi="ar"/>
              </w:rPr>
              <w:t>阵列卡：支持RAID 0,1,5,6,10；支持jbod功能；支持SSD/HDD热插拔；2G缓存；</w:t>
            </w:r>
          </w:p>
          <w:p w14:paraId="6847E111">
            <w:pPr>
              <w:pStyle w:val="969"/>
              <w:spacing w:line="288" w:lineRule="auto"/>
              <w:ind w:firstLine="0"/>
              <w:rPr>
                <w:rFonts w:cs="宋体"/>
                <w:color w:val="auto"/>
                <w:kern w:val="0"/>
                <w:sz w:val="24"/>
                <w:szCs w:val="24"/>
                <w:lang w:bidi="ar"/>
              </w:rPr>
            </w:pPr>
            <w:r>
              <w:rPr>
                <w:rFonts w:hint="eastAsia" w:cs="宋体"/>
                <w:color w:val="auto"/>
                <w:kern w:val="0"/>
                <w:sz w:val="24"/>
                <w:szCs w:val="24"/>
                <w:lang w:bidi="ar"/>
              </w:rPr>
              <w:t>GPU≥2块；</w:t>
            </w:r>
          </w:p>
          <w:p w14:paraId="28922D95">
            <w:pPr>
              <w:pStyle w:val="969"/>
              <w:spacing w:line="288" w:lineRule="auto"/>
              <w:ind w:firstLine="0"/>
              <w:rPr>
                <w:rFonts w:cs="宋体"/>
                <w:color w:val="auto"/>
                <w:kern w:val="0"/>
                <w:sz w:val="24"/>
                <w:szCs w:val="24"/>
                <w:lang w:bidi="ar"/>
              </w:rPr>
            </w:pPr>
            <w:r>
              <w:rPr>
                <w:rFonts w:hint="eastAsia" w:cs="宋体"/>
                <w:color w:val="auto"/>
                <w:kern w:val="0"/>
                <w:sz w:val="24"/>
                <w:szCs w:val="24"/>
                <w:lang w:bidi="ar"/>
              </w:rPr>
              <w:t>网卡≥2个10Gb SFP+端口及2个1Gb以太网端口，并配置模块；</w:t>
            </w:r>
          </w:p>
          <w:p w14:paraId="0AEB6FE5">
            <w:pPr>
              <w:pStyle w:val="969"/>
              <w:spacing w:line="288" w:lineRule="auto"/>
              <w:ind w:firstLine="0"/>
              <w:rPr>
                <w:rFonts w:cs="宋体"/>
                <w:color w:val="auto"/>
                <w:kern w:val="0"/>
                <w:sz w:val="24"/>
                <w:szCs w:val="24"/>
                <w:lang w:bidi="ar"/>
              </w:rPr>
            </w:pPr>
            <w:r>
              <w:rPr>
                <w:rFonts w:hint="eastAsia" w:cs="宋体"/>
                <w:color w:val="auto"/>
                <w:kern w:val="0"/>
                <w:sz w:val="24"/>
                <w:szCs w:val="24"/>
                <w:lang w:bidi="ar"/>
              </w:rPr>
              <w:t>电源：1+1冗余电源。</w:t>
            </w:r>
          </w:p>
        </w:tc>
      </w:tr>
    </w:tbl>
    <w:p w14:paraId="29B73745">
      <w:pPr>
        <w:adjustRightInd/>
        <w:spacing w:line="360" w:lineRule="auto"/>
        <w:ind w:firstLine="470" w:firstLineChars="196"/>
        <w:rPr>
          <w:rFonts w:ascii="宋体" w:hAnsi="宋体" w:cs="宋体"/>
          <w:bCs/>
          <w:color w:val="auto"/>
          <w:sz w:val="24"/>
        </w:rPr>
      </w:pPr>
    </w:p>
    <w:p w14:paraId="74D01FFD">
      <w:pPr>
        <w:adjustRightInd/>
        <w:spacing w:line="360" w:lineRule="auto"/>
        <w:ind w:firstLine="470" w:firstLineChars="196"/>
        <w:rPr>
          <w:rFonts w:ascii="宋体" w:hAnsi="宋体" w:cs="宋体"/>
          <w:bCs/>
          <w:color w:val="auto"/>
          <w:sz w:val="24"/>
        </w:rPr>
      </w:pPr>
    </w:p>
    <w:p w14:paraId="6F682983">
      <w:pPr>
        <w:widowControl/>
        <w:adjustRightInd/>
        <w:spacing w:line="360" w:lineRule="auto"/>
        <w:jc w:val="left"/>
        <w:rPr>
          <w:b/>
          <w:bCs/>
          <w:color w:val="auto"/>
          <w:kern w:val="0"/>
          <w:szCs w:val="20"/>
        </w:rPr>
      </w:pPr>
      <w:r>
        <w:rPr>
          <w:rFonts w:hint="eastAsia" w:ascii="宋体" w:hAnsi="宋体" w:cs="宋体"/>
          <w:b/>
          <w:color w:val="auto"/>
          <w:kern w:val="0"/>
          <w:sz w:val="24"/>
        </w:rPr>
        <w:t>三、投标要求：</w:t>
      </w:r>
    </w:p>
    <w:p w14:paraId="0A0D897E">
      <w:pPr>
        <w:widowControl/>
        <w:tabs>
          <w:tab w:val="left" w:pos="851"/>
        </w:tabs>
        <w:adjustRightInd/>
        <w:spacing w:line="360" w:lineRule="auto"/>
        <w:ind w:firstLine="480" w:firstLineChars="200"/>
        <w:rPr>
          <w:rFonts w:ascii="宋体" w:hAnsi="宋体" w:cs="宋体"/>
          <w:bCs/>
          <w:color w:val="auto"/>
          <w:kern w:val="0"/>
          <w:sz w:val="24"/>
        </w:rPr>
      </w:pPr>
      <w:r>
        <w:rPr>
          <w:rFonts w:hint="eastAsia" w:ascii="宋体" w:hAnsi="宋体" w:cs="宋体"/>
          <w:bCs/>
          <w:color w:val="auto"/>
          <w:kern w:val="0"/>
          <w:sz w:val="24"/>
        </w:rPr>
        <w:t>投标人需在投标文件中提供包括但不限于以下内容：</w:t>
      </w:r>
    </w:p>
    <w:p w14:paraId="446066D6">
      <w:pPr>
        <w:widowControl/>
        <w:tabs>
          <w:tab w:val="left" w:pos="851"/>
        </w:tabs>
        <w:adjustRightInd/>
        <w:spacing w:line="360" w:lineRule="auto"/>
        <w:ind w:firstLine="480" w:firstLineChars="200"/>
        <w:rPr>
          <w:rFonts w:ascii="宋体" w:hAnsi="宋体" w:cs="宋体"/>
          <w:bCs/>
          <w:color w:val="auto"/>
          <w:kern w:val="0"/>
          <w:sz w:val="24"/>
        </w:rPr>
      </w:pPr>
      <w:r>
        <w:rPr>
          <w:rFonts w:hint="eastAsia" w:ascii="宋体" w:hAnsi="宋体" w:cs="宋体"/>
          <w:bCs/>
          <w:color w:val="auto"/>
          <w:kern w:val="0"/>
          <w:sz w:val="24"/>
        </w:rPr>
        <w:t>（1）对招标文件的技术响应；</w:t>
      </w:r>
    </w:p>
    <w:p w14:paraId="41560532">
      <w:pPr>
        <w:widowControl/>
        <w:tabs>
          <w:tab w:val="left" w:pos="851"/>
        </w:tabs>
        <w:adjustRightInd/>
        <w:spacing w:line="360" w:lineRule="auto"/>
        <w:ind w:firstLine="480" w:firstLineChars="200"/>
        <w:rPr>
          <w:rFonts w:ascii="宋体" w:hAnsi="宋体" w:cs="宋体"/>
          <w:bCs/>
          <w:color w:val="auto"/>
          <w:kern w:val="0"/>
          <w:sz w:val="24"/>
        </w:rPr>
      </w:pPr>
      <w:r>
        <w:rPr>
          <w:rFonts w:hint="eastAsia" w:ascii="宋体" w:hAnsi="宋体" w:cs="宋体"/>
          <w:bCs/>
          <w:color w:val="auto"/>
          <w:kern w:val="0"/>
          <w:sz w:val="24"/>
        </w:rPr>
        <w:t>（2）总体建设方案；</w:t>
      </w:r>
    </w:p>
    <w:p w14:paraId="1C1226C2">
      <w:pPr>
        <w:widowControl/>
        <w:tabs>
          <w:tab w:val="left" w:pos="851"/>
        </w:tabs>
        <w:adjustRightInd/>
        <w:spacing w:line="360" w:lineRule="auto"/>
        <w:ind w:firstLine="480" w:firstLineChars="200"/>
        <w:rPr>
          <w:rFonts w:ascii="宋体" w:hAnsi="宋体" w:cs="宋体"/>
          <w:bCs/>
          <w:color w:val="auto"/>
          <w:kern w:val="0"/>
          <w:sz w:val="24"/>
        </w:rPr>
      </w:pPr>
      <w:r>
        <w:rPr>
          <w:rFonts w:hint="eastAsia" w:ascii="宋体" w:hAnsi="宋体" w:cs="宋体"/>
          <w:bCs/>
          <w:color w:val="auto"/>
          <w:kern w:val="0"/>
          <w:sz w:val="24"/>
        </w:rPr>
        <w:t>（3）项目建设需求调研；</w:t>
      </w:r>
    </w:p>
    <w:p w14:paraId="7F65A0E9">
      <w:pPr>
        <w:widowControl/>
        <w:tabs>
          <w:tab w:val="left" w:pos="851"/>
        </w:tabs>
        <w:adjustRightInd/>
        <w:spacing w:line="360" w:lineRule="auto"/>
        <w:ind w:firstLine="480" w:firstLineChars="200"/>
        <w:rPr>
          <w:rFonts w:ascii="宋体" w:hAnsi="宋体" w:cs="宋体"/>
          <w:bCs/>
          <w:color w:val="auto"/>
          <w:kern w:val="0"/>
          <w:sz w:val="24"/>
        </w:rPr>
      </w:pPr>
      <w:r>
        <w:rPr>
          <w:rFonts w:hint="eastAsia" w:ascii="宋体" w:hAnsi="宋体" w:cs="宋体"/>
          <w:bCs/>
          <w:color w:val="auto"/>
          <w:kern w:val="0"/>
          <w:sz w:val="24"/>
        </w:rPr>
        <w:t>（4）项目实施方案；</w:t>
      </w:r>
    </w:p>
    <w:p w14:paraId="78DB12F0">
      <w:pPr>
        <w:widowControl/>
        <w:tabs>
          <w:tab w:val="left" w:pos="851"/>
        </w:tabs>
        <w:adjustRightInd/>
        <w:spacing w:line="360" w:lineRule="auto"/>
        <w:ind w:firstLine="480" w:firstLineChars="200"/>
        <w:rPr>
          <w:rFonts w:ascii="宋体" w:hAnsi="宋体" w:cs="宋体"/>
          <w:bCs/>
          <w:color w:val="auto"/>
          <w:kern w:val="0"/>
          <w:sz w:val="24"/>
        </w:rPr>
      </w:pPr>
      <w:r>
        <w:rPr>
          <w:rFonts w:hint="eastAsia" w:ascii="宋体" w:hAnsi="宋体" w:cs="宋体"/>
          <w:bCs/>
          <w:color w:val="auto"/>
          <w:kern w:val="0"/>
          <w:sz w:val="24"/>
        </w:rPr>
        <w:t>（5）项目应急方案及措施；</w:t>
      </w:r>
    </w:p>
    <w:p w14:paraId="07726A9E">
      <w:pPr>
        <w:widowControl/>
        <w:tabs>
          <w:tab w:val="left" w:pos="851"/>
        </w:tabs>
        <w:adjustRightInd/>
        <w:spacing w:line="360" w:lineRule="auto"/>
        <w:ind w:firstLine="480" w:firstLineChars="200"/>
        <w:rPr>
          <w:rFonts w:ascii="宋体" w:hAnsi="宋体" w:cs="宋体"/>
          <w:bCs/>
          <w:color w:val="auto"/>
          <w:kern w:val="0"/>
          <w:sz w:val="24"/>
        </w:rPr>
      </w:pPr>
      <w:r>
        <w:rPr>
          <w:rFonts w:hint="eastAsia" w:ascii="宋体" w:hAnsi="宋体" w:cs="宋体"/>
          <w:bCs/>
          <w:color w:val="auto"/>
          <w:kern w:val="0"/>
          <w:sz w:val="24"/>
        </w:rPr>
        <w:t>（6）项目实施培训方案；</w:t>
      </w:r>
    </w:p>
    <w:p w14:paraId="4B70D264">
      <w:pPr>
        <w:widowControl/>
        <w:tabs>
          <w:tab w:val="left" w:pos="851"/>
        </w:tabs>
        <w:adjustRightInd/>
        <w:spacing w:line="360" w:lineRule="auto"/>
        <w:ind w:firstLine="480" w:firstLineChars="200"/>
        <w:rPr>
          <w:rFonts w:ascii="宋体" w:hAnsi="宋体" w:cs="宋体"/>
          <w:bCs/>
          <w:color w:val="auto"/>
          <w:kern w:val="0"/>
          <w:sz w:val="24"/>
        </w:rPr>
      </w:pPr>
      <w:r>
        <w:rPr>
          <w:rFonts w:hint="eastAsia" w:ascii="宋体" w:hAnsi="宋体" w:cs="宋体"/>
          <w:bCs/>
          <w:color w:val="auto"/>
          <w:kern w:val="0"/>
          <w:sz w:val="24"/>
        </w:rPr>
        <w:t>（7）售后服务方案；</w:t>
      </w:r>
    </w:p>
    <w:p w14:paraId="42441980">
      <w:pPr>
        <w:widowControl/>
        <w:tabs>
          <w:tab w:val="left" w:pos="851"/>
        </w:tabs>
        <w:adjustRightInd/>
        <w:spacing w:line="360" w:lineRule="auto"/>
        <w:ind w:firstLine="480" w:firstLineChars="200"/>
        <w:rPr>
          <w:rFonts w:ascii="宋体" w:hAnsi="宋体" w:cs="宋体"/>
          <w:bCs/>
          <w:color w:val="auto"/>
          <w:kern w:val="0"/>
          <w:sz w:val="24"/>
        </w:rPr>
      </w:pPr>
      <w:r>
        <w:rPr>
          <w:rFonts w:hint="eastAsia" w:ascii="宋体" w:hAnsi="宋体" w:cs="宋体"/>
          <w:bCs/>
          <w:color w:val="auto"/>
          <w:kern w:val="0"/>
          <w:sz w:val="24"/>
        </w:rPr>
        <w:t>（8）科研服务方案；</w:t>
      </w:r>
    </w:p>
    <w:p w14:paraId="49930ECD">
      <w:pPr>
        <w:widowControl/>
        <w:tabs>
          <w:tab w:val="left" w:pos="851"/>
        </w:tabs>
        <w:adjustRightInd/>
        <w:spacing w:line="360" w:lineRule="auto"/>
        <w:ind w:firstLine="480" w:firstLineChars="200"/>
        <w:rPr>
          <w:rFonts w:ascii="宋体" w:hAnsi="宋体" w:cs="宋体"/>
          <w:bCs/>
          <w:color w:val="auto"/>
          <w:kern w:val="0"/>
          <w:sz w:val="24"/>
        </w:rPr>
      </w:pPr>
      <w:r>
        <w:rPr>
          <w:rFonts w:hint="eastAsia" w:ascii="宋体" w:hAnsi="宋体" w:cs="宋体"/>
          <w:bCs/>
          <w:color w:val="auto"/>
          <w:kern w:val="0"/>
          <w:sz w:val="24"/>
        </w:rPr>
        <w:t>（9）人员配备；</w:t>
      </w:r>
    </w:p>
    <w:p w14:paraId="29ABBD5E">
      <w:pPr>
        <w:widowControl/>
        <w:tabs>
          <w:tab w:val="left" w:pos="851"/>
        </w:tabs>
        <w:adjustRightInd/>
        <w:spacing w:line="360" w:lineRule="auto"/>
        <w:ind w:firstLine="480" w:firstLineChars="200"/>
        <w:rPr>
          <w:rFonts w:ascii="宋体" w:hAnsi="宋体" w:cs="宋体"/>
          <w:bCs/>
          <w:color w:val="auto"/>
          <w:kern w:val="0"/>
          <w:sz w:val="24"/>
        </w:rPr>
      </w:pPr>
      <w:r>
        <w:rPr>
          <w:rFonts w:hint="eastAsia" w:ascii="宋体" w:hAnsi="宋体" w:cs="宋体"/>
          <w:bCs/>
          <w:color w:val="auto"/>
          <w:kern w:val="0"/>
          <w:sz w:val="24"/>
        </w:rPr>
        <w:t>（10）企业综合实力；</w:t>
      </w:r>
    </w:p>
    <w:p w14:paraId="3C8C9265">
      <w:pPr>
        <w:widowControl/>
        <w:tabs>
          <w:tab w:val="left" w:pos="851"/>
        </w:tabs>
        <w:adjustRightInd/>
        <w:spacing w:line="360" w:lineRule="auto"/>
        <w:ind w:firstLine="480" w:firstLineChars="200"/>
        <w:rPr>
          <w:rFonts w:ascii="宋体" w:hAnsi="宋体" w:cs="宋体"/>
          <w:bCs/>
          <w:color w:val="auto"/>
          <w:kern w:val="0"/>
          <w:sz w:val="24"/>
        </w:rPr>
      </w:pPr>
      <w:r>
        <w:rPr>
          <w:rFonts w:hint="eastAsia" w:ascii="宋体" w:hAnsi="宋体" w:cs="宋体"/>
          <w:bCs/>
          <w:color w:val="auto"/>
          <w:kern w:val="0"/>
          <w:sz w:val="24"/>
        </w:rPr>
        <w:t>（11）业绩；</w:t>
      </w:r>
    </w:p>
    <w:p w14:paraId="77D8FEF6">
      <w:pPr>
        <w:widowControl/>
        <w:tabs>
          <w:tab w:val="left" w:pos="851"/>
        </w:tabs>
        <w:adjustRightInd/>
        <w:spacing w:line="360" w:lineRule="auto"/>
        <w:ind w:firstLine="480" w:firstLineChars="200"/>
        <w:rPr>
          <w:rFonts w:ascii="宋体" w:hAnsi="宋体" w:cs="宋体"/>
          <w:bCs/>
          <w:color w:val="auto"/>
          <w:kern w:val="0"/>
          <w:sz w:val="24"/>
        </w:rPr>
      </w:pPr>
      <w:r>
        <w:rPr>
          <w:rFonts w:hint="eastAsia" w:ascii="宋体" w:hAnsi="宋体" w:cs="宋体"/>
          <w:bCs/>
          <w:color w:val="auto"/>
          <w:kern w:val="0"/>
          <w:sz w:val="24"/>
        </w:rPr>
        <w:t>（12）评分标准中要求提供的其他资料；</w:t>
      </w:r>
    </w:p>
    <w:p w14:paraId="5ABA0E24">
      <w:pPr>
        <w:widowControl/>
        <w:tabs>
          <w:tab w:val="left" w:pos="851"/>
        </w:tabs>
        <w:adjustRightInd/>
        <w:spacing w:line="360" w:lineRule="auto"/>
        <w:ind w:firstLine="480" w:firstLineChars="200"/>
        <w:rPr>
          <w:rFonts w:ascii="宋体" w:hAnsi="宋体" w:cs="宋体"/>
          <w:bCs/>
          <w:color w:val="auto"/>
          <w:kern w:val="0"/>
          <w:sz w:val="24"/>
        </w:rPr>
      </w:pPr>
      <w:r>
        <w:rPr>
          <w:rFonts w:hint="eastAsia" w:ascii="宋体" w:hAnsi="宋体" w:cs="宋体"/>
          <w:bCs/>
          <w:color w:val="auto"/>
          <w:kern w:val="0"/>
          <w:sz w:val="24"/>
        </w:rPr>
        <w:t>（13）投标人认为需要提供的其他资料。</w:t>
      </w:r>
    </w:p>
    <w:p w14:paraId="2EBD4EC6">
      <w:pPr>
        <w:adjustRightInd/>
        <w:spacing w:line="360" w:lineRule="auto"/>
        <w:jc w:val="center"/>
        <w:rPr>
          <w:rFonts w:ascii="宋体" w:hAnsi="宋体" w:cs="宋体"/>
          <w:b/>
          <w:bCs/>
          <w:color w:val="auto"/>
          <w:sz w:val="24"/>
        </w:rPr>
      </w:pPr>
      <w:r>
        <w:rPr>
          <w:rFonts w:hint="eastAsia" w:ascii="宋体" w:hAnsi="宋体" w:cs="宋体"/>
          <w:b/>
          <w:bCs/>
          <w:color w:val="auto"/>
          <w:sz w:val="24"/>
        </w:rPr>
        <w:br w:type="textWrapping"/>
      </w:r>
      <w:bookmarkStart w:id="39" w:name="_Toc18651"/>
    </w:p>
    <w:p w14:paraId="2F83D7A6">
      <w:pPr>
        <w:adjustRightInd/>
        <w:spacing w:line="360" w:lineRule="auto"/>
        <w:jc w:val="center"/>
        <w:rPr>
          <w:rFonts w:ascii="宋体" w:hAnsi="宋体" w:cs="宋体"/>
          <w:b/>
          <w:bCs/>
          <w:color w:val="auto"/>
          <w:sz w:val="24"/>
        </w:rPr>
      </w:pPr>
    </w:p>
    <w:p w14:paraId="6FF4CD59">
      <w:pPr>
        <w:adjustRightInd/>
        <w:spacing w:line="360" w:lineRule="auto"/>
        <w:jc w:val="center"/>
        <w:rPr>
          <w:rFonts w:ascii="宋体" w:hAnsi="宋体" w:cs="宋体"/>
          <w:b/>
          <w:bCs/>
          <w:color w:val="auto"/>
          <w:sz w:val="24"/>
        </w:rPr>
      </w:pPr>
    </w:p>
    <w:p w14:paraId="1D76CB91">
      <w:pPr>
        <w:adjustRightInd/>
        <w:spacing w:line="360" w:lineRule="auto"/>
        <w:jc w:val="center"/>
        <w:rPr>
          <w:rFonts w:ascii="宋体" w:hAnsi="宋体" w:cs="宋体"/>
          <w:b/>
          <w:bCs/>
          <w:color w:val="auto"/>
          <w:sz w:val="24"/>
        </w:rPr>
      </w:pPr>
    </w:p>
    <w:p w14:paraId="716C3371">
      <w:pPr>
        <w:adjustRightInd/>
        <w:spacing w:line="360" w:lineRule="auto"/>
        <w:jc w:val="center"/>
        <w:rPr>
          <w:rFonts w:ascii="宋体" w:hAnsi="宋体" w:cs="宋体"/>
          <w:b/>
          <w:bCs/>
          <w:color w:val="auto"/>
          <w:sz w:val="24"/>
        </w:rPr>
      </w:pPr>
    </w:p>
    <w:p w14:paraId="5EFE77FA">
      <w:pPr>
        <w:adjustRightInd/>
        <w:spacing w:line="360" w:lineRule="auto"/>
        <w:jc w:val="center"/>
        <w:rPr>
          <w:rFonts w:ascii="宋体" w:hAnsi="宋体" w:cs="宋体"/>
          <w:b/>
          <w:bCs/>
          <w:color w:val="auto"/>
          <w:sz w:val="24"/>
        </w:rPr>
      </w:pPr>
    </w:p>
    <w:p w14:paraId="634D8A75">
      <w:pPr>
        <w:adjustRightInd/>
        <w:spacing w:line="360" w:lineRule="auto"/>
        <w:jc w:val="center"/>
        <w:rPr>
          <w:rFonts w:ascii="宋体" w:hAnsi="宋体" w:cs="宋体"/>
          <w:b/>
          <w:bCs/>
          <w:color w:val="auto"/>
          <w:sz w:val="24"/>
        </w:rPr>
      </w:pPr>
    </w:p>
    <w:p w14:paraId="30C5A623">
      <w:pPr>
        <w:adjustRightInd/>
        <w:spacing w:line="360" w:lineRule="auto"/>
        <w:jc w:val="center"/>
        <w:rPr>
          <w:rFonts w:ascii="宋体" w:hAnsi="宋体" w:cs="宋体"/>
          <w:b/>
          <w:bCs/>
          <w:color w:val="auto"/>
          <w:sz w:val="24"/>
        </w:rPr>
      </w:pPr>
    </w:p>
    <w:p w14:paraId="29835B51">
      <w:pPr>
        <w:adjustRightInd/>
        <w:spacing w:line="360" w:lineRule="auto"/>
        <w:jc w:val="center"/>
        <w:rPr>
          <w:rFonts w:ascii="宋体" w:hAnsi="宋体" w:cs="宋体"/>
          <w:b/>
          <w:bCs/>
          <w:color w:val="auto"/>
          <w:sz w:val="24"/>
        </w:rPr>
      </w:pPr>
    </w:p>
    <w:p w14:paraId="2F52FAA8">
      <w:pPr>
        <w:adjustRightInd/>
        <w:spacing w:line="360" w:lineRule="auto"/>
        <w:jc w:val="center"/>
        <w:rPr>
          <w:rFonts w:ascii="宋体" w:hAnsi="宋体" w:cs="宋体"/>
          <w:b/>
          <w:bCs/>
          <w:color w:val="auto"/>
          <w:sz w:val="24"/>
        </w:rPr>
      </w:pPr>
    </w:p>
    <w:p w14:paraId="1D66DCC5">
      <w:pPr>
        <w:adjustRightInd/>
        <w:spacing w:line="360" w:lineRule="auto"/>
        <w:jc w:val="center"/>
        <w:rPr>
          <w:rFonts w:ascii="宋体" w:hAnsi="宋体" w:cs="宋体"/>
          <w:b/>
          <w:bCs/>
          <w:color w:val="auto"/>
          <w:sz w:val="24"/>
        </w:rPr>
      </w:pPr>
    </w:p>
    <w:p w14:paraId="0E302DF6">
      <w:pPr>
        <w:adjustRightInd/>
        <w:spacing w:line="360" w:lineRule="auto"/>
        <w:jc w:val="center"/>
        <w:rPr>
          <w:rFonts w:ascii="宋体" w:hAnsi="宋体" w:cs="宋体"/>
          <w:b/>
          <w:bCs/>
          <w:color w:val="auto"/>
          <w:sz w:val="24"/>
        </w:rPr>
      </w:pPr>
    </w:p>
    <w:p w14:paraId="695FF947">
      <w:pPr>
        <w:adjustRightInd/>
        <w:spacing w:line="360" w:lineRule="auto"/>
        <w:jc w:val="center"/>
        <w:rPr>
          <w:rFonts w:ascii="宋体" w:hAnsi="宋体" w:cs="宋体"/>
          <w:b/>
          <w:color w:val="auto"/>
          <w:sz w:val="36"/>
          <w:szCs w:val="36"/>
        </w:rPr>
      </w:pPr>
    </w:p>
    <w:p w14:paraId="21EAFA80">
      <w:pPr>
        <w:adjustRightInd/>
        <w:spacing w:line="360" w:lineRule="auto"/>
        <w:jc w:val="center"/>
        <w:rPr>
          <w:rFonts w:ascii="宋体" w:hAnsi="宋体" w:cs="宋体"/>
          <w:b/>
          <w:color w:val="auto"/>
          <w:sz w:val="36"/>
          <w:szCs w:val="36"/>
        </w:rPr>
      </w:pPr>
    </w:p>
    <w:p w14:paraId="4E98D4F2">
      <w:pPr>
        <w:adjustRightInd/>
        <w:spacing w:line="360" w:lineRule="auto"/>
        <w:jc w:val="center"/>
        <w:rPr>
          <w:rFonts w:ascii="宋体" w:hAnsi="宋体" w:cs="宋体"/>
          <w:b/>
          <w:color w:val="auto"/>
          <w:sz w:val="36"/>
          <w:szCs w:val="36"/>
        </w:rPr>
      </w:pPr>
      <w:r>
        <w:rPr>
          <w:rFonts w:hint="eastAsia" w:ascii="宋体" w:hAnsi="宋体" w:cs="宋体"/>
          <w:b/>
          <w:color w:val="auto"/>
          <w:sz w:val="36"/>
          <w:szCs w:val="36"/>
        </w:rPr>
        <w:t xml:space="preserve">第四部分   </w:t>
      </w:r>
      <w:bookmarkStart w:id="40" w:name="_Toc184312076"/>
      <w:bookmarkEnd w:id="40"/>
      <w:bookmarkStart w:id="41" w:name="_Toc184314448"/>
      <w:bookmarkEnd w:id="41"/>
      <w:bookmarkStart w:id="42" w:name="_Toc184310291"/>
      <w:bookmarkEnd w:id="42"/>
      <w:bookmarkStart w:id="43" w:name="_Toc184313252"/>
      <w:bookmarkEnd w:id="43"/>
      <w:bookmarkStart w:id="44" w:name="_Toc184308042"/>
      <w:bookmarkEnd w:id="44"/>
      <w:bookmarkStart w:id="45" w:name="_Toc184312125"/>
      <w:bookmarkEnd w:id="45"/>
      <w:bookmarkStart w:id="46" w:name="_Toc184313281"/>
      <w:bookmarkEnd w:id="46"/>
      <w:bookmarkStart w:id="47" w:name="_Toc184312069"/>
      <w:bookmarkEnd w:id="47"/>
      <w:bookmarkStart w:id="48" w:name="_Toc184312090"/>
      <w:bookmarkEnd w:id="48"/>
      <w:bookmarkStart w:id="49" w:name="_Toc184310300"/>
      <w:bookmarkEnd w:id="49"/>
      <w:bookmarkStart w:id="50" w:name="_Toc184314434"/>
      <w:bookmarkEnd w:id="50"/>
      <w:bookmarkStart w:id="51" w:name="_Toc184314482"/>
      <w:bookmarkEnd w:id="51"/>
      <w:bookmarkStart w:id="52" w:name="_Toc184312097"/>
      <w:bookmarkEnd w:id="52"/>
      <w:bookmarkStart w:id="53" w:name="_Toc184313249"/>
      <w:bookmarkEnd w:id="53"/>
      <w:bookmarkStart w:id="54" w:name="_Toc184308040"/>
      <w:bookmarkEnd w:id="54"/>
      <w:bookmarkStart w:id="55" w:name="_Toc184308080"/>
      <w:bookmarkEnd w:id="55"/>
      <w:bookmarkStart w:id="56" w:name="_Toc184310308"/>
      <w:bookmarkEnd w:id="56"/>
      <w:bookmarkStart w:id="57" w:name="_Toc184313288"/>
      <w:bookmarkEnd w:id="57"/>
      <w:bookmarkStart w:id="58" w:name="_Toc184314411"/>
      <w:bookmarkEnd w:id="58"/>
      <w:bookmarkStart w:id="59" w:name="_Toc184310339"/>
      <w:bookmarkEnd w:id="59"/>
      <w:bookmarkStart w:id="60" w:name="_Toc184308068"/>
      <w:bookmarkEnd w:id="60"/>
      <w:bookmarkStart w:id="61" w:name="_Toc184313263"/>
      <w:bookmarkEnd w:id="61"/>
      <w:bookmarkStart w:id="62" w:name="_Toc184313264"/>
      <w:bookmarkEnd w:id="62"/>
      <w:bookmarkStart w:id="63" w:name="_Toc184312091"/>
      <w:bookmarkEnd w:id="63"/>
      <w:bookmarkStart w:id="64" w:name="_Toc184312106"/>
      <w:bookmarkEnd w:id="64"/>
      <w:bookmarkStart w:id="65" w:name="_Toc184314477"/>
      <w:bookmarkEnd w:id="65"/>
      <w:bookmarkStart w:id="66" w:name="_Toc184313303"/>
      <w:bookmarkEnd w:id="66"/>
      <w:bookmarkStart w:id="67" w:name="_Toc184313290"/>
      <w:bookmarkEnd w:id="67"/>
      <w:bookmarkStart w:id="68" w:name="_Toc184314421"/>
      <w:bookmarkEnd w:id="68"/>
      <w:bookmarkStart w:id="69" w:name="_Toc184314444"/>
      <w:bookmarkEnd w:id="69"/>
      <w:bookmarkStart w:id="70" w:name="_Toc184314468"/>
      <w:bookmarkEnd w:id="70"/>
      <w:bookmarkStart w:id="71" w:name="_Toc184310334"/>
      <w:bookmarkEnd w:id="71"/>
      <w:bookmarkStart w:id="72" w:name="_Toc184310319"/>
      <w:bookmarkEnd w:id="72"/>
      <w:bookmarkStart w:id="73" w:name="_Toc184310278"/>
      <w:bookmarkEnd w:id="73"/>
      <w:bookmarkStart w:id="74" w:name="_Toc184312067"/>
      <w:bookmarkEnd w:id="74"/>
      <w:bookmarkStart w:id="75" w:name="_Toc184308106"/>
      <w:bookmarkEnd w:id="75"/>
      <w:bookmarkStart w:id="76" w:name="_Toc184308091"/>
      <w:bookmarkEnd w:id="76"/>
      <w:bookmarkStart w:id="77" w:name="_Toc184308071"/>
      <w:bookmarkEnd w:id="77"/>
      <w:bookmarkStart w:id="78" w:name="_Toc184314460"/>
      <w:bookmarkEnd w:id="78"/>
      <w:bookmarkStart w:id="79" w:name="_Toc184310344"/>
      <w:bookmarkEnd w:id="79"/>
      <w:bookmarkStart w:id="80" w:name="_Toc184308046"/>
      <w:bookmarkEnd w:id="80"/>
      <w:bookmarkStart w:id="81" w:name="_Toc184312117"/>
      <w:bookmarkEnd w:id="81"/>
      <w:bookmarkStart w:id="82" w:name="_Toc184314481"/>
      <w:bookmarkEnd w:id="82"/>
      <w:bookmarkStart w:id="83" w:name="_Toc184314431"/>
      <w:bookmarkEnd w:id="83"/>
      <w:bookmarkStart w:id="84" w:name="_Toc184308039"/>
      <w:bookmarkEnd w:id="84"/>
      <w:bookmarkStart w:id="85" w:name="_Toc184312130"/>
      <w:bookmarkEnd w:id="85"/>
      <w:bookmarkStart w:id="86" w:name="_Toc184308103"/>
      <w:bookmarkEnd w:id="86"/>
      <w:bookmarkStart w:id="87" w:name="_Toc184310333"/>
      <w:bookmarkEnd w:id="87"/>
      <w:bookmarkStart w:id="88" w:name="_Toc184312133"/>
      <w:bookmarkEnd w:id="88"/>
      <w:bookmarkStart w:id="89" w:name="_Toc184308093"/>
      <w:bookmarkEnd w:id="89"/>
      <w:bookmarkStart w:id="90" w:name="_Toc184312120"/>
      <w:bookmarkEnd w:id="90"/>
      <w:bookmarkStart w:id="91" w:name="_Toc184312123"/>
      <w:bookmarkEnd w:id="91"/>
      <w:bookmarkStart w:id="92" w:name="_Toc184310317"/>
      <w:bookmarkEnd w:id="92"/>
      <w:bookmarkStart w:id="93" w:name="_Toc184310283"/>
      <w:bookmarkEnd w:id="93"/>
      <w:bookmarkStart w:id="94" w:name="_Toc184310322"/>
      <w:bookmarkEnd w:id="94"/>
      <w:bookmarkStart w:id="95" w:name="_Toc184310321"/>
      <w:bookmarkEnd w:id="95"/>
      <w:bookmarkStart w:id="96" w:name="_Toc184308107"/>
      <w:bookmarkEnd w:id="96"/>
      <w:bookmarkStart w:id="97" w:name="_Toc184314412"/>
      <w:bookmarkEnd w:id="97"/>
      <w:bookmarkStart w:id="98" w:name="_Toc184312134"/>
      <w:bookmarkEnd w:id="98"/>
      <w:bookmarkStart w:id="99" w:name="_Toc184313240"/>
      <w:bookmarkEnd w:id="99"/>
      <w:bookmarkStart w:id="100" w:name="_Toc184313305"/>
      <w:bookmarkEnd w:id="100"/>
      <w:bookmarkStart w:id="101" w:name="_Toc184310296"/>
      <w:bookmarkEnd w:id="101"/>
      <w:bookmarkStart w:id="102" w:name="_Toc184310274"/>
      <w:bookmarkEnd w:id="102"/>
      <w:bookmarkStart w:id="103" w:name="_Toc184313291"/>
      <w:bookmarkEnd w:id="103"/>
      <w:bookmarkStart w:id="104" w:name="_Toc184310341"/>
      <w:bookmarkEnd w:id="104"/>
      <w:bookmarkStart w:id="105" w:name="_Toc184308060"/>
      <w:bookmarkEnd w:id="105"/>
      <w:bookmarkStart w:id="106" w:name="_Toc184313256"/>
      <w:bookmarkEnd w:id="106"/>
      <w:bookmarkStart w:id="107" w:name="_Toc184314439"/>
      <w:bookmarkEnd w:id="107"/>
      <w:bookmarkStart w:id="108" w:name="_Toc184314414"/>
      <w:bookmarkEnd w:id="108"/>
      <w:bookmarkStart w:id="109" w:name="_Toc184308065"/>
      <w:bookmarkEnd w:id="109"/>
      <w:bookmarkStart w:id="110" w:name="_Toc184310302"/>
      <w:bookmarkEnd w:id="110"/>
      <w:bookmarkStart w:id="111" w:name="_Toc184308044"/>
      <w:bookmarkEnd w:id="111"/>
      <w:bookmarkStart w:id="112" w:name="_Toc184313243"/>
      <w:bookmarkEnd w:id="112"/>
      <w:bookmarkStart w:id="113" w:name="_Toc184314480"/>
      <w:bookmarkEnd w:id="113"/>
      <w:bookmarkStart w:id="114" w:name="_Toc184308100"/>
      <w:bookmarkEnd w:id="114"/>
      <w:bookmarkStart w:id="115" w:name="_Toc184312093"/>
      <w:bookmarkEnd w:id="115"/>
      <w:bookmarkStart w:id="116" w:name="_Toc184308085"/>
      <w:bookmarkEnd w:id="116"/>
      <w:bookmarkStart w:id="117" w:name="_Toc184313273"/>
      <w:bookmarkEnd w:id="117"/>
      <w:bookmarkStart w:id="118" w:name="_Toc184313247"/>
      <w:bookmarkEnd w:id="118"/>
      <w:bookmarkStart w:id="119" w:name="_Toc184313241"/>
      <w:bookmarkEnd w:id="119"/>
      <w:bookmarkStart w:id="120" w:name="_Toc184313266"/>
      <w:bookmarkEnd w:id="120"/>
      <w:bookmarkStart w:id="121" w:name="_Toc184310320"/>
      <w:bookmarkEnd w:id="121"/>
      <w:bookmarkStart w:id="122" w:name="_Toc184313267"/>
      <w:bookmarkEnd w:id="122"/>
      <w:bookmarkStart w:id="123" w:name="_Toc184310275"/>
      <w:bookmarkEnd w:id="123"/>
      <w:bookmarkStart w:id="124" w:name="_Toc184314474"/>
      <w:bookmarkEnd w:id="124"/>
      <w:bookmarkStart w:id="125" w:name="_Toc184313304"/>
      <w:bookmarkEnd w:id="125"/>
      <w:bookmarkStart w:id="126" w:name="_Toc184314471"/>
      <w:bookmarkEnd w:id="126"/>
      <w:bookmarkStart w:id="127" w:name="_Toc184312084"/>
      <w:bookmarkEnd w:id="127"/>
      <w:bookmarkStart w:id="128" w:name="_Toc184312108"/>
      <w:bookmarkEnd w:id="128"/>
      <w:bookmarkStart w:id="129" w:name="_Toc184313300"/>
      <w:bookmarkEnd w:id="129"/>
      <w:bookmarkStart w:id="130" w:name="_Toc184314417"/>
      <w:bookmarkEnd w:id="130"/>
      <w:bookmarkStart w:id="131" w:name="_Toc184308082"/>
      <w:bookmarkEnd w:id="131"/>
      <w:bookmarkStart w:id="132" w:name="_Toc184308038"/>
      <w:bookmarkEnd w:id="132"/>
      <w:bookmarkStart w:id="133" w:name="_Toc184313250"/>
      <w:bookmarkEnd w:id="133"/>
      <w:bookmarkStart w:id="134" w:name="_Toc184310280"/>
      <w:bookmarkEnd w:id="134"/>
      <w:bookmarkStart w:id="135" w:name="_Toc184312115"/>
      <w:bookmarkEnd w:id="135"/>
      <w:bookmarkStart w:id="136" w:name="_Toc184312124"/>
      <w:bookmarkEnd w:id="136"/>
      <w:bookmarkStart w:id="137" w:name="_Toc184313299"/>
      <w:bookmarkEnd w:id="137"/>
      <w:bookmarkStart w:id="138" w:name="_Toc184312088"/>
      <w:bookmarkEnd w:id="138"/>
      <w:bookmarkStart w:id="139" w:name="_Toc184308105"/>
      <w:bookmarkEnd w:id="139"/>
      <w:bookmarkStart w:id="140" w:name="_Toc184314418"/>
      <w:bookmarkEnd w:id="140"/>
      <w:bookmarkStart w:id="141" w:name="_Toc184313295"/>
      <w:bookmarkEnd w:id="141"/>
      <w:bookmarkStart w:id="142" w:name="_Toc184308058"/>
      <w:bookmarkEnd w:id="142"/>
      <w:bookmarkStart w:id="143" w:name="_Toc184308067"/>
      <w:bookmarkEnd w:id="143"/>
      <w:bookmarkStart w:id="144" w:name="_Toc184308047"/>
      <w:bookmarkEnd w:id="144"/>
      <w:bookmarkStart w:id="145" w:name="_Toc184308053"/>
      <w:bookmarkEnd w:id="145"/>
      <w:bookmarkStart w:id="146" w:name="_Toc184312129"/>
      <w:bookmarkEnd w:id="146"/>
      <w:bookmarkStart w:id="147" w:name="_Toc184312080"/>
      <w:bookmarkEnd w:id="147"/>
      <w:bookmarkStart w:id="148" w:name="_Toc184313301"/>
      <w:bookmarkEnd w:id="148"/>
      <w:bookmarkStart w:id="149" w:name="_Toc184312085"/>
      <w:bookmarkEnd w:id="149"/>
      <w:bookmarkStart w:id="150" w:name="_Toc184312107"/>
      <w:bookmarkEnd w:id="150"/>
      <w:bookmarkStart w:id="151" w:name="_Toc184313296"/>
      <w:bookmarkEnd w:id="151"/>
      <w:bookmarkStart w:id="152" w:name="_Toc184310315"/>
      <w:bookmarkEnd w:id="152"/>
      <w:bookmarkStart w:id="153" w:name="_Toc184314422"/>
      <w:bookmarkEnd w:id="153"/>
      <w:bookmarkStart w:id="154" w:name="_Toc184310284"/>
      <w:bookmarkEnd w:id="154"/>
      <w:bookmarkStart w:id="155" w:name="_Toc184312110"/>
      <w:bookmarkEnd w:id="155"/>
      <w:bookmarkStart w:id="156" w:name="_Toc184313285"/>
      <w:bookmarkEnd w:id="156"/>
      <w:bookmarkStart w:id="157" w:name="_Toc184312086"/>
      <w:bookmarkEnd w:id="157"/>
      <w:bookmarkStart w:id="158" w:name="_Toc184312116"/>
      <w:bookmarkEnd w:id="158"/>
      <w:bookmarkStart w:id="159" w:name="_Toc184310318"/>
      <w:bookmarkEnd w:id="159"/>
      <w:bookmarkStart w:id="160" w:name="_Toc184308041"/>
      <w:bookmarkEnd w:id="160"/>
      <w:bookmarkStart w:id="161" w:name="_Toc184312109"/>
      <w:bookmarkEnd w:id="161"/>
      <w:bookmarkStart w:id="162" w:name="_Toc184310299"/>
      <w:bookmarkEnd w:id="162"/>
      <w:bookmarkStart w:id="163" w:name="_Toc184310289"/>
      <w:bookmarkEnd w:id="163"/>
      <w:bookmarkStart w:id="164" w:name="_Toc184310332"/>
      <w:bookmarkEnd w:id="164"/>
      <w:bookmarkStart w:id="165" w:name="_Toc184310304"/>
      <w:bookmarkEnd w:id="165"/>
      <w:bookmarkStart w:id="166" w:name="_Toc184310338"/>
      <w:bookmarkEnd w:id="166"/>
      <w:bookmarkStart w:id="167" w:name="_Toc184310294"/>
      <w:bookmarkEnd w:id="167"/>
      <w:bookmarkStart w:id="168" w:name="_Toc184308076"/>
      <w:bookmarkEnd w:id="168"/>
      <w:bookmarkStart w:id="169" w:name="_Toc184308078"/>
      <w:bookmarkEnd w:id="169"/>
      <w:bookmarkStart w:id="170" w:name="_Toc184310325"/>
      <w:bookmarkEnd w:id="170"/>
      <w:bookmarkStart w:id="171" w:name="_Toc184312105"/>
      <w:bookmarkEnd w:id="171"/>
      <w:bookmarkStart w:id="172" w:name="_Toc184313287"/>
      <w:bookmarkEnd w:id="172"/>
      <w:bookmarkStart w:id="173" w:name="_Toc184313262"/>
      <w:bookmarkEnd w:id="173"/>
      <w:bookmarkStart w:id="174" w:name="_Toc184314440"/>
      <w:bookmarkEnd w:id="174"/>
      <w:bookmarkStart w:id="175" w:name="_Toc184313260"/>
      <w:bookmarkEnd w:id="175"/>
      <w:bookmarkStart w:id="176" w:name="_Toc184310329"/>
      <w:bookmarkEnd w:id="176"/>
      <w:bookmarkStart w:id="177" w:name="_Toc184310298"/>
      <w:bookmarkEnd w:id="177"/>
      <w:bookmarkStart w:id="178" w:name="_Toc184308104"/>
      <w:bookmarkEnd w:id="178"/>
      <w:bookmarkStart w:id="179" w:name="_Toc184312078"/>
      <w:bookmarkEnd w:id="179"/>
      <w:bookmarkStart w:id="180" w:name="_Toc184313269"/>
      <w:bookmarkEnd w:id="180"/>
      <w:bookmarkStart w:id="181" w:name="_Toc184314459"/>
      <w:bookmarkEnd w:id="181"/>
      <w:bookmarkStart w:id="182" w:name="_Toc184313276"/>
      <w:bookmarkEnd w:id="182"/>
      <w:bookmarkStart w:id="183" w:name="_Toc184312137"/>
      <w:bookmarkEnd w:id="183"/>
      <w:bookmarkStart w:id="184" w:name="_Toc184314464"/>
      <w:bookmarkEnd w:id="184"/>
      <w:bookmarkStart w:id="185" w:name="_Toc184314478"/>
      <w:bookmarkEnd w:id="185"/>
      <w:bookmarkStart w:id="186" w:name="_Toc184314462"/>
      <w:bookmarkEnd w:id="186"/>
      <w:bookmarkStart w:id="187" w:name="_Toc184313254"/>
      <w:bookmarkEnd w:id="187"/>
      <w:bookmarkStart w:id="188" w:name="_Toc184308075"/>
      <w:bookmarkEnd w:id="188"/>
      <w:bookmarkStart w:id="189" w:name="_Toc184314443"/>
      <w:bookmarkEnd w:id="189"/>
      <w:bookmarkStart w:id="190" w:name="_Toc184313280"/>
      <w:bookmarkEnd w:id="190"/>
      <w:bookmarkStart w:id="191" w:name="_Toc184314445"/>
      <w:bookmarkEnd w:id="191"/>
      <w:bookmarkStart w:id="192" w:name="_Toc184308069"/>
      <w:bookmarkEnd w:id="192"/>
      <w:bookmarkStart w:id="193" w:name="_Toc184310330"/>
      <w:bookmarkEnd w:id="193"/>
      <w:bookmarkStart w:id="194" w:name="_Toc184314419"/>
      <w:bookmarkEnd w:id="194"/>
      <w:bookmarkStart w:id="195" w:name="_Toc184312074"/>
      <w:bookmarkEnd w:id="195"/>
      <w:bookmarkStart w:id="196" w:name="_Toc184310281"/>
      <w:bookmarkEnd w:id="196"/>
      <w:bookmarkStart w:id="197" w:name="_Toc184312121"/>
      <w:bookmarkEnd w:id="197"/>
      <w:bookmarkStart w:id="198" w:name="_Toc184314413"/>
      <w:bookmarkEnd w:id="198"/>
      <w:bookmarkStart w:id="199" w:name="_Toc184314453"/>
      <w:bookmarkEnd w:id="199"/>
      <w:bookmarkStart w:id="200" w:name="_Toc184314466"/>
      <w:bookmarkEnd w:id="200"/>
      <w:bookmarkStart w:id="201" w:name="_Toc184313274"/>
      <w:bookmarkEnd w:id="201"/>
      <w:bookmarkStart w:id="202" w:name="_Toc184312087"/>
      <w:bookmarkEnd w:id="202"/>
      <w:bookmarkStart w:id="203" w:name="_Toc184314430"/>
      <w:bookmarkEnd w:id="203"/>
      <w:bookmarkStart w:id="204" w:name="_Toc184313294"/>
      <w:bookmarkEnd w:id="204"/>
      <w:bookmarkStart w:id="205" w:name="_Toc184310279"/>
      <w:bookmarkEnd w:id="205"/>
      <w:bookmarkStart w:id="206" w:name="_Toc184310337"/>
      <w:bookmarkEnd w:id="206"/>
      <w:bookmarkStart w:id="207" w:name="_Toc184314415"/>
      <w:bookmarkEnd w:id="207"/>
      <w:bookmarkStart w:id="208" w:name="_Toc184314472"/>
      <w:bookmarkEnd w:id="208"/>
      <w:bookmarkStart w:id="209" w:name="_Toc184308089"/>
      <w:bookmarkEnd w:id="209"/>
      <w:bookmarkStart w:id="210" w:name="_Toc184313302"/>
      <w:bookmarkEnd w:id="210"/>
      <w:bookmarkStart w:id="211" w:name="_Toc184313282"/>
      <w:bookmarkEnd w:id="211"/>
      <w:bookmarkStart w:id="212" w:name="_Toc184308036"/>
      <w:bookmarkEnd w:id="212"/>
      <w:bookmarkStart w:id="213" w:name="_Toc184313265"/>
      <w:bookmarkEnd w:id="213"/>
      <w:bookmarkStart w:id="214" w:name="_Toc184310306"/>
      <w:bookmarkEnd w:id="214"/>
      <w:bookmarkStart w:id="215" w:name="_Toc184308048"/>
      <w:bookmarkEnd w:id="215"/>
      <w:bookmarkStart w:id="216" w:name="_Toc184308051"/>
      <w:bookmarkEnd w:id="216"/>
      <w:bookmarkStart w:id="217" w:name="_Toc184310286"/>
      <w:bookmarkEnd w:id="217"/>
      <w:bookmarkStart w:id="218" w:name="_Toc184314475"/>
      <w:bookmarkEnd w:id="218"/>
      <w:bookmarkStart w:id="219" w:name="_Toc184310314"/>
      <w:bookmarkEnd w:id="219"/>
      <w:bookmarkStart w:id="220" w:name="_Toc184313253"/>
      <w:bookmarkEnd w:id="220"/>
      <w:bookmarkStart w:id="221" w:name="_Toc184310285"/>
      <w:bookmarkEnd w:id="221"/>
      <w:bookmarkStart w:id="222" w:name="_Toc184310328"/>
      <w:bookmarkEnd w:id="222"/>
      <w:bookmarkStart w:id="223" w:name="_Toc184313293"/>
      <w:bookmarkEnd w:id="223"/>
      <w:bookmarkStart w:id="224" w:name="_Toc184313279"/>
      <w:bookmarkEnd w:id="224"/>
      <w:bookmarkStart w:id="225" w:name="_Toc184314410"/>
      <w:bookmarkEnd w:id="225"/>
      <w:bookmarkStart w:id="226" w:name="_Toc184308096"/>
      <w:bookmarkEnd w:id="226"/>
      <w:bookmarkStart w:id="227" w:name="_Toc184313275"/>
      <w:bookmarkEnd w:id="227"/>
      <w:bookmarkStart w:id="228" w:name="_Toc184314435"/>
      <w:bookmarkEnd w:id="228"/>
      <w:bookmarkStart w:id="229" w:name="_Toc184310303"/>
      <w:bookmarkEnd w:id="229"/>
      <w:bookmarkStart w:id="230" w:name="_Toc184312136"/>
      <w:bookmarkEnd w:id="230"/>
      <w:bookmarkStart w:id="231" w:name="_Toc184308088"/>
      <w:bookmarkEnd w:id="231"/>
      <w:bookmarkStart w:id="232" w:name="_Toc184310276"/>
      <w:bookmarkEnd w:id="232"/>
      <w:bookmarkStart w:id="233" w:name="_Toc184313272"/>
      <w:bookmarkEnd w:id="233"/>
      <w:bookmarkStart w:id="234" w:name="_Toc184310282"/>
      <w:bookmarkEnd w:id="234"/>
      <w:bookmarkStart w:id="235" w:name="_Toc184310311"/>
      <w:bookmarkEnd w:id="235"/>
      <w:bookmarkStart w:id="236" w:name="_Toc184310301"/>
      <w:bookmarkEnd w:id="236"/>
      <w:bookmarkStart w:id="237" w:name="_Toc184313310"/>
      <w:bookmarkEnd w:id="237"/>
      <w:bookmarkStart w:id="238" w:name="_Toc184312139"/>
      <w:bookmarkEnd w:id="238"/>
      <w:bookmarkStart w:id="239" w:name="_Toc184312101"/>
      <w:bookmarkEnd w:id="239"/>
      <w:bookmarkStart w:id="240" w:name="_Toc184308097"/>
      <w:bookmarkEnd w:id="240"/>
      <w:bookmarkStart w:id="241" w:name="_Toc184312113"/>
      <w:bookmarkEnd w:id="241"/>
      <w:bookmarkStart w:id="242" w:name="_Toc184313255"/>
      <w:bookmarkEnd w:id="242"/>
      <w:bookmarkStart w:id="243" w:name="_Toc184310293"/>
      <w:bookmarkEnd w:id="243"/>
      <w:bookmarkStart w:id="244" w:name="_Toc184314438"/>
      <w:bookmarkEnd w:id="244"/>
      <w:bookmarkStart w:id="245" w:name="_Toc184310316"/>
      <w:bookmarkEnd w:id="245"/>
      <w:bookmarkStart w:id="246" w:name="_Toc184313271"/>
      <w:bookmarkEnd w:id="246"/>
      <w:bookmarkStart w:id="247" w:name="_Toc184312070"/>
      <w:bookmarkEnd w:id="247"/>
      <w:bookmarkStart w:id="248" w:name="_Toc184313284"/>
      <w:bookmarkEnd w:id="248"/>
      <w:bookmarkStart w:id="249" w:name="_Toc184313244"/>
      <w:bookmarkEnd w:id="249"/>
      <w:bookmarkStart w:id="250" w:name="_Toc184308086"/>
      <w:bookmarkEnd w:id="250"/>
      <w:bookmarkStart w:id="251" w:name="_Toc184314452"/>
      <w:bookmarkEnd w:id="251"/>
      <w:bookmarkStart w:id="252" w:name="_Toc184312079"/>
      <w:bookmarkEnd w:id="252"/>
      <w:bookmarkStart w:id="253" w:name="_Toc184308056"/>
      <w:bookmarkEnd w:id="253"/>
      <w:bookmarkStart w:id="254" w:name="_Toc184313308"/>
      <w:bookmarkEnd w:id="254"/>
      <w:bookmarkStart w:id="255" w:name="_Toc184314463"/>
      <w:bookmarkEnd w:id="255"/>
      <w:bookmarkStart w:id="256" w:name="_Toc184314423"/>
      <w:bookmarkEnd w:id="256"/>
      <w:bookmarkStart w:id="257" w:name="_Toc184310309"/>
      <w:bookmarkEnd w:id="257"/>
      <w:bookmarkStart w:id="258" w:name="_Toc184312082"/>
      <w:bookmarkEnd w:id="258"/>
      <w:bookmarkStart w:id="259" w:name="_Toc184313292"/>
      <w:bookmarkEnd w:id="259"/>
      <w:bookmarkStart w:id="260" w:name="_Toc184312071"/>
      <w:bookmarkEnd w:id="260"/>
      <w:bookmarkStart w:id="261" w:name="_Toc184313297"/>
      <w:bookmarkEnd w:id="261"/>
      <w:bookmarkStart w:id="262" w:name="_Toc184310295"/>
      <w:bookmarkEnd w:id="262"/>
      <w:bookmarkStart w:id="263" w:name="_Toc184312114"/>
      <w:bookmarkEnd w:id="263"/>
      <w:bookmarkStart w:id="264" w:name="_Toc184308049"/>
      <w:bookmarkEnd w:id="264"/>
      <w:bookmarkStart w:id="265" w:name="_Toc184312083"/>
      <w:bookmarkEnd w:id="265"/>
      <w:bookmarkStart w:id="266" w:name="_Toc184313258"/>
      <w:bookmarkEnd w:id="266"/>
      <w:bookmarkStart w:id="267" w:name="_Toc184312112"/>
      <w:bookmarkEnd w:id="267"/>
      <w:bookmarkStart w:id="268" w:name="_Toc184312072"/>
      <w:bookmarkEnd w:id="268"/>
      <w:bookmarkStart w:id="269" w:name="_Toc184308061"/>
      <w:bookmarkEnd w:id="269"/>
      <w:bookmarkStart w:id="270" w:name="_Toc184310312"/>
      <w:bookmarkEnd w:id="270"/>
      <w:bookmarkStart w:id="271" w:name="_Toc184312089"/>
      <w:bookmarkEnd w:id="271"/>
      <w:bookmarkStart w:id="272" w:name="_Toc184308066"/>
      <w:bookmarkEnd w:id="272"/>
      <w:bookmarkStart w:id="273" w:name="_Toc184313246"/>
      <w:bookmarkEnd w:id="273"/>
      <w:bookmarkStart w:id="274" w:name="_Toc184310290"/>
      <w:bookmarkEnd w:id="274"/>
      <w:bookmarkStart w:id="275" w:name="_Toc184314455"/>
      <w:bookmarkEnd w:id="275"/>
      <w:bookmarkStart w:id="276" w:name="_Toc184308063"/>
      <w:bookmarkEnd w:id="276"/>
      <w:bookmarkStart w:id="277" w:name="_Toc184312122"/>
      <w:bookmarkEnd w:id="277"/>
      <w:bookmarkStart w:id="278" w:name="_Toc184314426"/>
      <w:bookmarkEnd w:id="278"/>
      <w:bookmarkStart w:id="279" w:name="_Toc184312138"/>
      <w:bookmarkEnd w:id="279"/>
      <w:bookmarkStart w:id="280" w:name="_Toc184313248"/>
      <w:bookmarkEnd w:id="280"/>
      <w:bookmarkStart w:id="281" w:name="_Toc184308072"/>
      <w:bookmarkEnd w:id="281"/>
      <w:bookmarkStart w:id="282" w:name="_Toc184308054"/>
      <w:bookmarkEnd w:id="282"/>
      <w:bookmarkStart w:id="283" w:name="_Toc184310340"/>
      <w:bookmarkEnd w:id="283"/>
      <w:bookmarkStart w:id="284" w:name="_Toc184313261"/>
      <w:bookmarkEnd w:id="284"/>
      <w:bookmarkStart w:id="285" w:name="_Toc184310331"/>
      <w:bookmarkEnd w:id="285"/>
      <w:bookmarkStart w:id="286" w:name="_Toc184308074"/>
      <w:bookmarkEnd w:id="286"/>
      <w:bookmarkStart w:id="287" w:name="_Toc184313289"/>
      <w:bookmarkEnd w:id="287"/>
      <w:bookmarkStart w:id="288" w:name="_Toc184313245"/>
      <w:bookmarkEnd w:id="288"/>
      <w:bookmarkStart w:id="289" w:name="_Toc184310297"/>
      <w:bookmarkEnd w:id="289"/>
      <w:bookmarkStart w:id="290" w:name="_Toc184312098"/>
      <w:bookmarkEnd w:id="290"/>
      <w:bookmarkStart w:id="291" w:name="_Toc184314465"/>
      <w:bookmarkEnd w:id="291"/>
      <w:bookmarkStart w:id="292" w:name="_Toc184308057"/>
      <w:bookmarkEnd w:id="292"/>
      <w:bookmarkStart w:id="293" w:name="_Toc184310336"/>
      <w:bookmarkEnd w:id="293"/>
      <w:bookmarkStart w:id="294" w:name="_Toc184314424"/>
      <w:bookmarkEnd w:id="294"/>
      <w:bookmarkStart w:id="295" w:name="_Toc184310292"/>
      <w:bookmarkEnd w:id="295"/>
      <w:bookmarkStart w:id="296" w:name="_Toc184314457"/>
      <w:bookmarkEnd w:id="296"/>
      <w:bookmarkStart w:id="297" w:name="_Toc184313270"/>
      <w:bookmarkEnd w:id="297"/>
      <w:bookmarkStart w:id="298" w:name="_Toc184312135"/>
      <w:bookmarkEnd w:id="298"/>
      <w:bookmarkStart w:id="299" w:name="_Toc184308043"/>
      <w:bookmarkEnd w:id="299"/>
      <w:bookmarkStart w:id="300" w:name="_Toc184308087"/>
      <w:bookmarkEnd w:id="300"/>
      <w:bookmarkStart w:id="301" w:name="_Toc184313306"/>
      <w:bookmarkEnd w:id="301"/>
      <w:bookmarkStart w:id="302" w:name="_Toc184310307"/>
      <w:bookmarkEnd w:id="302"/>
      <w:bookmarkStart w:id="303" w:name="_Toc184308084"/>
      <w:bookmarkEnd w:id="303"/>
      <w:bookmarkStart w:id="304" w:name="_Toc184312128"/>
      <w:bookmarkEnd w:id="304"/>
      <w:bookmarkStart w:id="305" w:name="_Toc184313257"/>
      <w:bookmarkEnd w:id="305"/>
      <w:bookmarkStart w:id="306" w:name="_Toc184314433"/>
      <w:bookmarkEnd w:id="306"/>
      <w:bookmarkStart w:id="307" w:name="_Toc184310326"/>
      <w:bookmarkEnd w:id="307"/>
      <w:bookmarkStart w:id="308" w:name="_Toc184312132"/>
      <w:bookmarkEnd w:id="308"/>
      <w:bookmarkStart w:id="309" w:name="_Toc184312126"/>
      <w:bookmarkEnd w:id="309"/>
      <w:bookmarkStart w:id="310" w:name="_Toc184312102"/>
      <w:bookmarkEnd w:id="310"/>
      <w:bookmarkStart w:id="311" w:name="_Toc184308052"/>
      <w:bookmarkEnd w:id="311"/>
      <w:bookmarkStart w:id="312" w:name="_Toc184314420"/>
      <w:bookmarkEnd w:id="312"/>
      <w:bookmarkStart w:id="313" w:name="_Toc184313251"/>
      <w:bookmarkEnd w:id="313"/>
      <w:bookmarkStart w:id="314" w:name="_Toc184310313"/>
      <w:bookmarkEnd w:id="314"/>
      <w:bookmarkStart w:id="315" w:name="_Toc184312095"/>
      <w:bookmarkEnd w:id="315"/>
      <w:bookmarkStart w:id="316" w:name="_Toc184313286"/>
      <w:bookmarkEnd w:id="316"/>
      <w:bookmarkStart w:id="317" w:name="_Toc184310273"/>
      <w:bookmarkEnd w:id="317"/>
      <w:bookmarkStart w:id="318" w:name="_Toc184314467"/>
      <w:bookmarkEnd w:id="318"/>
      <w:bookmarkStart w:id="319" w:name="_Toc184310327"/>
      <w:bookmarkEnd w:id="319"/>
      <w:bookmarkStart w:id="320" w:name="_Toc184314454"/>
      <w:bookmarkEnd w:id="320"/>
      <w:bookmarkStart w:id="321" w:name="_Toc184312068"/>
      <w:bookmarkEnd w:id="321"/>
      <w:bookmarkStart w:id="322" w:name="_Toc184313242"/>
      <w:bookmarkEnd w:id="322"/>
      <w:bookmarkStart w:id="323" w:name="_Toc184314450"/>
      <w:bookmarkEnd w:id="323"/>
      <w:bookmarkStart w:id="324" w:name="_Toc184314428"/>
      <w:bookmarkEnd w:id="324"/>
      <w:bookmarkStart w:id="325" w:name="_Toc184308092"/>
      <w:bookmarkEnd w:id="325"/>
      <w:bookmarkStart w:id="326" w:name="_Toc184308102"/>
      <w:bookmarkEnd w:id="326"/>
      <w:bookmarkStart w:id="327" w:name="_Toc184312103"/>
      <w:bookmarkEnd w:id="327"/>
      <w:bookmarkStart w:id="328" w:name="_Toc184308090"/>
      <w:bookmarkEnd w:id="328"/>
      <w:bookmarkStart w:id="329" w:name="_Toc184312094"/>
      <w:bookmarkEnd w:id="329"/>
      <w:bookmarkStart w:id="330" w:name="_Toc184314458"/>
      <w:bookmarkEnd w:id="330"/>
      <w:bookmarkStart w:id="331" w:name="_Toc184314429"/>
      <w:bookmarkEnd w:id="331"/>
      <w:bookmarkStart w:id="332" w:name="_Toc184310323"/>
      <w:bookmarkEnd w:id="332"/>
      <w:bookmarkStart w:id="333" w:name="_Toc184310305"/>
      <w:bookmarkEnd w:id="333"/>
      <w:bookmarkStart w:id="334" w:name="_Toc184314456"/>
      <w:bookmarkEnd w:id="334"/>
      <w:bookmarkStart w:id="335" w:name="_Toc184310324"/>
      <w:bookmarkEnd w:id="335"/>
      <w:bookmarkStart w:id="336" w:name="_Toc184314461"/>
      <w:bookmarkEnd w:id="336"/>
      <w:bookmarkStart w:id="337" w:name="_Toc184310272"/>
      <w:bookmarkEnd w:id="337"/>
      <w:bookmarkStart w:id="338" w:name="_Toc184312081"/>
      <w:bookmarkEnd w:id="338"/>
      <w:bookmarkStart w:id="339" w:name="_Toc184308045"/>
      <w:bookmarkEnd w:id="339"/>
      <w:bookmarkStart w:id="340" w:name="_Toc184313309"/>
      <w:bookmarkEnd w:id="340"/>
      <w:bookmarkStart w:id="341" w:name="_Toc184310288"/>
      <w:bookmarkEnd w:id="341"/>
      <w:bookmarkStart w:id="342" w:name="_Toc184314416"/>
      <w:bookmarkEnd w:id="342"/>
      <w:bookmarkStart w:id="343" w:name="_Toc184313238"/>
      <w:bookmarkEnd w:id="343"/>
      <w:bookmarkStart w:id="344" w:name="_Toc184312111"/>
      <w:bookmarkEnd w:id="344"/>
      <w:bookmarkStart w:id="345" w:name="_Toc184308108"/>
      <w:bookmarkEnd w:id="345"/>
      <w:bookmarkStart w:id="346" w:name="_Toc184308055"/>
      <w:bookmarkEnd w:id="346"/>
      <w:bookmarkStart w:id="347" w:name="_Toc184310342"/>
      <w:bookmarkEnd w:id="347"/>
      <w:bookmarkStart w:id="348" w:name="_Toc184312077"/>
      <w:bookmarkEnd w:id="348"/>
      <w:bookmarkStart w:id="349" w:name="_Toc184314436"/>
      <w:bookmarkEnd w:id="349"/>
      <w:bookmarkStart w:id="350" w:name="_Toc184312100"/>
      <w:bookmarkEnd w:id="350"/>
      <w:bookmarkStart w:id="351" w:name="_Toc184310277"/>
      <w:bookmarkEnd w:id="351"/>
      <w:bookmarkStart w:id="352" w:name="_Toc184308059"/>
      <w:bookmarkEnd w:id="352"/>
      <w:bookmarkStart w:id="353" w:name="_Toc184314446"/>
      <w:bookmarkEnd w:id="353"/>
      <w:bookmarkStart w:id="354" w:name="_Toc184308077"/>
      <w:bookmarkEnd w:id="354"/>
      <w:bookmarkStart w:id="355" w:name="_Toc184308094"/>
      <w:bookmarkEnd w:id="355"/>
      <w:bookmarkStart w:id="356" w:name="_Toc184312096"/>
      <w:bookmarkEnd w:id="356"/>
      <w:bookmarkStart w:id="357" w:name="_Toc184308098"/>
      <w:bookmarkEnd w:id="357"/>
      <w:bookmarkStart w:id="358" w:name="_Toc184313307"/>
      <w:bookmarkEnd w:id="358"/>
      <w:bookmarkStart w:id="359" w:name="_Toc184308099"/>
      <w:bookmarkEnd w:id="359"/>
      <w:bookmarkStart w:id="360" w:name="_Toc184314441"/>
      <w:bookmarkEnd w:id="360"/>
      <w:bookmarkStart w:id="361" w:name="_Toc184314473"/>
      <w:bookmarkEnd w:id="361"/>
      <w:bookmarkStart w:id="362" w:name="_Toc184314427"/>
      <w:bookmarkEnd w:id="362"/>
      <w:bookmarkStart w:id="363" w:name="_Toc184308079"/>
      <w:bookmarkEnd w:id="363"/>
      <w:bookmarkStart w:id="364" w:name="_Toc184310343"/>
      <w:bookmarkEnd w:id="364"/>
      <w:bookmarkStart w:id="365" w:name="_Toc184314425"/>
      <w:bookmarkEnd w:id="365"/>
      <w:bookmarkStart w:id="366" w:name="_Toc184313277"/>
      <w:bookmarkEnd w:id="366"/>
      <w:bookmarkStart w:id="367" w:name="_Toc184313239"/>
      <w:bookmarkEnd w:id="367"/>
      <w:bookmarkStart w:id="368" w:name="_Toc184310310"/>
      <w:bookmarkEnd w:id="368"/>
      <w:bookmarkStart w:id="369" w:name="_Toc184308101"/>
      <w:bookmarkEnd w:id="369"/>
      <w:bookmarkStart w:id="370" w:name="_Toc184312092"/>
      <w:bookmarkEnd w:id="370"/>
      <w:bookmarkStart w:id="371" w:name="_Toc184312099"/>
      <w:bookmarkEnd w:id="371"/>
      <w:bookmarkStart w:id="372" w:name="_Toc184308081"/>
      <w:bookmarkEnd w:id="372"/>
      <w:bookmarkStart w:id="373" w:name="_Toc184308073"/>
      <w:bookmarkEnd w:id="373"/>
      <w:bookmarkStart w:id="374" w:name="_Toc184312104"/>
      <w:bookmarkEnd w:id="374"/>
      <w:bookmarkStart w:id="375" w:name="_Toc184313268"/>
      <w:bookmarkEnd w:id="375"/>
      <w:bookmarkStart w:id="376" w:name="_Toc184308037"/>
      <w:bookmarkEnd w:id="376"/>
      <w:bookmarkStart w:id="377" w:name="_Toc184313259"/>
      <w:bookmarkEnd w:id="377"/>
      <w:bookmarkStart w:id="378" w:name="_Toc184314470"/>
      <w:bookmarkEnd w:id="378"/>
      <w:bookmarkStart w:id="379" w:name="_Toc184314432"/>
      <w:bookmarkEnd w:id="379"/>
      <w:bookmarkStart w:id="380" w:name="_Toc184312131"/>
      <w:bookmarkEnd w:id="380"/>
      <w:bookmarkStart w:id="381" w:name="_Toc184308050"/>
      <w:bookmarkEnd w:id="381"/>
      <w:bookmarkStart w:id="382" w:name="_Toc184310287"/>
      <w:bookmarkEnd w:id="382"/>
      <w:bookmarkStart w:id="383" w:name="_Toc184314469"/>
      <w:bookmarkEnd w:id="383"/>
      <w:bookmarkStart w:id="384" w:name="_Toc184308095"/>
      <w:bookmarkEnd w:id="384"/>
      <w:bookmarkStart w:id="385" w:name="_Toc184314447"/>
      <w:bookmarkEnd w:id="385"/>
      <w:bookmarkStart w:id="386" w:name="_Toc184308062"/>
      <w:bookmarkEnd w:id="386"/>
      <w:bookmarkStart w:id="387" w:name="_Toc184312127"/>
      <w:bookmarkEnd w:id="387"/>
      <w:bookmarkStart w:id="388" w:name="_Toc184310335"/>
      <w:bookmarkEnd w:id="388"/>
      <w:bookmarkStart w:id="389" w:name="_Toc184314437"/>
      <w:bookmarkEnd w:id="389"/>
      <w:bookmarkStart w:id="390" w:name="_Toc184313283"/>
      <w:bookmarkEnd w:id="390"/>
      <w:bookmarkStart w:id="391" w:name="_Toc184313278"/>
      <w:bookmarkEnd w:id="391"/>
      <w:bookmarkStart w:id="392" w:name="_Toc184314479"/>
      <w:bookmarkEnd w:id="392"/>
      <w:bookmarkStart w:id="393" w:name="_Toc184308070"/>
      <w:bookmarkEnd w:id="393"/>
      <w:bookmarkStart w:id="394" w:name="_Toc184308064"/>
      <w:bookmarkEnd w:id="394"/>
      <w:bookmarkStart w:id="395" w:name="_Toc184314451"/>
      <w:bookmarkEnd w:id="395"/>
      <w:bookmarkStart w:id="396" w:name="_Toc184312118"/>
      <w:bookmarkEnd w:id="396"/>
      <w:bookmarkStart w:id="397" w:name="_Toc184308083"/>
      <w:bookmarkEnd w:id="397"/>
      <w:bookmarkStart w:id="398" w:name="_Toc184314449"/>
      <w:bookmarkEnd w:id="398"/>
      <w:bookmarkStart w:id="399" w:name="_Toc184314476"/>
      <w:bookmarkEnd w:id="399"/>
      <w:bookmarkStart w:id="400" w:name="_Toc184312075"/>
      <w:bookmarkEnd w:id="400"/>
      <w:bookmarkStart w:id="401" w:name="_Toc184314442"/>
      <w:bookmarkEnd w:id="401"/>
      <w:bookmarkStart w:id="402" w:name="_Toc184312119"/>
      <w:bookmarkEnd w:id="402"/>
      <w:bookmarkStart w:id="403" w:name="_Toc184313298"/>
      <w:bookmarkEnd w:id="403"/>
      <w:bookmarkStart w:id="404" w:name="_Toc184312073"/>
      <w:bookmarkEnd w:id="404"/>
      <w:r>
        <w:rPr>
          <w:rFonts w:hint="eastAsia" w:ascii="宋体" w:hAnsi="宋体" w:cs="宋体"/>
          <w:b/>
          <w:color w:val="auto"/>
          <w:sz w:val="36"/>
          <w:szCs w:val="36"/>
        </w:rPr>
        <w:t>评标办法</w:t>
      </w:r>
      <w:bookmarkEnd w:id="39"/>
    </w:p>
    <w:p w14:paraId="582E1696">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评标办法前附表</w:t>
      </w:r>
    </w:p>
    <w:p w14:paraId="7B256E0D">
      <w:pPr>
        <w:widowControl/>
        <w:adjustRightInd/>
        <w:spacing w:line="360" w:lineRule="exact"/>
        <w:jc w:val="center"/>
        <w:rPr>
          <w:rFonts w:ascii="宋体" w:hAnsi="宋体" w:cs="宋体"/>
          <w:b/>
          <w:bCs/>
          <w:color w:val="auto"/>
          <w:kern w:val="0"/>
          <w:sz w:val="32"/>
          <w:szCs w:val="40"/>
        </w:rPr>
      </w:pPr>
      <w:r>
        <w:rPr>
          <w:rFonts w:hint="eastAsia" w:ascii="宋体" w:hAnsi="宋体" w:cs="宋体"/>
          <w:b/>
          <w:bCs/>
          <w:color w:val="auto"/>
          <w:kern w:val="0"/>
          <w:sz w:val="32"/>
          <w:szCs w:val="40"/>
        </w:rPr>
        <w:t>评分标准表</w:t>
      </w:r>
    </w:p>
    <w:tbl>
      <w:tblPr>
        <w:tblStyle w:val="62"/>
        <w:tblW w:w="9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1288"/>
        <w:gridCol w:w="5575"/>
        <w:gridCol w:w="705"/>
        <w:gridCol w:w="705"/>
      </w:tblGrid>
      <w:tr w14:paraId="75F24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62" w:type="dxa"/>
            <w:vAlign w:val="center"/>
          </w:tcPr>
          <w:p w14:paraId="65FBE8B3">
            <w:pPr>
              <w:adjustRightInd/>
              <w:spacing w:line="228" w:lineRule="auto"/>
              <w:jc w:val="center"/>
              <w:rPr>
                <w:rFonts w:ascii="Calibri" w:hAnsi="Calibri"/>
                <w:b/>
                <w:bCs/>
                <w:color w:val="auto"/>
                <w:sz w:val="24"/>
              </w:rPr>
            </w:pPr>
            <w:r>
              <w:rPr>
                <w:rFonts w:hint="eastAsia" w:ascii="Calibri" w:hAnsi="Calibri"/>
                <w:b/>
                <w:bCs/>
                <w:color w:val="auto"/>
                <w:sz w:val="24"/>
              </w:rPr>
              <w:t>评分项目</w:t>
            </w:r>
          </w:p>
        </w:tc>
        <w:tc>
          <w:tcPr>
            <w:tcW w:w="6863" w:type="dxa"/>
            <w:gridSpan w:val="2"/>
            <w:vAlign w:val="center"/>
          </w:tcPr>
          <w:p w14:paraId="0C1AFE29">
            <w:pPr>
              <w:adjustRightInd/>
              <w:spacing w:line="228" w:lineRule="auto"/>
              <w:jc w:val="center"/>
              <w:rPr>
                <w:rFonts w:ascii="Calibri" w:hAnsi="Calibri"/>
                <w:b/>
                <w:bCs/>
                <w:color w:val="auto"/>
                <w:sz w:val="24"/>
              </w:rPr>
            </w:pPr>
            <w:r>
              <w:rPr>
                <w:rFonts w:hint="eastAsia" w:ascii="Calibri" w:hAnsi="Calibri"/>
                <w:b/>
                <w:bCs/>
                <w:color w:val="auto"/>
                <w:sz w:val="24"/>
              </w:rPr>
              <w:t>评标要点及说明</w:t>
            </w:r>
          </w:p>
        </w:tc>
        <w:tc>
          <w:tcPr>
            <w:tcW w:w="705" w:type="dxa"/>
            <w:vAlign w:val="center"/>
          </w:tcPr>
          <w:p w14:paraId="02952A4A">
            <w:pPr>
              <w:widowControl/>
              <w:tabs>
                <w:tab w:val="left" w:pos="0"/>
              </w:tabs>
              <w:autoSpaceDE w:val="0"/>
              <w:autoSpaceDN w:val="0"/>
              <w:adjustRightInd/>
              <w:spacing w:line="228" w:lineRule="auto"/>
              <w:jc w:val="center"/>
              <w:rPr>
                <w:rFonts w:ascii="宋体" w:hAnsi="宋体" w:cs="宋体"/>
                <w:b/>
                <w:bCs/>
                <w:color w:val="auto"/>
                <w:kern w:val="0"/>
                <w:sz w:val="24"/>
                <w:lang w:val="zh-CN"/>
              </w:rPr>
            </w:pPr>
            <w:r>
              <w:rPr>
                <w:rFonts w:hint="eastAsia" w:ascii="宋体" w:hAnsi="宋体" w:cs="宋体"/>
                <w:b/>
                <w:bCs/>
                <w:color w:val="auto"/>
                <w:kern w:val="0"/>
                <w:sz w:val="24"/>
                <w:lang w:val="zh-CN"/>
              </w:rPr>
              <w:t>分值</w:t>
            </w:r>
          </w:p>
        </w:tc>
        <w:tc>
          <w:tcPr>
            <w:tcW w:w="705" w:type="dxa"/>
            <w:vAlign w:val="center"/>
          </w:tcPr>
          <w:p w14:paraId="2F83FF9F">
            <w:pPr>
              <w:widowControl/>
              <w:tabs>
                <w:tab w:val="left" w:pos="0"/>
              </w:tabs>
              <w:autoSpaceDE w:val="0"/>
              <w:autoSpaceDN w:val="0"/>
              <w:adjustRightInd/>
              <w:spacing w:line="228" w:lineRule="auto"/>
              <w:jc w:val="center"/>
              <w:rPr>
                <w:rFonts w:ascii="宋体" w:hAnsi="宋体" w:cs="宋体"/>
                <w:b/>
                <w:bCs/>
                <w:color w:val="auto"/>
                <w:kern w:val="0"/>
                <w:sz w:val="24"/>
                <w:lang w:val="zh-CN"/>
              </w:rPr>
            </w:pPr>
            <w:r>
              <w:rPr>
                <w:rFonts w:hint="eastAsia" w:ascii="宋体" w:hAnsi="宋体" w:cs="宋体"/>
                <w:b/>
                <w:bCs/>
                <w:color w:val="auto"/>
                <w:kern w:val="0"/>
                <w:sz w:val="24"/>
                <w:lang w:val="zh-CN"/>
              </w:rPr>
              <w:t>备注</w:t>
            </w:r>
          </w:p>
        </w:tc>
      </w:tr>
      <w:tr w14:paraId="0E67C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262" w:type="dxa"/>
            <w:vAlign w:val="center"/>
          </w:tcPr>
          <w:p w14:paraId="6B83F2B2">
            <w:pPr>
              <w:adjustRightInd/>
              <w:spacing w:line="228" w:lineRule="auto"/>
              <w:jc w:val="center"/>
              <w:rPr>
                <w:rFonts w:ascii="宋体" w:hAnsi="宋体" w:cs="宋体"/>
                <w:color w:val="auto"/>
                <w:sz w:val="24"/>
              </w:rPr>
            </w:pPr>
            <w:r>
              <w:rPr>
                <w:rFonts w:hint="eastAsia" w:ascii="宋体" w:hAnsi="宋体" w:cs="宋体"/>
                <w:color w:val="auto"/>
                <w:sz w:val="24"/>
              </w:rPr>
              <w:t>价格分（15分）</w:t>
            </w:r>
          </w:p>
        </w:tc>
        <w:tc>
          <w:tcPr>
            <w:tcW w:w="6863" w:type="dxa"/>
            <w:gridSpan w:val="2"/>
            <w:vAlign w:val="center"/>
          </w:tcPr>
          <w:p w14:paraId="40028F60">
            <w:pPr>
              <w:adjustRightInd/>
              <w:spacing w:line="228" w:lineRule="auto"/>
              <w:rPr>
                <w:rFonts w:ascii="宋体" w:hAnsi="宋体" w:cs="宋体"/>
                <w:bCs/>
                <w:color w:val="auto"/>
                <w:kern w:val="0"/>
                <w:sz w:val="24"/>
              </w:rPr>
            </w:pPr>
            <w:r>
              <w:rPr>
                <w:rFonts w:hint="eastAsia" w:ascii="宋体" w:hAnsi="宋体" w:cs="宋体"/>
                <w:bCs/>
                <w:color w:val="auto"/>
                <w:kern w:val="0"/>
                <w:sz w:val="24"/>
              </w:rPr>
              <w:t>评标基准价指的是满足招标文件要求且最低的参与评审的价格。</w:t>
            </w:r>
          </w:p>
          <w:p w14:paraId="3D432154">
            <w:pPr>
              <w:adjustRightInd/>
              <w:spacing w:line="228" w:lineRule="auto"/>
              <w:rPr>
                <w:rFonts w:ascii="宋体" w:hAnsi="宋体" w:cs="宋体"/>
                <w:bCs/>
                <w:color w:val="auto"/>
                <w:kern w:val="0"/>
                <w:sz w:val="24"/>
              </w:rPr>
            </w:pPr>
            <w:r>
              <w:rPr>
                <w:rFonts w:hint="eastAsia" w:ascii="宋体" w:hAnsi="宋体" w:cs="宋体"/>
                <w:bCs/>
                <w:color w:val="auto"/>
                <w:kern w:val="0"/>
                <w:sz w:val="24"/>
              </w:rPr>
              <w:t>参与评审的价格=投标报价。</w:t>
            </w:r>
          </w:p>
          <w:p w14:paraId="536269FB">
            <w:pPr>
              <w:adjustRightInd/>
              <w:spacing w:line="228" w:lineRule="auto"/>
              <w:rPr>
                <w:rFonts w:ascii="宋体" w:hAnsi="宋体" w:cs="宋体"/>
                <w:bCs/>
                <w:color w:val="auto"/>
                <w:kern w:val="0"/>
                <w:sz w:val="24"/>
              </w:rPr>
            </w:pPr>
            <w:r>
              <w:rPr>
                <w:rFonts w:hint="eastAsia" w:ascii="宋体" w:hAnsi="宋体" w:cs="宋体"/>
                <w:bCs/>
                <w:color w:val="auto"/>
                <w:kern w:val="0"/>
                <w:sz w:val="24"/>
              </w:rPr>
              <w:t>参与评审的价格为评标基准价的其价格得分得满分15分。</w:t>
            </w:r>
          </w:p>
          <w:p w14:paraId="0188B38E">
            <w:pPr>
              <w:adjustRightInd/>
              <w:spacing w:line="228" w:lineRule="auto"/>
              <w:rPr>
                <w:rFonts w:ascii="宋体" w:hAnsi="宋体" w:cs="宋体"/>
                <w:bCs/>
                <w:color w:val="auto"/>
                <w:kern w:val="0"/>
                <w:sz w:val="24"/>
              </w:rPr>
            </w:pPr>
            <w:r>
              <w:rPr>
                <w:rFonts w:hint="eastAsia" w:ascii="宋体" w:hAnsi="宋体" w:cs="宋体"/>
                <w:bCs/>
                <w:color w:val="auto"/>
                <w:kern w:val="0"/>
                <w:sz w:val="24"/>
              </w:rPr>
              <w:t>其他投标人价格得分按照下列公式计算：</w:t>
            </w:r>
          </w:p>
          <w:p w14:paraId="745CFB3E">
            <w:pPr>
              <w:adjustRightInd/>
              <w:spacing w:line="228" w:lineRule="auto"/>
              <w:rPr>
                <w:rFonts w:ascii="Calibri" w:hAnsi="Calibri"/>
                <w:color w:val="auto"/>
                <w:sz w:val="24"/>
              </w:rPr>
            </w:pPr>
            <w:r>
              <w:rPr>
                <w:rFonts w:hint="eastAsia" w:ascii="宋体" w:hAnsi="宋体" w:cs="宋体"/>
                <w:bCs/>
                <w:color w:val="auto"/>
                <w:kern w:val="0"/>
                <w:sz w:val="24"/>
              </w:rPr>
              <w:t>价格得分=（评标基准价/参与评审的价格）×15%×100。</w:t>
            </w:r>
          </w:p>
        </w:tc>
        <w:tc>
          <w:tcPr>
            <w:tcW w:w="705" w:type="dxa"/>
            <w:vAlign w:val="center"/>
          </w:tcPr>
          <w:p w14:paraId="2E1F5D41">
            <w:pPr>
              <w:adjustRightInd/>
              <w:spacing w:line="228" w:lineRule="auto"/>
              <w:jc w:val="center"/>
              <w:rPr>
                <w:rFonts w:ascii="Calibri" w:hAnsi="Calibri"/>
                <w:color w:val="auto"/>
                <w:sz w:val="24"/>
              </w:rPr>
            </w:pPr>
            <w:r>
              <w:rPr>
                <w:rFonts w:hint="eastAsia" w:ascii="宋体" w:hAnsi="宋体" w:cs="宋体"/>
                <w:color w:val="auto"/>
                <w:kern w:val="0"/>
                <w:sz w:val="24"/>
              </w:rPr>
              <w:t>15</w:t>
            </w:r>
          </w:p>
        </w:tc>
        <w:tc>
          <w:tcPr>
            <w:tcW w:w="705" w:type="dxa"/>
            <w:vAlign w:val="center"/>
          </w:tcPr>
          <w:p w14:paraId="04496301">
            <w:pPr>
              <w:adjustRightInd/>
              <w:spacing w:line="228" w:lineRule="auto"/>
              <w:jc w:val="center"/>
              <w:rPr>
                <w:rFonts w:ascii="Calibri" w:hAnsi="Calibri"/>
                <w:color w:val="auto"/>
                <w:sz w:val="24"/>
                <w:lang w:val="zh-CN"/>
              </w:rPr>
            </w:pPr>
            <w:r>
              <w:rPr>
                <w:rFonts w:hint="eastAsia" w:ascii="Calibri" w:hAnsi="Calibri"/>
                <w:color w:val="auto"/>
                <w:sz w:val="24"/>
                <w:lang w:val="zh-CN"/>
              </w:rPr>
              <w:t>客观评审</w:t>
            </w:r>
          </w:p>
        </w:tc>
      </w:tr>
      <w:tr w14:paraId="46FAB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1" w:hRule="atLeast"/>
          <w:jc w:val="center"/>
        </w:trPr>
        <w:tc>
          <w:tcPr>
            <w:tcW w:w="1262" w:type="dxa"/>
            <w:vMerge w:val="restart"/>
            <w:vAlign w:val="center"/>
          </w:tcPr>
          <w:p w14:paraId="3F8CFC3C">
            <w:pPr>
              <w:adjustRightInd/>
              <w:spacing w:line="228" w:lineRule="auto"/>
              <w:jc w:val="center"/>
              <w:rPr>
                <w:rFonts w:ascii="宋体" w:hAnsi="宋体" w:cs="宋体"/>
                <w:color w:val="auto"/>
                <w:sz w:val="24"/>
                <w:lang w:bidi="ar"/>
              </w:rPr>
            </w:pPr>
            <w:r>
              <w:rPr>
                <w:rFonts w:hint="eastAsia" w:ascii="宋体" w:hAnsi="宋体" w:cs="宋体"/>
                <w:color w:val="auto"/>
                <w:sz w:val="24"/>
                <w:lang w:bidi="ar"/>
              </w:rPr>
              <w:t>商务</w:t>
            </w:r>
          </w:p>
          <w:p w14:paraId="1EB564C3">
            <w:pPr>
              <w:adjustRightInd/>
              <w:spacing w:line="228" w:lineRule="auto"/>
              <w:jc w:val="center"/>
              <w:rPr>
                <w:rFonts w:ascii="宋体" w:hAnsi="宋体" w:cs="宋体"/>
                <w:color w:val="auto"/>
                <w:sz w:val="24"/>
                <w:lang w:bidi="ar"/>
              </w:rPr>
            </w:pPr>
            <w:r>
              <w:rPr>
                <w:rFonts w:hint="eastAsia" w:ascii="宋体" w:hAnsi="宋体" w:cs="宋体"/>
                <w:color w:val="auto"/>
                <w:sz w:val="24"/>
                <w:lang w:bidi="ar"/>
              </w:rPr>
              <w:t>技术分</w:t>
            </w:r>
          </w:p>
          <w:p w14:paraId="2FE753F3">
            <w:pPr>
              <w:adjustRightInd/>
              <w:spacing w:line="228" w:lineRule="auto"/>
              <w:jc w:val="center"/>
              <w:rPr>
                <w:rFonts w:ascii="Calibri" w:hAnsi="Calibri"/>
                <w:color w:val="auto"/>
                <w:sz w:val="24"/>
              </w:rPr>
            </w:pPr>
            <w:r>
              <w:rPr>
                <w:rFonts w:hint="eastAsia" w:ascii="宋体" w:hAnsi="宋体" w:cs="宋体"/>
                <w:color w:val="auto"/>
                <w:sz w:val="24"/>
                <w:lang w:bidi="ar"/>
              </w:rPr>
              <w:t>（85分）</w:t>
            </w:r>
          </w:p>
        </w:tc>
        <w:tc>
          <w:tcPr>
            <w:tcW w:w="1288" w:type="dxa"/>
            <w:shd w:val="clear" w:color="auto" w:fill="auto"/>
            <w:vAlign w:val="center"/>
          </w:tcPr>
          <w:p w14:paraId="588C5337">
            <w:pPr>
              <w:widowControl/>
              <w:spacing w:line="280" w:lineRule="exact"/>
              <w:rPr>
                <w:rFonts w:ascii="宋体" w:hAnsi="宋体" w:cs="宋体"/>
                <w:color w:val="auto"/>
                <w:sz w:val="24"/>
              </w:rPr>
            </w:pPr>
            <w:r>
              <w:rPr>
                <w:rFonts w:hint="eastAsia" w:ascii="宋体" w:hAnsi="宋体" w:cs="宋体"/>
                <w:color w:val="auto"/>
                <w:sz w:val="24"/>
              </w:rPr>
              <w:t>1、对招标文件的技术响应（26分）</w:t>
            </w:r>
          </w:p>
        </w:tc>
        <w:tc>
          <w:tcPr>
            <w:tcW w:w="5575" w:type="dxa"/>
            <w:shd w:val="clear" w:color="auto" w:fill="auto"/>
            <w:vAlign w:val="center"/>
          </w:tcPr>
          <w:p w14:paraId="1A6138D4">
            <w:pPr>
              <w:adjustRightInd/>
              <w:spacing w:line="288" w:lineRule="auto"/>
              <w:rPr>
                <w:rFonts w:ascii="宋体" w:hAnsi="宋体" w:cs="宋体"/>
                <w:bCs/>
                <w:color w:val="auto"/>
                <w:kern w:val="0"/>
                <w:sz w:val="24"/>
              </w:rPr>
            </w:pPr>
            <w:r>
              <w:rPr>
                <w:rFonts w:hint="eastAsia" w:ascii="宋体" w:hAnsi="宋体" w:cs="宋体"/>
                <w:bCs/>
                <w:color w:val="auto"/>
                <w:kern w:val="0"/>
                <w:sz w:val="24"/>
              </w:rPr>
              <w:t>（1）完全响应招标文件 “第三部分  采购需求 二、项目要求”中所有要求的得26分；</w:t>
            </w:r>
          </w:p>
          <w:p w14:paraId="1ECDDA4F">
            <w:pPr>
              <w:adjustRightInd/>
              <w:spacing w:line="288" w:lineRule="auto"/>
              <w:rPr>
                <w:rFonts w:ascii="宋体" w:hAnsi="宋体" w:cs="宋体"/>
                <w:bCs/>
                <w:color w:val="auto"/>
                <w:kern w:val="0"/>
                <w:sz w:val="24"/>
              </w:rPr>
            </w:pPr>
            <w:r>
              <w:rPr>
                <w:rFonts w:hint="eastAsia" w:ascii="宋体" w:hAnsi="宋体" w:cs="宋体"/>
                <w:bCs/>
                <w:color w:val="auto"/>
                <w:kern w:val="0"/>
                <w:sz w:val="24"/>
              </w:rPr>
              <w:t>（2）“第三部分  采购需求 二、项目要求”中标“▲”的指标，每负偏离一条扣1.3分；</w:t>
            </w:r>
          </w:p>
          <w:p w14:paraId="5A3CD281">
            <w:pPr>
              <w:adjustRightInd/>
              <w:spacing w:line="288" w:lineRule="auto"/>
              <w:rPr>
                <w:rFonts w:ascii="宋体" w:hAnsi="宋体" w:cs="宋体"/>
                <w:bCs/>
                <w:color w:val="auto"/>
                <w:kern w:val="0"/>
                <w:sz w:val="24"/>
              </w:rPr>
            </w:pPr>
            <w:r>
              <w:rPr>
                <w:rFonts w:hint="eastAsia" w:ascii="宋体" w:hAnsi="宋体" w:cs="宋体"/>
                <w:bCs/>
                <w:color w:val="auto"/>
                <w:kern w:val="0"/>
                <w:sz w:val="24"/>
              </w:rPr>
              <w:t>（3）“第三部分  采购需求 二、项目要求”中未标“▲”的指标，每负偏离一条扣0.5分。</w:t>
            </w:r>
          </w:p>
          <w:p w14:paraId="6A64757A">
            <w:pPr>
              <w:adjustRightInd/>
              <w:spacing w:line="288" w:lineRule="auto"/>
              <w:rPr>
                <w:rFonts w:ascii="宋体" w:hAnsi="宋体" w:cs="宋体"/>
                <w:bCs/>
                <w:color w:val="auto"/>
                <w:kern w:val="0"/>
                <w:sz w:val="24"/>
              </w:rPr>
            </w:pPr>
            <w:r>
              <w:rPr>
                <w:rFonts w:hint="eastAsia" w:ascii="宋体" w:hAnsi="宋体" w:cs="宋体"/>
                <w:b/>
                <w:color w:val="auto"/>
                <w:kern w:val="0"/>
                <w:sz w:val="24"/>
              </w:rPr>
              <w:t>注：当有投标人此项分值扣减至0分级以下时，其投标文件作无效标处理，不再进行评审。</w:t>
            </w:r>
          </w:p>
        </w:tc>
        <w:tc>
          <w:tcPr>
            <w:tcW w:w="705" w:type="dxa"/>
            <w:vAlign w:val="center"/>
          </w:tcPr>
          <w:p w14:paraId="2AFBC8A0">
            <w:pPr>
              <w:widowControl/>
              <w:adjustRightInd/>
              <w:jc w:val="center"/>
              <w:rPr>
                <w:rFonts w:ascii="宋体" w:hAnsi="宋体" w:cs="宋体"/>
                <w:color w:val="auto"/>
                <w:sz w:val="24"/>
              </w:rPr>
            </w:pPr>
            <w:r>
              <w:rPr>
                <w:rFonts w:hint="eastAsia" w:ascii="宋体" w:hAnsi="宋体" w:cs="宋体"/>
                <w:color w:val="auto"/>
                <w:sz w:val="24"/>
              </w:rPr>
              <w:t>26</w:t>
            </w:r>
          </w:p>
        </w:tc>
        <w:tc>
          <w:tcPr>
            <w:tcW w:w="705" w:type="dxa"/>
            <w:vAlign w:val="center"/>
          </w:tcPr>
          <w:p w14:paraId="184C6CE8">
            <w:pPr>
              <w:widowControl/>
              <w:adjustRightInd/>
              <w:jc w:val="center"/>
              <w:rPr>
                <w:rFonts w:ascii="宋体" w:hAnsi="宋体" w:cs="宋体"/>
                <w:snapToGrid w:val="0"/>
                <w:color w:val="auto"/>
                <w:spacing w:val="-4"/>
                <w:sz w:val="24"/>
              </w:rPr>
            </w:pPr>
            <w:r>
              <w:rPr>
                <w:rFonts w:hint="eastAsia" w:ascii="宋体" w:hAnsi="宋体" w:cs="宋体"/>
                <w:snapToGrid w:val="0"/>
                <w:color w:val="auto"/>
                <w:spacing w:val="-4"/>
                <w:sz w:val="24"/>
              </w:rPr>
              <w:t>主观评审</w:t>
            </w:r>
          </w:p>
        </w:tc>
      </w:tr>
      <w:tr w14:paraId="0DA8C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1" w:hRule="atLeast"/>
          <w:jc w:val="center"/>
        </w:trPr>
        <w:tc>
          <w:tcPr>
            <w:tcW w:w="1262" w:type="dxa"/>
            <w:vMerge w:val="continue"/>
            <w:vAlign w:val="center"/>
          </w:tcPr>
          <w:p w14:paraId="1C6718C9">
            <w:pPr>
              <w:adjustRightInd/>
              <w:spacing w:line="228" w:lineRule="auto"/>
              <w:jc w:val="center"/>
              <w:rPr>
                <w:rFonts w:ascii="宋体" w:hAnsi="宋体" w:cs="宋体"/>
                <w:color w:val="auto"/>
                <w:sz w:val="24"/>
                <w:lang w:bidi="ar"/>
              </w:rPr>
            </w:pPr>
          </w:p>
        </w:tc>
        <w:tc>
          <w:tcPr>
            <w:tcW w:w="1288" w:type="dxa"/>
            <w:shd w:val="clear" w:color="auto" w:fill="auto"/>
            <w:vAlign w:val="center"/>
          </w:tcPr>
          <w:p w14:paraId="3A2EA6AB">
            <w:pPr>
              <w:widowControl/>
              <w:spacing w:line="280" w:lineRule="exact"/>
              <w:rPr>
                <w:rFonts w:ascii="宋体" w:hAnsi="宋体" w:cs="宋体"/>
                <w:color w:val="auto"/>
                <w:sz w:val="24"/>
              </w:rPr>
            </w:pPr>
            <w:r>
              <w:rPr>
                <w:rFonts w:hint="eastAsia" w:ascii="宋体" w:hAnsi="宋体" w:cs="宋体"/>
                <w:color w:val="auto"/>
                <w:sz w:val="24"/>
              </w:rPr>
              <w:t>2、总体建设方案（5分）</w:t>
            </w:r>
          </w:p>
        </w:tc>
        <w:tc>
          <w:tcPr>
            <w:tcW w:w="5575" w:type="dxa"/>
            <w:shd w:val="clear" w:color="auto" w:fill="auto"/>
            <w:vAlign w:val="center"/>
          </w:tcPr>
          <w:p w14:paraId="2ABCCB2F">
            <w:pPr>
              <w:adjustRightInd/>
              <w:spacing w:line="288" w:lineRule="auto"/>
              <w:rPr>
                <w:rFonts w:ascii="宋体" w:hAnsi="宋体" w:cs="宋体"/>
                <w:bCs/>
                <w:color w:val="auto"/>
                <w:kern w:val="0"/>
                <w:sz w:val="24"/>
              </w:rPr>
            </w:pPr>
            <w:r>
              <w:rPr>
                <w:rFonts w:hint="eastAsia" w:ascii="宋体" w:hAnsi="宋体" w:cs="宋体"/>
                <w:bCs/>
                <w:color w:val="auto"/>
                <w:kern w:val="0"/>
                <w:sz w:val="24"/>
              </w:rPr>
              <w:t>投标人需提供总体建设方案，包含项目建设背景、建设原则、建设目标、整体技术架构、项目建设依据等内容综合评议：</w:t>
            </w:r>
            <w:r>
              <w:rPr>
                <w:rFonts w:hint="eastAsia" w:ascii="宋体" w:hAnsi="宋体" w:cs="宋体"/>
                <w:bCs/>
                <w:color w:val="auto"/>
                <w:kern w:val="0"/>
                <w:sz w:val="24"/>
              </w:rPr>
              <w:br w:type="textWrapping"/>
            </w:r>
            <w:r>
              <w:rPr>
                <w:rFonts w:hint="eastAsia" w:ascii="宋体" w:hAnsi="宋体" w:cs="宋体"/>
                <w:bCs/>
                <w:color w:val="auto"/>
                <w:kern w:val="0"/>
                <w:sz w:val="24"/>
              </w:rPr>
              <w:t>①总体建设方案陈述详细完善</w:t>
            </w:r>
            <w:r>
              <w:rPr>
                <w:rFonts w:hint="eastAsia" w:ascii="宋体" w:hAnsi="宋体" w:cs="宋体"/>
                <w:bCs/>
                <w:color w:val="auto"/>
                <w:kern w:val="0"/>
                <w:sz w:val="24"/>
                <w:lang w:eastAsia="zh-CN"/>
              </w:rPr>
              <w:t>，内容包含但不限于上述要求，</w:t>
            </w:r>
            <w:r>
              <w:rPr>
                <w:rFonts w:hint="eastAsia" w:ascii="宋体" w:hAnsi="宋体" w:cs="宋体"/>
                <w:bCs/>
                <w:color w:val="auto"/>
                <w:kern w:val="0"/>
                <w:sz w:val="24"/>
                <w:lang w:val="en-US" w:eastAsia="zh-CN"/>
              </w:rPr>
              <w:t>且</w:t>
            </w:r>
            <w:r>
              <w:rPr>
                <w:rFonts w:hint="eastAsia" w:ascii="宋体" w:hAnsi="宋体" w:cs="宋体"/>
                <w:bCs/>
                <w:color w:val="auto"/>
                <w:kern w:val="0"/>
                <w:sz w:val="24"/>
                <w:lang w:eastAsia="zh-CN"/>
              </w:rPr>
              <w:t>建设依据符合医院实际情况的得5分；</w:t>
            </w:r>
            <w:r>
              <w:rPr>
                <w:rFonts w:hint="eastAsia" w:ascii="宋体" w:hAnsi="宋体" w:cs="宋体"/>
                <w:bCs/>
                <w:color w:val="auto"/>
                <w:kern w:val="0"/>
                <w:sz w:val="24"/>
              </w:rPr>
              <w:br w:type="textWrapping"/>
            </w:r>
            <w:r>
              <w:rPr>
                <w:rFonts w:hint="eastAsia" w:ascii="宋体" w:hAnsi="宋体" w:cs="宋体"/>
                <w:bCs/>
                <w:color w:val="auto"/>
                <w:kern w:val="0"/>
                <w:sz w:val="24"/>
              </w:rPr>
              <w:t>②总体建设方案陈述</w:t>
            </w:r>
            <w:r>
              <w:rPr>
                <w:rFonts w:hint="eastAsia" w:ascii="宋体" w:hAnsi="宋体" w:cs="宋体"/>
                <w:bCs/>
                <w:color w:val="auto"/>
                <w:kern w:val="0"/>
                <w:sz w:val="24"/>
                <w:lang w:val="en-US" w:eastAsia="zh-CN"/>
              </w:rPr>
              <w:t>较为</w:t>
            </w:r>
            <w:r>
              <w:rPr>
                <w:rFonts w:hint="eastAsia" w:ascii="宋体" w:hAnsi="宋体" w:cs="宋体"/>
                <w:bCs/>
                <w:color w:val="auto"/>
                <w:kern w:val="0"/>
                <w:sz w:val="24"/>
              </w:rPr>
              <w:t>完善</w:t>
            </w:r>
            <w:r>
              <w:rPr>
                <w:rFonts w:hint="eastAsia" w:ascii="宋体" w:hAnsi="宋体" w:cs="宋体"/>
                <w:bCs/>
                <w:color w:val="auto"/>
                <w:kern w:val="0"/>
                <w:sz w:val="24"/>
                <w:lang w:eastAsia="zh-CN"/>
              </w:rPr>
              <w:t>，内容包含上述要求，</w:t>
            </w:r>
            <w:r>
              <w:rPr>
                <w:rFonts w:hint="eastAsia" w:ascii="宋体" w:hAnsi="宋体" w:cs="宋体"/>
                <w:bCs/>
                <w:color w:val="auto"/>
                <w:kern w:val="0"/>
                <w:sz w:val="24"/>
                <w:lang w:val="en-US" w:eastAsia="zh-CN"/>
              </w:rPr>
              <w:t>建设依据基本符合医院实际情况的得3分</w:t>
            </w:r>
            <w:r>
              <w:rPr>
                <w:rFonts w:hint="eastAsia" w:ascii="宋体" w:hAnsi="宋体" w:cs="宋体"/>
                <w:bCs/>
                <w:color w:val="auto"/>
                <w:kern w:val="0"/>
                <w:sz w:val="24"/>
              </w:rPr>
              <w:t>；</w:t>
            </w:r>
            <w:r>
              <w:rPr>
                <w:rFonts w:hint="eastAsia" w:ascii="宋体" w:hAnsi="宋体" w:cs="宋体"/>
                <w:bCs/>
                <w:color w:val="auto"/>
                <w:kern w:val="0"/>
                <w:sz w:val="24"/>
              </w:rPr>
              <w:br w:type="textWrapping"/>
            </w:r>
            <w:r>
              <w:rPr>
                <w:rFonts w:hint="eastAsia" w:ascii="宋体" w:hAnsi="宋体" w:cs="宋体"/>
                <w:bCs/>
                <w:color w:val="auto"/>
                <w:kern w:val="0"/>
                <w:sz w:val="24"/>
              </w:rPr>
              <w:t>③总体建设方案内容不全、有明显不合理之处的得1分；</w:t>
            </w:r>
            <w:r>
              <w:rPr>
                <w:rFonts w:hint="eastAsia" w:ascii="宋体" w:hAnsi="宋体" w:cs="宋体"/>
                <w:bCs/>
                <w:color w:val="auto"/>
                <w:kern w:val="0"/>
                <w:sz w:val="24"/>
              </w:rPr>
              <w:br w:type="textWrapping"/>
            </w:r>
            <w:r>
              <w:rPr>
                <w:rFonts w:hint="eastAsia" w:ascii="宋体" w:hAnsi="宋体" w:cs="宋体"/>
                <w:bCs/>
                <w:color w:val="auto"/>
                <w:kern w:val="0"/>
                <w:sz w:val="24"/>
              </w:rPr>
              <w:t>④无相关内容不得分。</w:t>
            </w:r>
          </w:p>
        </w:tc>
        <w:tc>
          <w:tcPr>
            <w:tcW w:w="705" w:type="dxa"/>
            <w:shd w:val="clear" w:color="auto" w:fill="auto"/>
            <w:vAlign w:val="center"/>
          </w:tcPr>
          <w:p w14:paraId="27CB947B">
            <w:pPr>
              <w:autoSpaceDE w:val="0"/>
              <w:autoSpaceDN w:val="0"/>
              <w:spacing w:line="228" w:lineRule="auto"/>
              <w:jc w:val="center"/>
              <w:rPr>
                <w:rFonts w:ascii="宋体" w:hAnsi="宋体" w:cs="宋体"/>
                <w:color w:val="auto"/>
                <w:kern w:val="0"/>
                <w:sz w:val="24"/>
              </w:rPr>
            </w:pPr>
            <w:r>
              <w:rPr>
                <w:rFonts w:hint="eastAsia" w:ascii="宋体" w:hAnsi="宋体" w:cs="宋体"/>
                <w:color w:val="auto"/>
                <w:kern w:val="0"/>
                <w:sz w:val="24"/>
              </w:rPr>
              <w:t>5</w:t>
            </w:r>
          </w:p>
        </w:tc>
        <w:tc>
          <w:tcPr>
            <w:tcW w:w="705" w:type="dxa"/>
            <w:shd w:val="clear" w:color="auto" w:fill="auto"/>
            <w:vAlign w:val="center"/>
          </w:tcPr>
          <w:p w14:paraId="480BF452">
            <w:pPr>
              <w:autoSpaceDE w:val="0"/>
              <w:autoSpaceDN w:val="0"/>
              <w:spacing w:line="228" w:lineRule="auto"/>
              <w:jc w:val="center"/>
              <w:rPr>
                <w:rFonts w:ascii="宋体" w:hAnsi="宋体" w:cs="宋体"/>
                <w:color w:val="auto"/>
                <w:sz w:val="24"/>
                <w:lang w:val="zh-CN"/>
              </w:rPr>
            </w:pPr>
            <w:r>
              <w:rPr>
                <w:rFonts w:hint="eastAsia" w:ascii="宋体" w:hAnsi="宋体" w:cs="宋体"/>
                <w:color w:val="auto"/>
                <w:sz w:val="24"/>
              </w:rPr>
              <w:t>主观评审</w:t>
            </w:r>
          </w:p>
        </w:tc>
      </w:tr>
      <w:tr w14:paraId="7F036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262" w:type="dxa"/>
            <w:vMerge w:val="continue"/>
            <w:vAlign w:val="center"/>
          </w:tcPr>
          <w:p w14:paraId="1FABB567">
            <w:pPr>
              <w:adjustRightInd/>
              <w:spacing w:line="228" w:lineRule="auto"/>
              <w:jc w:val="center"/>
              <w:rPr>
                <w:rFonts w:ascii="宋体" w:hAnsi="宋体" w:cs="宋体"/>
                <w:color w:val="auto"/>
                <w:sz w:val="24"/>
                <w:lang w:bidi="ar"/>
              </w:rPr>
            </w:pPr>
          </w:p>
        </w:tc>
        <w:tc>
          <w:tcPr>
            <w:tcW w:w="1288" w:type="dxa"/>
            <w:shd w:val="clear" w:color="auto" w:fill="auto"/>
            <w:vAlign w:val="center"/>
          </w:tcPr>
          <w:p w14:paraId="195AF8BA">
            <w:pPr>
              <w:widowControl/>
              <w:spacing w:line="280" w:lineRule="exact"/>
              <w:rPr>
                <w:rFonts w:ascii="宋体" w:hAnsi="宋体" w:cs="宋体"/>
                <w:color w:val="auto"/>
                <w:sz w:val="24"/>
              </w:rPr>
            </w:pPr>
            <w:r>
              <w:rPr>
                <w:rFonts w:hint="eastAsia" w:ascii="宋体" w:hAnsi="宋体" w:cs="宋体"/>
                <w:color w:val="auto"/>
                <w:sz w:val="24"/>
              </w:rPr>
              <w:t>3、项目建设需求调研（5分）</w:t>
            </w:r>
          </w:p>
        </w:tc>
        <w:tc>
          <w:tcPr>
            <w:tcW w:w="5575" w:type="dxa"/>
            <w:shd w:val="clear" w:color="auto" w:fill="auto"/>
            <w:vAlign w:val="center"/>
          </w:tcPr>
          <w:p w14:paraId="3E437853">
            <w:pPr>
              <w:adjustRightInd/>
              <w:spacing w:line="288" w:lineRule="auto"/>
              <w:rPr>
                <w:rFonts w:hint="eastAsia" w:ascii="宋体" w:hAnsi="宋体" w:cs="宋体"/>
                <w:bCs/>
                <w:color w:val="auto"/>
                <w:kern w:val="0"/>
                <w:sz w:val="24"/>
              </w:rPr>
            </w:pPr>
            <w:r>
              <w:rPr>
                <w:rFonts w:hint="eastAsia" w:ascii="宋体" w:hAnsi="宋体" w:cs="宋体"/>
                <w:bCs/>
                <w:color w:val="auto"/>
                <w:kern w:val="0"/>
                <w:sz w:val="24"/>
              </w:rPr>
              <w:t>投标人需提供项目建设调研，根据投标人提供的项目建设需求调研，是否能够完整反映宁波市医疗中心李惠利医院医疗信息化实际情况，以及建设需求分析是否到位进行评议：</w:t>
            </w:r>
            <w:r>
              <w:rPr>
                <w:rFonts w:hint="eastAsia" w:ascii="宋体" w:hAnsi="宋体" w:cs="宋体"/>
                <w:bCs/>
                <w:color w:val="auto"/>
                <w:kern w:val="0"/>
                <w:sz w:val="24"/>
              </w:rPr>
              <w:br w:type="textWrapping"/>
            </w:r>
            <w:r>
              <w:rPr>
                <w:rFonts w:hint="eastAsia" w:ascii="宋体" w:hAnsi="宋体" w:cs="宋体"/>
                <w:bCs/>
                <w:color w:val="auto"/>
                <w:kern w:val="0"/>
                <w:sz w:val="24"/>
              </w:rPr>
              <w:t>①项目建设调研及</w:t>
            </w:r>
            <w:r>
              <w:rPr>
                <w:rFonts w:hint="eastAsia" w:ascii="宋体" w:hAnsi="宋体" w:cs="宋体"/>
                <w:bCs/>
                <w:color w:val="auto"/>
                <w:kern w:val="0"/>
                <w:sz w:val="24"/>
                <w:lang w:val="en-US" w:eastAsia="zh-CN"/>
              </w:rPr>
              <w:t>项目</w:t>
            </w:r>
            <w:r>
              <w:rPr>
                <w:rFonts w:hint="eastAsia" w:ascii="宋体" w:hAnsi="宋体" w:cs="宋体"/>
                <w:bCs/>
                <w:color w:val="auto"/>
                <w:kern w:val="0"/>
                <w:sz w:val="24"/>
              </w:rPr>
              <w:t>了解情况充分、详实、符合项目实际情况</w:t>
            </w:r>
            <w:r>
              <w:rPr>
                <w:rFonts w:hint="eastAsia" w:ascii="宋体" w:hAnsi="宋体" w:cs="宋体"/>
                <w:bCs/>
                <w:color w:val="auto"/>
                <w:kern w:val="0"/>
                <w:sz w:val="24"/>
                <w:lang w:eastAsia="zh-CN"/>
              </w:rPr>
              <w:t>，建设需求</w:t>
            </w:r>
            <w:r>
              <w:rPr>
                <w:rFonts w:hint="eastAsia" w:ascii="宋体" w:hAnsi="宋体" w:cs="宋体"/>
                <w:bCs/>
                <w:color w:val="auto"/>
                <w:kern w:val="0"/>
                <w:sz w:val="24"/>
              </w:rPr>
              <w:t>分析合理、有利于项目后期实施的，得5分；</w:t>
            </w:r>
          </w:p>
          <w:p w14:paraId="65C91705">
            <w:pPr>
              <w:adjustRightInd/>
              <w:spacing w:line="288" w:lineRule="auto"/>
              <w:rPr>
                <w:rFonts w:hint="eastAsia" w:ascii="宋体" w:hAnsi="宋体" w:cs="宋体"/>
                <w:bCs/>
                <w:color w:val="auto"/>
                <w:kern w:val="0"/>
                <w:sz w:val="24"/>
              </w:rPr>
            </w:pPr>
            <w:r>
              <w:rPr>
                <w:rFonts w:hint="eastAsia" w:ascii="宋体" w:hAnsi="宋体" w:cs="宋体"/>
                <w:bCs/>
                <w:color w:val="auto"/>
                <w:kern w:val="0"/>
                <w:sz w:val="24"/>
              </w:rPr>
              <w:t>②项目建设调研及</w:t>
            </w:r>
            <w:r>
              <w:rPr>
                <w:rFonts w:hint="eastAsia" w:ascii="宋体" w:hAnsi="宋体" w:cs="宋体"/>
                <w:bCs/>
                <w:color w:val="auto"/>
                <w:kern w:val="0"/>
                <w:sz w:val="24"/>
                <w:lang w:val="en-US" w:eastAsia="zh-CN"/>
              </w:rPr>
              <w:t>项目</w:t>
            </w:r>
            <w:r>
              <w:rPr>
                <w:rFonts w:hint="eastAsia" w:ascii="宋体" w:hAnsi="宋体" w:cs="宋体"/>
                <w:bCs/>
                <w:color w:val="auto"/>
                <w:kern w:val="0"/>
                <w:sz w:val="24"/>
              </w:rPr>
              <w:t>了解情况基本符合项目现状</w:t>
            </w:r>
            <w:r>
              <w:rPr>
                <w:rFonts w:hint="eastAsia" w:ascii="宋体" w:hAnsi="宋体" w:cs="宋体"/>
                <w:bCs/>
                <w:color w:val="auto"/>
                <w:kern w:val="0"/>
                <w:sz w:val="24"/>
                <w:lang w:eastAsia="zh-CN"/>
              </w:rPr>
              <w:t>，建设需求</w:t>
            </w:r>
            <w:r>
              <w:rPr>
                <w:rFonts w:hint="eastAsia" w:ascii="宋体" w:hAnsi="宋体" w:cs="宋体"/>
                <w:bCs/>
                <w:color w:val="auto"/>
                <w:kern w:val="0"/>
                <w:sz w:val="24"/>
              </w:rPr>
              <w:t>分析</w:t>
            </w:r>
            <w:r>
              <w:rPr>
                <w:rFonts w:hint="eastAsia" w:ascii="宋体" w:hAnsi="宋体" w:cs="宋体"/>
                <w:bCs/>
                <w:color w:val="auto"/>
                <w:kern w:val="0"/>
                <w:sz w:val="24"/>
                <w:lang w:val="en-US" w:eastAsia="zh-CN"/>
              </w:rPr>
              <w:t>不够充分</w:t>
            </w:r>
            <w:r>
              <w:rPr>
                <w:rFonts w:hint="eastAsia" w:ascii="宋体" w:hAnsi="宋体" w:cs="宋体"/>
                <w:bCs/>
                <w:color w:val="auto"/>
                <w:kern w:val="0"/>
                <w:sz w:val="24"/>
                <w:lang w:eastAsia="zh-CN"/>
              </w:rPr>
              <w:t>，</w:t>
            </w:r>
            <w:r>
              <w:rPr>
                <w:rFonts w:hint="eastAsia" w:ascii="宋体" w:hAnsi="宋体" w:cs="宋体"/>
                <w:bCs/>
                <w:color w:val="auto"/>
                <w:kern w:val="0"/>
                <w:sz w:val="24"/>
                <w:lang w:val="en-US" w:eastAsia="zh-CN"/>
              </w:rPr>
              <w:t>但</w:t>
            </w:r>
            <w:r>
              <w:rPr>
                <w:rFonts w:hint="eastAsia" w:ascii="宋体" w:hAnsi="宋体" w:cs="宋体"/>
                <w:bCs/>
                <w:color w:val="auto"/>
                <w:kern w:val="0"/>
                <w:sz w:val="24"/>
              </w:rPr>
              <w:t>能满足项目后期实施的得3分；</w:t>
            </w:r>
          </w:p>
          <w:p w14:paraId="6666CD8F">
            <w:pPr>
              <w:adjustRightInd/>
              <w:spacing w:line="288" w:lineRule="auto"/>
              <w:rPr>
                <w:rFonts w:hint="eastAsia" w:ascii="宋体" w:hAnsi="宋体" w:cs="宋体"/>
                <w:bCs/>
                <w:color w:val="auto"/>
                <w:kern w:val="0"/>
                <w:sz w:val="24"/>
              </w:rPr>
            </w:pPr>
            <w:r>
              <w:rPr>
                <w:rFonts w:hint="eastAsia" w:ascii="宋体" w:hAnsi="宋体" w:cs="宋体"/>
                <w:bCs/>
                <w:color w:val="auto"/>
                <w:kern w:val="0"/>
                <w:sz w:val="24"/>
              </w:rPr>
              <w:t>③项目建设调研及</w:t>
            </w:r>
            <w:r>
              <w:rPr>
                <w:rFonts w:hint="eastAsia" w:ascii="宋体" w:hAnsi="宋体" w:cs="宋体"/>
                <w:bCs/>
                <w:color w:val="auto"/>
                <w:kern w:val="0"/>
                <w:sz w:val="24"/>
                <w:lang w:val="en-US" w:eastAsia="zh-CN"/>
              </w:rPr>
              <w:t>项目</w:t>
            </w:r>
            <w:r>
              <w:rPr>
                <w:rFonts w:hint="eastAsia" w:ascii="宋体" w:hAnsi="宋体" w:cs="宋体"/>
                <w:bCs/>
                <w:color w:val="auto"/>
                <w:kern w:val="0"/>
                <w:sz w:val="24"/>
              </w:rPr>
              <w:t>了解情况不充分、不符合项目现状</w:t>
            </w:r>
            <w:r>
              <w:rPr>
                <w:rFonts w:hint="eastAsia" w:ascii="宋体" w:hAnsi="宋体" w:cs="宋体"/>
                <w:bCs/>
                <w:color w:val="auto"/>
                <w:kern w:val="0"/>
                <w:sz w:val="24"/>
                <w:lang w:eastAsia="zh-CN"/>
              </w:rPr>
              <w:t>，</w:t>
            </w:r>
            <w:r>
              <w:rPr>
                <w:rFonts w:hint="eastAsia" w:ascii="宋体" w:hAnsi="宋体" w:cs="宋体"/>
                <w:bCs/>
                <w:color w:val="auto"/>
                <w:kern w:val="0"/>
                <w:sz w:val="24"/>
              </w:rPr>
              <w:t>建设需求分析不合理、不能保证项目后期开展的得1分；</w:t>
            </w:r>
          </w:p>
          <w:p w14:paraId="5204B5E9">
            <w:pPr>
              <w:adjustRightInd/>
              <w:spacing w:line="288" w:lineRule="auto"/>
              <w:rPr>
                <w:rFonts w:ascii="宋体" w:hAnsi="宋体" w:cs="宋体"/>
                <w:bCs/>
                <w:color w:val="auto"/>
                <w:kern w:val="0"/>
                <w:sz w:val="24"/>
              </w:rPr>
            </w:pPr>
            <w:r>
              <w:rPr>
                <w:rFonts w:hint="eastAsia" w:ascii="宋体" w:hAnsi="宋体" w:cs="宋体"/>
                <w:bCs/>
                <w:color w:val="auto"/>
                <w:kern w:val="0"/>
                <w:sz w:val="24"/>
              </w:rPr>
              <w:t>④</w:t>
            </w:r>
            <w:r>
              <w:rPr>
                <w:rFonts w:hint="eastAsia" w:ascii="宋体" w:hAnsi="宋体" w:cs="宋体"/>
                <w:bCs/>
                <w:color w:val="auto"/>
                <w:kern w:val="0"/>
                <w:sz w:val="24"/>
                <w:lang w:val="en-US" w:eastAsia="zh-CN"/>
              </w:rPr>
              <w:t>无相关内容不得分</w:t>
            </w:r>
            <w:r>
              <w:rPr>
                <w:rFonts w:hint="eastAsia" w:ascii="宋体" w:hAnsi="宋体" w:cs="宋体"/>
                <w:bCs/>
                <w:color w:val="auto"/>
                <w:kern w:val="0"/>
                <w:sz w:val="24"/>
              </w:rPr>
              <w:t>。</w:t>
            </w:r>
          </w:p>
        </w:tc>
        <w:tc>
          <w:tcPr>
            <w:tcW w:w="705" w:type="dxa"/>
            <w:shd w:val="clear" w:color="auto" w:fill="auto"/>
            <w:vAlign w:val="center"/>
          </w:tcPr>
          <w:p w14:paraId="19C38A48">
            <w:pPr>
              <w:autoSpaceDE w:val="0"/>
              <w:autoSpaceDN w:val="0"/>
              <w:spacing w:line="228" w:lineRule="auto"/>
              <w:jc w:val="center"/>
              <w:rPr>
                <w:rFonts w:ascii="宋体" w:hAnsi="宋体" w:cs="宋体"/>
                <w:color w:val="auto"/>
                <w:kern w:val="0"/>
                <w:sz w:val="24"/>
              </w:rPr>
            </w:pPr>
            <w:r>
              <w:rPr>
                <w:rFonts w:hint="eastAsia" w:ascii="宋体" w:hAnsi="宋体" w:cs="宋体"/>
                <w:color w:val="auto"/>
                <w:kern w:val="0"/>
                <w:sz w:val="24"/>
              </w:rPr>
              <w:t>5</w:t>
            </w:r>
          </w:p>
        </w:tc>
        <w:tc>
          <w:tcPr>
            <w:tcW w:w="705" w:type="dxa"/>
            <w:shd w:val="clear" w:color="auto" w:fill="auto"/>
            <w:vAlign w:val="center"/>
          </w:tcPr>
          <w:p w14:paraId="7D9CAF70">
            <w:pPr>
              <w:autoSpaceDE w:val="0"/>
              <w:autoSpaceDN w:val="0"/>
              <w:spacing w:line="228" w:lineRule="auto"/>
              <w:jc w:val="center"/>
              <w:rPr>
                <w:rFonts w:ascii="宋体" w:hAnsi="宋体" w:cs="宋体"/>
                <w:color w:val="auto"/>
                <w:sz w:val="24"/>
              </w:rPr>
            </w:pPr>
            <w:r>
              <w:rPr>
                <w:rFonts w:hint="eastAsia" w:ascii="宋体" w:hAnsi="宋体" w:cs="宋体"/>
                <w:color w:val="auto"/>
                <w:sz w:val="24"/>
              </w:rPr>
              <w:t>主观评审</w:t>
            </w:r>
          </w:p>
        </w:tc>
      </w:tr>
      <w:tr w14:paraId="6CFEE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continue"/>
            <w:vAlign w:val="center"/>
          </w:tcPr>
          <w:p w14:paraId="3F8FC413">
            <w:pPr>
              <w:adjustRightInd/>
              <w:spacing w:line="228" w:lineRule="auto"/>
              <w:jc w:val="center"/>
              <w:rPr>
                <w:rFonts w:ascii="宋体" w:hAnsi="宋体" w:cs="宋体"/>
                <w:color w:val="auto"/>
                <w:sz w:val="24"/>
                <w:lang w:bidi="ar"/>
              </w:rPr>
            </w:pPr>
          </w:p>
        </w:tc>
        <w:tc>
          <w:tcPr>
            <w:tcW w:w="1288" w:type="dxa"/>
            <w:shd w:val="clear" w:color="auto" w:fill="auto"/>
            <w:vAlign w:val="center"/>
          </w:tcPr>
          <w:p w14:paraId="0961E47F">
            <w:pPr>
              <w:widowControl/>
              <w:spacing w:line="280" w:lineRule="exact"/>
              <w:rPr>
                <w:rFonts w:ascii="宋体" w:hAnsi="宋体" w:cs="宋体"/>
                <w:color w:val="auto"/>
                <w:sz w:val="24"/>
              </w:rPr>
            </w:pPr>
            <w:r>
              <w:rPr>
                <w:rFonts w:hint="eastAsia" w:ascii="宋体" w:hAnsi="宋体" w:cs="宋体"/>
                <w:color w:val="auto"/>
                <w:sz w:val="24"/>
              </w:rPr>
              <w:t>4、项目实施方案（5分）</w:t>
            </w:r>
          </w:p>
        </w:tc>
        <w:tc>
          <w:tcPr>
            <w:tcW w:w="5575" w:type="dxa"/>
            <w:shd w:val="clear" w:color="auto" w:fill="auto"/>
            <w:vAlign w:val="center"/>
          </w:tcPr>
          <w:p w14:paraId="3FB6D110">
            <w:pPr>
              <w:adjustRightInd/>
              <w:spacing w:line="288" w:lineRule="auto"/>
              <w:rPr>
                <w:rFonts w:hint="eastAsia" w:ascii="宋体" w:hAnsi="宋体" w:cs="宋体"/>
                <w:bCs/>
                <w:color w:val="auto"/>
                <w:kern w:val="0"/>
                <w:sz w:val="24"/>
                <w:lang w:val="en-US" w:eastAsia="zh-CN"/>
              </w:rPr>
            </w:pPr>
            <w:r>
              <w:rPr>
                <w:rFonts w:hint="eastAsia" w:ascii="宋体" w:hAnsi="宋体" w:cs="宋体"/>
                <w:bCs/>
                <w:color w:val="auto"/>
                <w:kern w:val="0"/>
                <w:sz w:val="24"/>
              </w:rPr>
              <w:t>投标人需提供项目实施方案，根据项目管理、项目组织结构、进度控制、测试联调、验收、质量管理、文档管理等内容进行综合评议：</w:t>
            </w:r>
            <w:r>
              <w:rPr>
                <w:rFonts w:hint="eastAsia" w:ascii="宋体" w:hAnsi="宋体" w:cs="宋体"/>
                <w:bCs/>
                <w:color w:val="auto"/>
                <w:kern w:val="0"/>
                <w:sz w:val="24"/>
              </w:rPr>
              <w:br w:type="textWrapping"/>
            </w:r>
            <w:r>
              <w:rPr>
                <w:rFonts w:hint="eastAsia" w:ascii="宋体" w:hAnsi="宋体" w:cs="宋体"/>
                <w:bCs/>
                <w:color w:val="auto"/>
                <w:kern w:val="0"/>
                <w:sz w:val="24"/>
                <w:lang w:val="en-US" w:eastAsia="zh-CN"/>
              </w:rPr>
              <w:t>①项目实施方案内容完全结合医院实际情况，项目进度控制编排合理、能确保项目及时完成，项目管理目标、项目组织结构明确清晰，测试联调、验收、质量管理、文档管理内容详细完善、具有实际操作性、为医院量身定制的得5分；</w:t>
            </w:r>
          </w:p>
          <w:p w14:paraId="2B1E49FD">
            <w:pPr>
              <w:adjustRightInd/>
              <w:spacing w:line="288" w:lineRule="auto"/>
              <w:rPr>
                <w:rFonts w:hint="eastAsia" w:ascii="宋体" w:hAnsi="宋体" w:cs="宋体"/>
                <w:bCs/>
                <w:color w:val="auto"/>
                <w:kern w:val="0"/>
                <w:sz w:val="24"/>
                <w:lang w:val="en-US" w:eastAsia="zh-CN"/>
              </w:rPr>
            </w:pPr>
            <w:r>
              <w:rPr>
                <w:rFonts w:hint="eastAsia" w:ascii="宋体" w:hAnsi="宋体" w:cs="宋体"/>
                <w:bCs/>
                <w:color w:val="auto"/>
                <w:kern w:val="0"/>
                <w:sz w:val="24"/>
                <w:lang w:val="en-US" w:eastAsia="zh-CN"/>
              </w:rPr>
              <w:t>②项目实施方案内容基本符合医院实际需求，项目进度控制编排及项目组织结构模糊有待改进，项目管理目标架构松散，测试联调、验收、质量管理、文档管理针对性不强的得3分；</w:t>
            </w:r>
          </w:p>
          <w:p w14:paraId="39A35DA6">
            <w:pPr>
              <w:adjustRightInd/>
              <w:spacing w:line="288" w:lineRule="auto"/>
              <w:rPr>
                <w:rFonts w:hint="eastAsia" w:ascii="宋体" w:hAnsi="宋体" w:cs="宋体"/>
                <w:bCs/>
                <w:color w:val="auto"/>
                <w:kern w:val="0"/>
                <w:sz w:val="24"/>
                <w:lang w:val="en-US" w:eastAsia="zh-CN"/>
              </w:rPr>
            </w:pPr>
            <w:r>
              <w:rPr>
                <w:rFonts w:hint="eastAsia" w:ascii="宋体" w:hAnsi="宋体" w:cs="宋体"/>
                <w:bCs/>
                <w:color w:val="auto"/>
                <w:kern w:val="0"/>
                <w:sz w:val="24"/>
                <w:lang w:val="en-US" w:eastAsia="zh-CN"/>
              </w:rPr>
              <w:t>③项目实施方案内容不完整，内容分析不充分，与本项目实际需求有差距的得1分；</w:t>
            </w:r>
          </w:p>
          <w:p w14:paraId="0B879C94">
            <w:pPr>
              <w:adjustRightInd/>
              <w:spacing w:line="288" w:lineRule="auto"/>
              <w:rPr>
                <w:rFonts w:ascii="宋体" w:hAnsi="宋体" w:cs="宋体"/>
                <w:bCs/>
                <w:color w:val="auto"/>
                <w:kern w:val="0"/>
                <w:sz w:val="24"/>
              </w:rPr>
            </w:pPr>
            <w:r>
              <w:rPr>
                <w:rFonts w:hint="eastAsia" w:ascii="宋体" w:hAnsi="宋体" w:cs="宋体"/>
                <w:bCs/>
                <w:color w:val="auto"/>
                <w:kern w:val="0"/>
                <w:sz w:val="24"/>
                <w:lang w:val="en-US" w:eastAsia="zh-CN"/>
              </w:rPr>
              <w:t>④无相关内容不得分。</w:t>
            </w:r>
          </w:p>
        </w:tc>
        <w:tc>
          <w:tcPr>
            <w:tcW w:w="705" w:type="dxa"/>
            <w:shd w:val="clear" w:color="auto" w:fill="auto"/>
            <w:vAlign w:val="center"/>
          </w:tcPr>
          <w:p w14:paraId="6C8E9555">
            <w:pPr>
              <w:autoSpaceDE w:val="0"/>
              <w:autoSpaceDN w:val="0"/>
              <w:spacing w:line="228" w:lineRule="auto"/>
              <w:jc w:val="center"/>
              <w:rPr>
                <w:rFonts w:ascii="宋体" w:hAnsi="宋体" w:cs="宋体"/>
                <w:color w:val="auto"/>
                <w:kern w:val="0"/>
                <w:sz w:val="24"/>
              </w:rPr>
            </w:pPr>
            <w:r>
              <w:rPr>
                <w:rFonts w:hint="eastAsia" w:ascii="宋体" w:hAnsi="宋体" w:cs="宋体"/>
                <w:color w:val="auto"/>
                <w:kern w:val="0"/>
                <w:sz w:val="24"/>
              </w:rPr>
              <w:t>5</w:t>
            </w:r>
          </w:p>
        </w:tc>
        <w:tc>
          <w:tcPr>
            <w:tcW w:w="705" w:type="dxa"/>
            <w:shd w:val="clear" w:color="auto" w:fill="auto"/>
            <w:vAlign w:val="center"/>
          </w:tcPr>
          <w:p w14:paraId="3503C73B">
            <w:pPr>
              <w:autoSpaceDE w:val="0"/>
              <w:autoSpaceDN w:val="0"/>
              <w:spacing w:line="228" w:lineRule="auto"/>
              <w:jc w:val="center"/>
              <w:rPr>
                <w:rFonts w:ascii="宋体" w:hAnsi="宋体" w:cs="宋体"/>
                <w:color w:val="auto"/>
                <w:sz w:val="24"/>
              </w:rPr>
            </w:pPr>
            <w:r>
              <w:rPr>
                <w:rFonts w:hint="eastAsia" w:ascii="宋体" w:hAnsi="宋体" w:cs="宋体"/>
                <w:color w:val="auto"/>
                <w:sz w:val="24"/>
              </w:rPr>
              <w:t>主观评审</w:t>
            </w:r>
          </w:p>
        </w:tc>
      </w:tr>
      <w:tr w14:paraId="62080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262" w:type="dxa"/>
            <w:vMerge w:val="continue"/>
            <w:vAlign w:val="center"/>
          </w:tcPr>
          <w:p w14:paraId="09A00374">
            <w:pPr>
              <w:adjustRightInd/>
              <w:spacing w:line="228" w:lineRule="auto"/>
              <w:rPr>
                <w:rFonts w:ascii="Calibri" w:hAnsi="Calibri"/>
                <w:color w:val="auto"/>
                <w:sz w:val="24"/>
              </w:rPr>
            </w:pPr>
          </w:p>
        </w:tc>
        <w:tc>
          <w:tcPr>
            <w:tcW w:w="1288" w:type="dxa"/>
            <w:shd w:val="clear" w:color="auto" w:fill="auto"/>
            <w:vAlign w:val="center"/>
          </w:tcPr>
          <w:p w14:paraId="5AB14019">
            <w:pPr>
              <w:widowControl/>
              <w:spacing w:line="280" w:lineRule="exact"/>
              <w:rPr>
                <w:rFonts w:ascii="宋体" w:hAnsi="宋体" w:cs="宋体"/>
                <w:color w:val="auto"/>
                <w:sz w:val="24"/>
                <w:highlight w:val="none"/>
              </w:rPr>
            </w:pPr>
            <w:r>
              <w:rPr>
                <w:rFonts w:hint="eastAsia" w:ascii="宋体" w:hAnsi="宋体" w:cs="宋体"/>
                <w:color w:val="auto"/>
                <w:sz w:val="24"/>
                <w:highlight w:val="none"/>
              </w:rPr>
              <w:t>5、项目应急方案及措施（5分）</w:t>
            </w:r>
          </w:p>
        </w:tc>
        <w:tc>
          <w:tcPr>
            <w:tcW w:w="5575" w:type="dxa"/>
            <w:shd w:val="clear" w:color="auto" w:fill="auto"/>
            <w:vAlign w:val="center"/>
          </w:tcPr>
          <w:p w14:paraId="51947AE4">
            <w:pPr>
              <w:adjustRightInd/>
              <w:spacing w:line="288" w:lineRule="auto"/>
              <w:rPr>
                <w:rFonts w:hint="eastAsia" w:ascii="宋体" w:hAnsi="宋体" w:cs="宋体"/>
                <w:bCs/>
                <w:color w:val="auto"/>
                <w:kern w:val="0"/>
                <w:sz w:val="24"/>
                <w:highlight w:val="none"/>
              </w:rPr>
            </w:pPr>
            <w:r>
              <w:rPr>
                <w:rFonts w:hint="eastAsia" w:ascii="宋体" w:hAnsi="宋体" w:cs="宋体"/>
                <w:bCs/>
                <w:color w:val="auto"/>
                <w:kern w:val="0"/>
                <w:sz w:val="24"/>
                <w:highlight w:val="none"/>
              </w:rPr>
              <w:t>投标人需提供项目应急方案，根据对项目实施和运维过程中遇到应急情况有所预见和准备，在遇到问题时有规范处理流程和行之有效的处理办法，并在日常做好防范的措施，包括：总体应急方案，完备的预防措施，应急事件类型划分及针对性措施，应急人员保证和应急时间响应，应急工作责任主体和惩处方法等内容进行评议：</w:t>
            </w:r>
          </w:p>
          <w:p w14:paraId="54D5BACA">
            <w:pPr>
              <w:adjustRightInd/>
              <w:spacing w:line="288" w:lineRule="auto"/>
              <w:rPr>
                <w:rFonts w:hint="eastAsia" w:ascii="宋体" w:hAnsi="宋体" w:cs="宋体"/>
                <w:bCs/>
                <w:color w:val="auto"/>
                <w:kern w:val="0"/>
                <w:sz w:val="24"/>
                <w:highlight w:val="none"/>
              </w:rPr>
            </w:pPr>
            <w:r>
              <w:rPr>
                <w:rFonts w:hint="eastAsia" w:ascii="宋体" w:hAnsi="宋体" w:cs="宋体"/>
                <w:bCs/>
                <w:color w:val="auto"/>
                <w:kern w:val="0"/>
                <w:sz w:val="24"/>
                <w:highlight w:val="none"/>
              </w:rPr>
              <w:t>①项目应急方案具体合理有针对性，</w:t>
            </w:r>
            <w:r>
              <w:rPr>
                <w:rFonts w:hint="eastAsia" w:ascii="宋体" w:hAnsi="宋体" w:cs="宋体"/>
                <w:bCs/>
                <w:color w:val="auto"/>
                <w:kern w:val="0"/>
                <w:sz w:val="24"/>
                <w:highlight w:val="none"/>
                <w:lang w:val="en-US" w:eastAsia="zh-CN"/>
              </w:rPr>
              <w:t>针对医院可预判可能出现的突发情况并</w:t>
            </w:r>
            <w:r>
              <w:rPr>
                <w:rFonts w:hint="eastAsia" w:ascii="宋体" w:hAnsi="宋体" w:cs="宋体"/>
                <w:bCs/>
                <w:color w:val="auto"/>
                <w:kern w:val="0"/>
                <w:sz w:val="24"/>
                <w:highlight w:val="none"/>
              </w:rPr>
              <w:t>能协助医院及时处理各种突发情况的得5分；</w:t>
            </w:r>
          </w:p>
          <w:p w14:paraId="70CAE180">
            <w:pPr>
              <w:adjustRightInd/>
              <w:spacing w:line="288" w:lineRule="auto"/>
              <w:rPr>
                <w:rFonts w:hint="eastAsia" w:ascii="宋体" w:hAnsi="宋体" w:cs="宋体"/>
                <w:bCs/>
                <w:color w:val="auto"/>
                <w:kern w:val="0"/>
                <w:sz w:val="24"/>
                <w:highlight w:val="none"/>
              </w:rPr>
            </w:pPr>
            <w:r>
              <w:rPr>
                <w:rFonts w:hint="eastAsia" w:ascii="宋体" w:hAnsi="宋体" w:cs="宋体"/>
                <w:bCs/>
                <w:color w:val="auto"/>
                <w:kern w:val="0"/>
                <w:sz w:val="24"/>
                <w:highlight w:val="none"/>
              </w:rPr>
              <w:t>②项目应急方案具体合理，</w:t>
            </w:r>
            <w:r>
              <w:rPr>
                <w:rFonts w:hint="eastAsia" w:ascii="宋体" w:hAnsi="宋体" w:cs="宋体"/>
                <w:bCs/>
                <w:color w:val="auto"/>
                <w:kern w:val="0"/>
                <w:sz w:val="24"/>
                <w:highlight w:val="none"/>
                <w:lang w:val="en-US" w:eastAsia="zh-CN"/>
              </w:rPr>
              <w:t>预判突发情况考虑欠周全，</w:t>
            </w:r>
            <w:r>
              <w:rPr>
                <w:rFonts w:hint="eastAsia" w:ascii="宋体" w:hAnsi="宋体" w:cs="宋体"/>
                <w:bCs/>
                <w:color w:val="auto"/>
                <w:kern w:val="0"/>
                <w:sz w:val="24"/>
                <w:highlight w:val="none"/>
              </w:rPr>
              <w:t>能应对大部分突发应急事件的得3分；</w:t>
            </w:r>
          </w:p>
          <w:p w14:paraId="5028D9EE">
            <w:pPr>
              <w:adjustRightInd/>
              <w:spacing w:line="288" w:lineRule="auto"/>
              <w:rPr>
                <w:rFonts w:hint="eastAsia" w:ascii="宋体" w:hAnsi="宋体" w:cs="宋体"/>
                <w:bCs/>
                <w:color w:val="auto"/>
                <w:kern w:val="0"/>
                <w:sz w:val="24"/>
                <w:highlight w:val="none"/>
              </w:rPr>
            </w:pPr>
            <w:r>
              <w:rPr>
                <w:rFonts w:hint="eastAsia" w:ascii="宋体" w:hAnsi="宋体" w:cs="宋体"/>
                <w:bCs/>
                <w:color w:val="auto"/>
                <w:kern w:val="0"/>
                <w:sz w:val="24"/>
                <w:highlight w:val="none"/>
              </w:rPr>
              <w:t>③项目应急方案合理，</w:t>
            </w:r>
            <w:r>
              <w:rPr>
                <w:rFonts w:hint="eastAsia" w:ascii="宋体" w:hAnsi="宋体" w:cs="宋体"/>
                <w:bCs/>
                <w:color w:val="auto"/>
                <w:kern w:val="0"/>
                <w:sz w:val="24"/>
                <w:highlight w:val="none"/>
                <w:lang w:val="en-US" w:eastAsia="zh-CN"/>
              </w:rPr>
              <w:t>预判突发情况内容简单且仅</w:t>
            </w:r>
            <w:r>
              <w:rPr>
                <w:rFonts w:hint="eastAsia" w:ascii="宋体" w:hAnsi="宋体" w:cs="宋体"/>
                <w:bCs/>
                <w:color w:val="auto"/>
                <w:kern w:val="0"/>
                <w:sz w:val="24"/>
                <w:highlight w:val="none"/>
              </w:rPr>
              <w:t>能应对小部分突发应急事件的得1分</w:t>
            </w:r>
          </w:p>
          <w:p w14:paraId="5CE3B455">
            <w:pPr>
              <w:adjustRightInd/>
              <w:spacing w:line="288" w:lineRule="auto"/>
              <w:rPr>
                <w:rFonts w:ascii="宋体" w:hAnsi="宋体" w:cs="宋体"/>
                <w:bCs/>
                <w:color w:val="auto"/>
                <w:kern w:val="0"/>
                <w:sz w:val="24"/>
                <w:highlight w:val="none"/>
              </w:rPr>
            </w:pPr>
            <w:r>
              <w:rPr>
                <w:rFonts w:hint="eastAsia" w:ascii="宋体" w:hAnsi="宋体" w:cs="宋体"/>
                <w:bCs/>
                <w:color w:val="auto"/>
                <w:kern w:val="0"/>
                <w:sz w:val="24"/>
                <w:highlight w:val="none"/>
              </w:rPr>
              <w:t>④</w:t>
            </w:r>
            <w:r>
              <w:rPr>
                <w:rFonts w:hint="eastAsia" w:ascii="宋体" w:hAnsi="宋体" w:cs="宋体"/>
                <w:bCs/>
                <w:color w:val="auto"/>
                <w:kern w:val="0"/>
                <w:sz w:val="24"/>
                <w:highlight w:val="none"/>
                <w:lang w:val="en-US" w:eastAsia="zh-CN"/>
              </w:rPr>
              <w:t>无相关内容不得分</w:t>
            </w:r>
            <w:r>
              <w:rPr>
                <w:rFonts w:hint="eastAsia" w:ascii="宋体" w:hAnsi="宋体" w:cs="宋体"/>
                <w:bCs/>
                <w:color w:val="auto"/>
                <w:kern w:val="0"/>
                <w:sz w:val="24"/>
                <w:highlight w:val="none"/>
              </w:rPr>
              <w:t>。</w:t>
            </w:r>
          </w:p>
        </w:tc>
        <w:tc>
          <w:tcPr>
            <w:tcW w:w="705" w:type="dxa"/>
            <w:shd w:val="clear" w:color="auto" w:fill="auto"/>
            <w:vAlign w:val="center"/>
          </w:tcPr>
          <w:p w14:paraId="3846C680">
            <w:pPr>
              <w:adjustRightInd/>
              <w:spacing w:line="288"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705" w:type="dxa"/>
            <w:shd w:val="clear" w:color="auto" w:fill="auto"/>
            <w:vAlign w:val="center"/>
          </w:tcPr>
          <w:p w14:paraId="0E39FF69">
            <w:pPr>
              <w:adjustRightInd/>
              <w:spacing w:line="288" w:lineRule="auto"/>
              <w:jc w:val="center"/>
              <w:rPr>
                <w:rFonts w:ascii="宋体" w:hAnsi="宋体" w:cs="宋体"/>
                <w:color w:val="auto"/>
                <w:sz w:val="24"/>
                <w:highlight w:val="none"/>
              </w:rPr>
            </w:pPr>
            <w:r>
              <w:rPr>
                <w:rFonts w:hint="eastAsia" w:ascii="宋体" w:hAnsi="宋体" w:cs="宋体"/>
                <w:color w:val="auto"/>
                <w:sz w:val="24"/>
                <w:highlight w:val="none"/>
              </w:rPr>
              <w:t>主观评审</w:t>
            </w:r>
          </w:p>
        </w:tc>
      </w:tr>
      <w:tr w14:paraId="7C9EF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262" w:type="dxa"/>
            <w:vMerge w:val="continue"/>
            <w:vAlign w:val="center"/>
          </w:tcPr>
          <w:p w14:paraId="69663EF3">
            <w:pPr>
              <w:adjustRightInd/>
              <w:spacing w:line="228" w:lineRule="auto"/>
              <w:rPr>
                <w:rFonts w:ascii="Calibri" w:hAnsi="Calibri"/>
                <w:color w:val="auto"/>
                <w:sz w:val="24"/>
              </w:rPr>
            </w:pPr>
          </w:p>
        </w:tc>
        <w:tc>
          <w:tcPr>
            <w:tcW w:w="1288" w:type="dxa"/>
            <w:shd w:val="clear" w:color="auto" w:fill="auto"/>
            <w:vAlign w:val="center"/>
          </w:tcPr>
          <w:p w14:paraId="1289EBD6">
            <w:pPr>
              <w:widowControl/>
              <w:spacing w:line="280" w:lineRule="exact"/>
              <w:rPr>
                <w:rFonts w:ascii="宋体" w:hAnsi="宋体" w:cs="宋体"/>
                <w:color w:val="auto"/>
                <w:sz w:val="24"/>
              </w:rPr>
            </w:pPr>
            <w:r>
              <w:rPr>
                <w:rFonts w:hint="eastAsia" w:ascii="宋体" w:hAnsi="宋体" w:cs="宋体"/>
                <w:color w:val="auto"/>
                <w:sz w:val="24"/>
              </w:rPr>
              <w:t>6、项目实施培训方案（5分）</w:t>
            </w:r>
          </w:p>
        </w:tc>
        <w:tc>
          <w:tcPr>
            <w:tcW w:w="5575" w:type="dxa"/>
            <w:shd w:val="clear" w:color="auto" w:fill="auto"/>
            <w:vAlign w:val="center"/>
          </w:tcPr>
          <w:p w14:paraId="08D4C200">
            <w:pPr>
              <w:adjustRightInd/>
              <w:spacing w:line="288" w:lineRule="auto"/>
              <w:rPr>
                <w:rFonts w:hint="eastAsia" w:ascii="宋体" w:hAnsi="宋体" w:cs="宋体"/>
                <w:bCs/>
                <w:color w:val="auto"/>
                <w:kern w:val="0"/>
                <w:sz w:val="24"/>
                <w:lang w:val="zh-CN" w:eastAsia="zh-CN"/>
              </w:rPr>
            </w:pPr>
            <w:r>
              <w:rPr>
                <w:rFonts w:hint="eastAsia" w:ascii="宋体" w:hAnsi="宋体" w:cs="宋体"/>
                <w:bCs/>
                <w:color w:val="auto"/>
                <w:kern w:val="0"/>
                <w:sz w:val="24"/>
              </w:rPr>
              <w:t>投标人需提供项目实施培训方案，根据培训概述、培训大纲、培训计划、培训内容、培训课程、培训人员安排等内容进行评议：</w:t>
            </w:r>
            <w:r>
              <w:rPr>
                <w:rFonts w:hint="eastAsia" w:ascii="宋体" w:hAnsi="宋体" w:cs="宋体"/>
                <w:bCs/>
                <w:color w:val="auto"/>
                <w:kern w:val="0"/>
                <w:sz w:val="24"/>
              </w:rPr>
              <w:br w:type="textWrapping"/>
            </w:r>
            <w:r>
              <w:rPr>
                <w:rFonts w:hint="eastAsia" w:ascii="宋体" w:hAnsi="宋体" w:cs="宋体"/>
                <w:bCs/>
                <w:color w:val="auto"/>
                <w:kern w:val="0"/>
                <w:sz w:val="24"/>
                <w:lang w:val="zh-CN" w:eastAsia="zh-CN"/>
              </w:rPr>
              <w:t>①项目实施培训方案与医院实际相结合，培训概述</w:t>
            </w:r>
            <w:r>
              <w:rPr>
                <w:rFonts w:hint="eastAsia" w:ascii="宋体" w:hAnsi="宋体" w:cs="宋体"/>
                <w:bCs/>
                <w:color w:val="auto"/>
                <w:kern w:val="0"/>
                <w:sz w:val="24"/>
                <w:lang w:val="en-US" w:eastAsia="zh-CN"/>
              </w:rPr>
              <w:t>明确，</w:t>
            </w:r>
            <w:r>
              <w:rPr>
                <w:rFonts w:hint="eastAsia" w:ascii="宋体" w:hAnsi="宋体" w:cs="宋体"/>
                <w:bCs/>
                <w:color w:val="auto"/>
                <w:kern w:val="0"/>
                <w:sz w:val="24"/>
                <w:lang w:val="zh-CN" w:eastAsia="zh-CN"/>
              </w:rPr>
              <w:t>培训大纲、培训计划安排合理，培训内容符合</w:t>
            </w:r>
            <w:r>
              <w:rPr>
                <w:rFonts w:hint="eastAsia" w:ascii="宋体" w:hAnsi="宋体" w:cs="宋体"/>
                <w:bCs/>
                <w:color w:val="auto"/>
                <w:kern w:val="0"/>
                <w:sz w:val="24"/>
                <w:lang w:val="en-US" w:eastAsia="zh-CN"/>
              </w:rPr>
              <w:t>平台</w:t>
            </w:r>
            <w:r>
              <w:rPr>
                <w:rFonts w:hint="eastAsia" w:ascii="宋体" w:hAnsi="宋体" w:cs="宋体"/>
                <w:bCs/>
                <w:color w:val="auto"/>
                <w:kern w:val="0"/>
                <w:sz w:val="24"/>
                <w:lang w:val="zh-CN" w:eastAsia="zh-CN"/>
              </w:rPr>
              <w:t>使用要求，培训课程</w:t>
            </w:r>
            <w:r>
              <w:rPr>
                <w:rFonts w:hint="eastAsia" w:ascii="宋体" w:hAnsi="宋体" w:cs="宋体"/>
                <w:bCs/>
                <w:color w:val="auto"/>
                <w:kern w:val="0"/>
                <w:sz w:val="24"/>
                <w:lang w:val="en-US" w:eastAsia="zh-CN"/>
              </w:rPr>
              <w:t>和</w:t>
            </w:r>
            <w:r>
              <w:rPr>
                <w:rFonts w:hint="eastAsia" w:ascii="宋体" w:hAnsi="宋体" w:cs="宋体"/>
                <w:bCs/>
                <w:color w:val="auto"/>
                <w:kern w:val="0"/>
                <w:sz w:val="24"/>
                <w:lang w:val="zh-CN" w:eastAsia="zh-CN"/>
              </w:rPr>
              <w:t>培训人员安排能确保</w:t>
            </w:r>
            <w:r>
              <w:rPr>
                <w:rFonts w:hint="eastAsia" w:ascii="宋体" w:hAnsi="宋体" w:cs="宋体"/>
                <w:bCs/>
                <w:color w:val="auto"/>
                <w:kern w:val="0"/>
                <w:sz w:val="24"/>
                <w:lang w:val="en-US" w:eastAsia="zh-CN"/>
              </w:rPr>
              <w:t>平台</w:t>
            </w:r>
            <w:r>
              <w:rPr>
                <w:rFonts w:hint="eastAsia" w:ascii="宋体" w:hAnsi="宋体" w:cs="宋体"/>
                <w:bCs/>
                <w:color w:val="auto"/>
                <w:kern w:val="0"/>
                <w:sz w:val="24"/>
                <w:lang w:val="zh-CN" w:eastAsia="zh-CN"/>
              </w:rPr>
              <w:t>实际使用人灵活使用且场地安排合理的得5分；</w:t>
            </w:r>
          </w:p>
          <w:p w14:paraId="4C9545CF">
            <w:pPr>
              <w:numPr>
                <w:ilvl w:val="0"/>
                <w:numId w:val="0"/>
              </w:numPr>
              <w:adjustRightInd/>
              <w:spacing w:line="288" w:lineRule="auto"/>
              <w:rPr>
                <w:rFonts w:hint="eastAsia" w:ascii="宋体" w:hAnsi="宋体" w:cs="宋体"/>
                <w:bCs/>
                <w:color w:val="auto"/>
                <w:kern w:val="0"/>
                <w:sz w:val="24"/>
                <w:lang w:val="zh-CN" w:eastAsia="zh-CN"/>
              </w:rPr>
            </w:pPr>
            <w:r>
              <w:rPr>
                <w:rFonts w:hint="eastAsia" w:ascii="宋体" w:hAnsi="宋体" w:cs="宋体"/>
                <w:bCs/>
                <w:color w:val="auto"/>
                <w:kern w:val="0"/>
                <w:sz w:val="24"/>
                <w:lang w:val="en-US" w:eastAsia="zh-CN"/>
              </w:rPr>
              <w:t>②</w:t>
            </w:r>
            <w:r>
              <w:rPr>
                <w:rFonts w:hint="eastAsia" w:ascii="宋体" w:hAnsi="宋体" w:cs="宋体"/>
                <w:bCs/>
                <w:color w:val="auto"/>
                <w:kern w:val="0"/>
                <w:sz w:val="24"/>
                <w:lang w:val="zh-CN" w:eastAsia="zh-CN"/>
              </w:rPr>
              <w:t>项目实施培训方案与医院实际相结合，培训概述</w:t>
            </w:r>
            <w:r>
              <w:rPr>
                <w:rFonts w:hint="eastAsia" w:ascii="宋体" w:hAnsi="宋体" w:cs="宋体"/>
                <w:bCs/>
                <w:color w:val="auto"/>
                <w:kern w:val="0"/>
                <w:sz w:val="24"/>
                <w:lang w:val="en-US" w:eastAsia="zh-CN"/>
              </w:rPr>
              <w:t>较</w:t>
            </w:r>
            <w:r>
              <w:rPr>
                <w:rFonts w:hint="eastAsia" w:ascii="宋体" w:hAnsi="宋体" w:cs="宋体"/>
                <w:bCs/>
                <w:color w:val="auto"/>
                <w:kern w:val="0"/>
                <w:sz w:val="24"/>
                <w:lang w:val="zh-CN" w:eastAsia="zh-CN"/>
              </w:rPr>
              <w:t>明确，培训大纲、培训计划安排</w:t>
            </w:r>
            <w:r>
              <w:rPr>
                <w:rFonts w:hint="eastAsia" w:ascii="宋体" w:hAnsi="宋体" w:cs="宋体"/>
                <w:bCs/>
                <w:color w:val="auto"/>
                <w:kern w:val="0"/>
                <w:sz w:val="24"/>
                <w:lang w:val="en-US" w:eastAsia="zh-CN"/>
              </w:rPr>
              <w:t>基本</w:t>
            </w:r>
            <w:r>
              <w:rPr>
                <w:rFonts w:hint="eastAsia" w:ascii="宋体" w:hAnsi="宋体" w:cs="宋体"/>
                <w:bCs/>
                <w:color w:val="auto"/>
                <w:kern w:val="0"/>
                <w:sz w:val="24"/>
                <w:lang w:val="zh-CN" w:eastAsia="zh-CN"/>
              </w:rPr>
              <w:t>合理，培训内容</w:t>
            </w:r>
            <w:r>
              <w:rPr>
                <w:rFonts w:hint="eastAsia" w:ascii="宋体" w:hAnsi="宋体" w:cs="宋体"/>
                <w:bCs/>
                <w:color w:val="auto"/>
                <w:kern w:val="0"/>
                <w:sz w:val="24"/>
                <w:lang w:val="en-US" w:eastAsia="zh-CN"/>
              </w:rPr>
              <w:t>能满足平台</w:t>
            </w:r>
            <w:r>
              <w:rPr>
                <w:rFonts w:hint="eastAsia" w:ascii="宋体" w:hAnsi="宋体" w:cs="宋体"/>
                <w:bCs/>
                <w:color w:val="auto"/>
                <w:kern w:val="0"/>
                <w:sz w:val="24"/>
                <w:lang w:val="zh-CN" w:eastAsia="zh-CN"/>
              </w:rPr>
              <w:t>使用要求，培训课程和培训人员安排能确保平台实际使用人灵活使用</w:t>
            </w:r>
            <w:r>
              <w:rPr>
                <w:rFonts w:hint="eastAsia" w:ascii="宋体" w:hAnsi="宋体" w:cs="宋体"/>
                <w:bCs/>
                <w:color w:val="auto"/>
                <w:kern w:val="0"/>
                <w:sz w:val="24"/>
                <w:lang w:val="en-US" w:eastAsia="zh-CN"/>
              </w:rPr>
              <w:t>的</w:t>
            </w:r>
            <w:r>
              <w:rPr>
                <w:rFonts w:hint="eastAsia" w:ascii="宋体" w:hAnsi="宋体" w:cs="宋体"/>
                <w:bCs/>
                <w:color w:val="auto"/>
                <w:kern w:val="0"/>
                <w:sz w:val="24"/>
                <w:lang w:val="zh-CN" w:eastAsia="zh-CN"/>
              </w:rPr>
              <w:t>得</w:t>
            </w:r>
            <w:r>
              <w:rPr>
                <w:rFonts w:hint="eastAsia" w:ascii="宋体" w:hAnsi="宋体" w:cs="宋体"/>
                <w:bCs/>
                <w:color w:val="auto"/>
                <w:kern w:val="0"/>
                <w:sz w:val="24"/>
                <w:lang w:val="en-US" w:eastAsia="zh-CN"/>
              </w:rPr>
              <w:t>3</w:t>
            </w:r>
            <w:r>
              <w:rPr>
                <w:rFonts w:hint="eastAsia" w:ascii="宋体" w:hAnsi="宋体" w:cs="宋体"/>
                <w:bCs/>
                <w:color w:val="auto"/>
                <w:kern w:val="0"/>
                <w:sz w:val="24"/>
                <w:lang w:val="zh-CN" w:eastAsia="zh-CN"/>
              </w:rPr>
              <w:t>分</w:t>
            </w:r>
          </w:p>
          <w:p w14:paraId="053288B4">
            <w:pPr>
              <w:adjustRightInd/>
              <w:spacing w:line="288" w:lineRule="auto"/>
              <w:rPr>
                <w:rFonts w:hint="eastAsia" w:ascii="宋体" w:hAnsi="宋体" w:cs="宋体"/>
                <w:bCs/>
                <w:color w:val="auto"/>
                <w:kern w:val="0"/>
                <w:sz w:val="24"/>
                <w:lang w:val="zh-CN" w:eastAsia="zh-CN"/>
              </w:rPr>
            </w:pPr>
            <w:r>
              <w:rPr>
                <w:rFonts w:hint="eastAsia" w:ascii="宋体" w:hAnsi="宋体" w:cs="宋体"/>
                <w:bCs/>
                <w:color w:val="auto"/>
                <w:kern w:val="0"/>
                <w:sz w:val="24"/>
                <w:lang w:val="en-US" w:eastAsia="zh-CN"/>
              </w:rPr>
              <w:t>③</w:t>
            </w:r>
            <w:r>
              <w:rPr>
                <w:rFonts w:hint="eastAsia" w:ascii="宋体" w:hAnsi="宋体" w:cs="宋体"/>
                <w:bCs/>
                <w:color w:val="auto"/>
                <w:kern w:val="0"/>
                <w:sz w:val="24"/>
                <w:lang w:val="zh-CN" w:eastAsia="zh-CN"/>
              </w:rPr>
              <w:t>项目实施培训方案没有结合采购需求，培训内容敷衍，没有相应培训</w:t>
            </w:r>
            <w:r>
              <w:rPr>
                <w:rFonts w:hint="eastAsia" w:ascii="宋体" w:hAnsi="宋体" w:cs="宋体"/>
                <w:bCs/>
                <w:color w:val="auto"/>
                <w:kern w:val="0"/>
                <w:sz w:val="24"/>
                <w:lang w:val="en-US" w:eastAsia="zh-CN"/>
              </w:rPr>
              <w:t>课程</w:t>
            </w:r>
            <w:r>
              <w:rPr>
                <w:rFonts w:hint="eastAsia" w:ascii="宋体" w:hAnsi="宋体" w:cs="宋体"/>
                <w:bCs/>
                <w:color w:val="auto"/>
                <w:kern w:val="0"/>
                <w:sz w:val="24"/>
                <w:lang w:val="zh-CN" w:eastAsia="zh-CN"/>
              </w:rPr>
              <w:t>且培训时间不合理的得1分；</w:t>
            </w:r>
          </w:p>
          <w:p w14:paraId="5029385F">
            <w:pPr>
              <w:adjustRightInd/>
              <w:spacing w:line="288" w:lineRule="auto"/>
              <w:rPr>
                <w:rFonts w:ascii="宋体" w:hAnsi="宋体" w:cs="宋体"/>
                <w:bCs/>
                <w:color w:val="auto"/>
                <w:kern w:val="0"/>
                <w:sz w:val="24"/>
              </w:rPr>
            </w:pPr>
            <w:r>
              <w:rPr>
                <w:rFonts w:hint="eastAsia" w:ascii="宋体" w:hAnsi="宋体" w:cs="宋体"/>
                <w:bCs/>
                <w:color w:val="auto"/>
                <w:kern w:val="0"/>
                <w:sz w:val="24"/>
                <w:lang w:val="zh-CN" w:eastAsia="zh-CN"/>
              </w:rPr>
              <w:t>④无相关内容不得分。</w:t>
            </w:r>
          </w:p>
        </w:tc>
        <w:tc>
          <w:tcPr>
            <w:tcW w:w="705" w:type="dxa"/>
            <w:shd w:val="clear" w:color="auto" w:fill="auto"/>
            <w:vAlign w:val="center"/>
          </w:tcPr>
          <w:p w14:paraId="5864873A">
            <w:pPr>
              <w:adjustRightInd/>
              <w:spacing w:line="288" w:lineRule="auto"/>
              <w:jc w:val="center"/>
              <w:rPr>
                <w:rFonts w:ascii="宋体" w:hAnsi="宋体" w:cs="宋体"/>
                <w:color w:val="auto"/>
                <w:sz w:val="24"/>
              </w:rPr>
            </w:pPr>
            <w:r>
              <w:rPr>
                <w:rFonts w:hint="eastAsia" w:ascii="宋体" w:hAnsi="宋体" w:cs="宋体"/>
                <w:color w:val="auto"/>
                <w:sz w:val="24"/>
              </w:rPr>
              <w:t>5</w:t>
            </w:r>
          </w:p>
        </w:tc>
        <w:tc>
          <w:tcPr>
            <w:tcW w:w="705" w:type="dxa"/>
            <w:shd w:val="clear" w:color="auto" w:fill="auto"/>
            <w:vAlign w:val="center"/>
          </w:tcPr>
          <w:p w14:paraId="23A4996F">
            <w:pPr>
              <w:adjustRightInd/>
              <w:spacing w:line="288" w:lineRule="auto"/>
              <w:jc w:val="center"/>
              <w:rPr>
                <w:rFonts w:ascii="宋体" w:hAnsi="宋体" w:cs="宋体"/>
                <w:color w:val="auto"/>
                <w:sz w:val="24"/>
              </w:rPr>
            </w:pPr>
            <w:r>
              <w:rPr>
                <w:rFonts w:hint="eastAsia" w:ascii="宋体" w:hAnsi="宋体" w:cs="宋体"/>
                <w:color w:val="auto"/>
                <w:sz w:val="24"/>
              </w:rPr>
              <w:t>主观评审</w:t>
            </w:r>
          </w:p>
        </w:tc>
      </w:tr>
      <w:tr w14:paraId="21607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continue"/>
            <w:vAlign w:val="center"/>
          </w:tcPr>
          <w:p w14:paraId="797FB6AC">
            <w:pPr>
              <w:adjustRightInd/>
              <w:spacing w:line="228" w:lineRule="auto"/>
              <w:rPr>
                <w:rFonts w:ascii="Calibri" w:hAnsi="Calibri"/>
                <w:color w:val="auto"/>
                <w:sz w:val="24"/>
              </w:rPr>
            </w:pPr>
          </w:p>
        </w:tc>
        <w:tc>
          <w:tcPr>
            <w:tcW w:w="1288" w:type="dxa"/>
            <w:shd w:val="clear" w:color="auto" w:fill="auto"/>
            <w:vAlign w:val="center"/>
          </w:tcPr>
          <w:p w14:paraId="338FEAAF">
            <w:pPr>
              <w:widowControl/>
              <w:spacing w:line="280" w:lineRule="exact"/>
              <w:rPr>
                <w:rFonts w:ascii="宋体" w:hAnsi="宋体" w:cs="宋体"/>
                <w:color w:val="auto"/>
                <w:sz w:val="24"/>
                <w:highlight w:val="none"/>
              </w:rPr>
            </w:pPr>
            <w:r>
              <w:rPr>
                <w:rFonts w:hint="eastAsia" w:ascii="宋体" w:hAnsi="宋体" w:cs="宋体"/>
                <w:color w:val="auto"/>
                <w:sz w:val="24"/>
                <w:highlight w:val="none"/>
              </w:rPr>
              <w:t>7、售后服务方案（5分）</w:t>
            </w:r>
          </w:p>
        </w:tc>
        <w:tc>
          <w:tcPr>
            <w:tcW w:w="5575" w:type="dxa"/>
            <w:shd w:val="clear" w:color="auto" w:fill="auto"/>
            <w:vAlign w:val="center"/>
          </w:tcPr>
          <w:p w14:paraId="2EACB6D1">
            <w:pPr>
              <w:adjustRightInd/>
              <w:spacing w:line="288" w:lineRule="auto"/>
              <w:rPr>
                <w:rFonts w:hint="eastAsia" w:ascii="宋体" w:hAnsi="宋体" w:cs="宋体"/>
                <w:bCs/>
                <w:color w:val="auto"/>
                <w:kern w:val="0"/>
                <w:sz w:val="24"/>
                <w:highlight w:val="none"/>
                <w:lang w:val="en-US" w:eastAsia="zh-CN"/>
              </w:rPr>
            </w:pPr>
            <w:r>
              <w:rPr>
                <w:rFonts w:hint="eastAsia" w:ascii="宋体" w:hAnsi="宋体" w:cs="宋体"/>
                <w:bCs/>
                <w:color w:val="auto"/>
                <w:kern w:val="0"/>
                <w:sz w:val="24"/>
                <w:highlight w:val="none"/>
              </w:rPr>
              <w:t>投标人需提供售后服务方案，根据售后服务响应时间、服务保障及服务方案、售后维护方案及承诺等内容进行评议：</w:t>
            </w:r>
            <w:r>
              <w:rPr>
                <w:rFonts w:hint="eastAsia" w:ascii="宋体" w:hAnsi="宋体" w:cs="宋体"/>
                <w:bCs/>
                <w:color w:val="auto"/>
                <w:kern w:val="0"/>
                <w:sz w:val="24"/>
                <w:highlight w:val="none"/>
              </w:rPr>
              <w:br w:type="textWrapping"/>
            </w:r>
            <w:r>
              <w:rPr>
                <w:rFonts w:hint="eastAsia" w:ascii="宋体" w:hAnsi="宋体" w:cs="宋体"/>
                <w:bCs/>
                <w:color w:val="auto"/>
                <w:kern w:val="0"/>
                <w:sz w:val="24"/>
                <w:highlight w:val="none"/>
                <w:lang w:val="en-US" w:eastAsia="zh-CN"/>
              </w:rPr>
              <w:t>①售后服务质量稳定，服务响应时间及时，服务人员有较强的服务意识，能确保提供高质量服务，服务保障及服务方案、售后维护方案及承诺能与医院实际情况匹配，完全满足采购人需求的5分；</w:t>
            </w:r>
          </w:p>
          <w:p w14:paraId="1A8F2496">
            <w:pPr>
              <w:adjustRightInd/>
              <w:spacing w:line="288" w:lineRule="auto"/>
              <w:rPr>
                <w:rFonts w:hint="eastAsia" w:ascii="宋体" w:hAnsi="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②售后服务质量较稳定，服务响应时间相对及时，服务保障及服务方案、售后维护方案及承诺基本能与医院实际情况匹配但有所欠缺的得3分；</w:t>
            </w:r>
          </w:p>
          <w:p w14:paraId="7ABE3A11">
            <w:pPr>
              <w:adjustRightInd/>
              <w:spacing w:line="288" w:lineRule="auto"/>
              <w:rPr>
                <w:rFonts w:hint="eastAsia" w:ascii="宋体" w:hAnsi="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③能完成售后服务任务，但售后服务方案内容含糊，实行上略有欠缺的得1分；</w:t>
            </w:r>
          </w:p>
          <w:p w14:paraId="332AFB57">
            <w:pPr>
              <w:adjustRightInd/>
              <w:spacing w:line="288" w:lineRule="auto"/>
              <w:rPr>
                <w:rFonts w:ascii="宋体" w:hAnsi="宋体" w:cs="宋体"/>
                <w:bCs/>
                <w:color w:val="auto"/>
                <w:kern w:val="0"/>
                <w:sz w:val="24"/>
                <w:highlight w:val="none"/>
              </w:rPr>
            </w:pPr>
            <w:r>
              <w:rPr>
                <w:rFonts w:hint="eastAsia" w:ascii="宋体" w:hAnsi="宋体" w:cs="宋体"/>
                <w:bCs/>
                <w:color w:val="auto"/>
                <w:kern w:val="0"/>
                <w:sz w:val="24"/>
                <w:highlight w:val="none"/>
              </w:rPr>
              <w:t>④</w:t>
            </w:r>
            <w:r>
              <w:rPr>
                <w:rFonts w:hint="eastAsia" w:ascii="宋体" w:hAnsi="宋体" w:cs="宋体"/>
                <w:bCs/>
                <w:color w:val="auto"/>
                <w:kern w:val="0"/>
                <w:sz w:val="24"/>
                <w:highlight w:val="none"/>
                <w:lang w:val="en-US" w:eastAsia="zh-CN"/>
              </w:rPr>
              <w:t>无相关内容不得分。</w:t>
            </w:r>
          </w:p>
        </w:tc>
        <w:tc>
          <w:tcPr>
            <w:tcW w:w="705" w:type="dxa"/>
            <w:shd w:val="clear" w:color="auto" w:fill="auto"/>
            <w:vAlign w:val="center"/>
          </w:tcPr>
          <w:p w14:paraId="12F90230">
            <w:pPr>
              <w:adjustRightInd/>
              <w:spacing w:line="288"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705" w:type="dxa"/>
            <w:shd w:val="clear" w:color="auto" w:fill="auto"/>
            <w:vAlign w:val="center"/>
          </w:tcPr>
          <w:p w14:paraId="75D5AD26">
            <w:pPr>
              <w:adjustRightInd/>
              <w:spacing w:line="288" w:lineRule="auto"/>
              <w:jc w:val="center"/>
              <w:rPr>
                <w:rFonts w:ascii="宋体" w:hAnsi="宋体" w:cs="宋体"/>
                <w:color w:val="auto"/>
                <w:sz w:val="24"/>
                <w:highlight w:val="none"/>
              </w:rPr>
            </w:pPr>
            <w:r>
              <w:rPr>
                <w:rFonts w:hint="eastAsia" w:ascii="宋体" w:hAnsi="宋体" w:cs="宋体"/>
                <w:color w:val="auto"/>
                <w:sz w:val="24"/>
                <w:highlight w:val="none"/>
              </w:rPr>
              <w:t>主观评审</w:t>
            </w:r>
          </w:p>
        </w:tc>
      </w:tr>
      <w:tr w14:paraId="635B4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262" w:type="dxa"/>
            <w:vMerge w:val="continue"/>
            <w:vAlign w:val="center"/>
          </w:tcPr>
          <w:p w14:paraId="0BB9ABD4">
            <w:pPr>
              <w:adjustRightInd/>
              <w:spacing w:line="228" w:lineRule="auto"/>
              <w:rPr>
                <w:rFonts w:ascii="Calibri" w:hAnsi="Calibri"/>
                <w:color w:val="auto"/>
                <w:sz w:val="24"/>
              </w:rPr>
            </w:pPr>
          </w:p>
        </w:tc>
        <w:tc>
          <w:tcPr>
            <w:tcW w:w="1288" w:type="dxa"/>
            <w:shd w:val="clear" w:color="auto" w:fill="auto"/>
            <w:vAlign w:val="center"/>
          </w:tcPr>
          <w:p w14:paraId="6D01ACB2">
            <w:pPr>
              <w:widowControl/>
              <w:spacing w:line="280" w:lineRule="exact"/>
              <w:rPr>
                <w:rFonts w:ascii="宋体" w:hAnsi="宋体" w:cs="宋体"/>
                <w:color w:val="auto"/>
                <w:sz w:val="24"/>
              </w:rPr>
            </w:pPr>
            <w:r>
              <w:rPr>
                <w:rFonts w:hint="eastAsia" w:ascii="宋体" w:hAnsi="宋体" w:cs="宋体"/>
                <w:color w:val="auto"/>
                <w:sz w:val="24"/>
              </w:rPr>
              <w:t>8、人员配备（3分）</w:t>
            </w:r>
          </w:p>
        </w:tc>
        <w:tc>
          <w:tcPr>
            <w:tcW w:w="5575" w:type="dxa"/>
            <w:shd w:val="clear" w:color="auto" w:fill="auto"/>
            <w:vAlign w:val="center"/>
          </w:tcPr>
          <w:p w14:paraId="744B09D8">
            <w:pPr>
              <w:adjustRightInd/>
              <w:spacing w:line="288" w:lineRule="auto"/>
              <w:rPr>
                <w:rFonts w:ascii="宋体" w:hAnsi="宋体" w:cs="宋体"/>
                <w:bCs/>
                <w:color w:val="auto"/>
                <w:kern w:val="0"/>
                <w:sz w:val="24"/>
              </w:rPr>
            </w:pPr>
            <w:r>
              <w:rPr>
                <w:rFonts w:hint="eastAsia" w:ascii="宋体" w:hAnsi="宋体" w:cs="宋体"/>
                <w:bCs/>
                <w:color w:val="auto"/>
                <w:kern w:val="0"/>
                <w:sz w:val="24"/>
              </w:rPr>
              <w:t>拟投入本项目工作人员</w:t>
            </w:r>
            <w:r>
              <w:rPr>
                <w:rFonts w:hint="eastAsia" w:ascii="宋体" w:hAnsi="宋体" w:cs="宋体"/>
                <w:bCs/>
                <w:color w:val="auto"/>
                <w:kern w:val="0"/>
                <w:sz w:val="24"/>
                <w:lang w:val="en-US" w:eastAsia="zh-CN"/>
              </w:rPr>
              <w:t>中</w:t>
            </w:r>
            <w:r>
              <w:rPr>
                <w:rFonts w:hint="eastAsia" w:ascii="宋体" w:hAnsi="宋体" w:cs="宋体"/>
                <w:bCs/>
                <w:color w:val="auto"/>
                <w:kern w:val="0"/>
                <w:sz w:val="24"/>
              </w:rPr>
              <w:t>拥有系统集成项目管理工程师、信息系统项目管理工程师、oracle数据库认证等相关证书的，每提供1份得1分，满分3分。提供重复证书及一人拥有多份证书不重复计分。</w:t>
            </w:r>
          </w:p>
          <w:p w14:paraId="7DC593EF">
            <w:pPr>
              <w:adjustRightInd/>
              <w:spacing w:line="288" w:lineRule="auto"/>
              <w:rPr>
                <w:rFonts w:ascii="宋体" w:hAnsi="宋体" w:cs="宋体"/>
                <w:bCs/>
                <w:color w:val="auto"/>
                <w:kern w:val="0"/>
                <w:sz w:val="24"/>
              </w:rPr>
            </w:pPr>
            <w:r>
              <w:rPr>
                <w:rFonts w:hint="eastAsia" w:ascii="宋体" w:hAnsi="宋体" w:cs="宋体"/>
                <w:b/>
                <w:color w:val="auto"/>
                <w:kern w:val="0"/>
                <w:sz w:val="24"/>
              </w:rPr>
              <w:t>注：1）提供重复证书及一人拥有多份证书不重复计分。2）投标人须在投标文件中提供以上人员相关证书及对应人员截止开标前近3个月内任意1个月社保缴纳证明材料作为佐证，未提供的本项不得分。</w:t>
            </w:r>
          </w:p>
        </w:tc>
        <w:tc>
          <w:tcPr>
            <w:tcW w:w="705" w:type="dxa"/>
            <w:shd w:val="clear" w:color="auto" w:fill="auto"/>
            <w:vAlign w:val="center"/>
          </w:tcPr>
          <w:p w14:paraId="1FC92A64">
            <w:pPr>
              <w:adjustRightInd/>
              <w:spacing w:line="288" w:lineRule="auto"/>
              <w:jc w:val="center"/>
              <w:rPr>
                <w:rFonts w:ascii="宋体" w:hAnsi="宋体" w:cs="宋体"/>
                <w:color w:val="auto"/>
                <w:sz w:val="24"/>
              </w:rPr>
            </w:pPr>
            <w:r>
              <w:rPr>
                <w:rFonts w:hint="eastAsia" w:ascii="宋体" w:hAnsi="宋体" w:cs="宋体"/>
                <w:color w:val="auto"/>
                <w:sz w:val="24"/>
              </w:rPr>
              <w:t>3</w:t>
            </w:r>
          </w:p>
        </w:tc>
        <w:tc>
          <w:tcPr>
            <w:tcW w:w="705" w:type="dxa"/>
            <w:shd w:val="clear" w:color="auto" w:fill="auto"/>
            <w:vAlign w:val="center"/>
          </w:tcPr>
          <w:p w14:paraId="036C0DD5">
            <w:pPr>
              <w:adjustRightInd/>
              <w:spacing w:line="288" w:lineRule="auto"/>
              <w:jc w:val="center"/>
              <w:rPr>
                <w:rFonts w:ascii="宋体" w:hAnsi="宋体" w:cs="宋体"/>
                <w:color w:val="auto"/>
                <w:sz w:val="24"/>
              </w:rPr>
            </w:pPr>
            <w:r>
              <w:rPr>
                <w:rFonts w:hint="eastAsia" w:ascii="宋体" w:hAnsi="宋体" w:cs="宋体"/>
                <w:color w:val="auto"/>
                <w:sz w:val="24"/>
              </w:rPr>
              <w:t>客观评审</w:t>
            </w:r>
          </w:p>
        </w:tc>
      </w:tr>
      <w:tr w14:paraId="41565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262" w:type="dxa"/>
            <w:vMerge w:val="continue"/>
            <w:vAlign w:val="center"/>
          </w:tcPr>
          <w:p w14:paraId="40AB30B9">
            <w:pPr>
              <w:adjustRightInd/>
              <w:spacing w:line="228" w:lineRule="auto"/>
              <w:rPr>
                <w:rFonts w:ascii="Calibri" w:hAnsi="Calibri"/>
                <w:color w:val="auto"/>
                <w:sz w:val="24"/>
              </w:rPr>
            </w:pPr>
          </w:p>
        </w:tc>
        <w:tc>
          <w:tcPr>
            <w:tcW w:w="1288" w:type="dxa"/>
            <w:shd w:val="clear" w:color="auto" w:fill="auto"/>
            <w:vAlign w:val="center"/>
          </w:tcPr>
          <w:p w14:paraId="02791076">
            <w:pPr>
              <w:widowControl/>
              <w:spacing w:line="280" w:lineRule="exact"/>
              <w:rPr>
                <w:rFonts w:ascii="宋体" w:hAnsi="宋体" w:cs="宋体"/>
                <w:color w:val="auto"/>
                <w:sz w:val="24"/>
                <w:highlight w:val="none"/>
              </w:rPr>
            </w:pPr>
            <w:r>
              <w:rPr>
                <w:rFonts w:hint="eastAsia" w:ascii="宋体" w:hAnsi="宋体" w:cs="宋体"/>
                <w:color w:val="auto"/>
                <w:sz w:val="24"/>
                <w:highlight w:val="none"/>
              </w:rPr>
              <w:t>9、科研服务方案（4分）</w:t>
            </w:r>
          </w:p>
        </w:tc>
        <w:tc>
          <w:tcPr>
            <w:tcW w:w="5575" w:type="dxa"/>
            <w:shd w:val="clear" w:color="auto" w:fill="auto"/>
            <w:vAlign w:val="center"/>
          </w:tcPr>
          <w:p w14:paraId="79793DE1">
            <w:pPr>
              <w:adjustRightInd/>
              <w:spacing w:line="288" w:lineRule="auto"/>
              <w:rPr>
                <w:rFonts w:ascii="宋体" w:hAnsi="宋体" w:cs="宋体"/>
                <w:bCs/>
                <w:color w:val="auto"/>
                <w:kern w:val="0"/>
                <w:sz w:val="24"/>
                <w:highlight w:val="none"/>
              </w:rPr>
            </w:pPr>
            <w:r>
              <w:rPr>
                <w:rFonts w:hint="eastAsia" w:ascii="宋体" w:hAnsi="宋体" w:cs="宋体"/>
                <w:bCs/>
                <w:color w:val="auto"/>
                <w:kern w:val="0"/>
                <w:sz w:val="24"/>
                <w:highlight w:val="none"/>
              </w:rPr>
              <w:t>为提升临床科研的整体水平，加速科研产出效率，投标人需提供科研服务方案，说明在科研数据库上线之后，为院内用户提供的科研服务的范围、类型（4分）：</w:t>
            </w:r>
          </w:p>
          <w:p w14:paraId="3B47D7BA">
            <w:pPr>
              <w:adjustRightInd/>
              <w:spacing w:line="288" w:lineRule="auto"/>
              <w:rPr>
                <w:rFonts w:ascii="宋体" w:hAnsi="宋体" w:cs="宋体"/>
                <w:bCs/>
                <w:color w:val="auto"/>
                <w:kern w:val="0"/>
                <w:sz w:val="24"/>
                <w:highlight w:val="none"/>
              </w:rPr>
            </w:pPr>
            <w:r>
              <w:rPr>
                <w:rFonts w:hint="eastAsia" w:ascii="宋体" w:hAnsi="宋体" w:cs="宋体"/>
                <w:bCs/>
                <w:color w:val="auto"/>
                <w:kern w:val="0"/>
                <w:sz w:val="24"/>
                <w:highlight w:val="none"/>
              </w:rPr>
              <w:t>①科研服务方案内容全面合理，科研服务的范围、类型具体细致且符合采购人需求的得4分；</w:t>
            </w:r>
          </w:p>
          <w:p w14:paraId="4E2BD635">
            <w:pPr>
              <w:adjustRightInd/>
              <w:spacing w:line="288" w:lineRule="auto"/>
              <w:rPr>
                <w:rFonts w:ascii="宋体" w:hAnsi="宋体" w:cs="宋体"/>
                <w:bCs/>
                <w:color w:val="auto"/>
                <w:kern w:val="0"/>
                <w:sz w:val="24"/>
                <w:highlight w:val="none"/>
              </w:rPr>
            </w:pPr>
            <w:r>
              <w:rPr>
                <w:rFonts w:hint="eastAsia" w:ascii="宋体" w:hAnsi="宋体" w:cs="宋体"/>
                <w:bCs/>
                <w:color w:val="auto"/>
                <w:kern w:val="0"/>
                <w:sz w:val="24"/>
                <w:highlight w:val="none"/>
              </w:rPr>
              <w:t>②科研服务方案基本合理可行，部分存在不足有待改进、补充的得2分；</w:t>
            </w:r>
          </w:p>
          <w:p w14:paraId="02C58EB7">
            <w:pPr>
              <w:adjustRightInd/>
              <w:spacing w:line="288" w:lineRule="auto"/>
              <w:rPr>
                <w:rFonts w:ascii="宋体" w:hAnsi="宋体" w:cs="宋体"/>
                <w:bCs/>
                <w:color w:val="auto"/>
                <w:kern w:val="0"/>
                <w:sz w:val="24"/>
                <w:highlight w:val="none"/>
              </w:rPr>
            </w:pPr>
            <w:r>
              <w:rPr>
                <w:rFonts w:hint="eastAsia" w:ascii="宋体" w:hAnsi="宋体" w:cs="宋体"/>
                <w:bCs/>
                <w:color w:val="auto"/>
                <w:kern w:val="0"/>
                <w:sz w:val="24"/>
                <w:highlight w:val="none"/>
              </w:rPr>
              <w:t>③科研服务方案有缺陷或其他不完善情况，无法确保满足采购人需求的得1分。</w:t>
            </w:r>
          </w:p>
          <w:p w14:paraId="7000C5B0">
            <w:pPr>
              <w:adjustRightInd/>
              <w:spacing w:line="288" w:lineRule="auto"/>
              <w:rPr>
                <w:color w:val="auto"/>
                <w:highlight w:val="none"/>
              </w:rPr>
            </w:pPr>
            <w:r>
              <w:rPr>
                <w:rFonts w:hint="eastAsia" w:ascii="宋体" w:hAnsi="宋体" w:cs="宋体"/>
                <w:bCs/>
                <w:color w:val="auto"/>
                <w:kern w:val="0"/>
                <w:sz w:val="24"/>
                <w:highlight w:val="none"/>
              </w:rPr>
              <w:t>④未提供相关内容的不得分。</w:t>
            </w:r>
          </w:p>
        </w:tc>
        <w:tc>
          <w:tcPr>
            <w:tcW w:w="705" w:type="dxa"/>
            <w:shd w:val="clear" w:color="auto" w:fill="auto"/>
            <w:vAlign w:val="center"/>
          </w:tcPr>
          <w:p w14:paraId="68ACEE84">
            <w:pPr>
              <w:adjustRightInd/>
              <w:spacing w:line="288"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705" w:type="dxa"/>
            <w:shd w:val="clear" w:color="auto" w:fill="auto"/>
            <w:vAlign w:val="center"/>
          </w:tcPr>
          <w:p w14:paraId="4D473F5B">
            <w:pPr>
              <w:adjustRightInd/>
              <w:spacing w:line="288" w:lineRule="auto"/>
              <w:jc w:val="center"/>
              <w:rPr>
                <w:rFonts w:ascii="宋体" w:hAnsi="宋体" w:cs="宋体"/>
                <w:color w:val="auto"/>
                <w:sz w:val="24"/>
                <w:highlight w:val="none"/>
              </w:rPr>
            </w:pPr>
            <w:r>
              <w:rPr>
                <w:rFonts w:hint="eastAsia" w:ascii="宋体" w:hAnsi="宋体" w:cs="宋体"/>
                <w:color w:val="auto"/>
                <w:sz w:val="24"/>
                <w:highlight w:val="none"/>
              </w:rPr>
              <w:t>主观评审</w:t>
            </w:r>
          </w:p>
        </w:tc>
      </w:tr>
      <w:tr w14:paraId="59F16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262" w:type="dxa"/>
            <w:vMerge w:val="continue"/>
            <w:vAlign w:val="center"/>
          </w:tcPr>
          <w:p w14:paraId="27E68088">
            <w:pPr>
              <w:adjustRightInd/>
              <w:spacing w:line="228" w:lineRule="auto"/>
              <w:rPr>
                <w:rFonts w:ascii="Calibri" w:hAnsi="Calibri"/>
                <w:color w:val="auto"/>
                <w:sz w:val="24"/>
              </w:rPr>
            </w:pPr>
          </w:p>
        </w:tc>
        <w:tc>
          <w:tcPr>
            <w:tcW w:w="1288" w:type="dxa"/>
            <w:vMerge w:val="restart"/>
            <w:shd w:val="clear" w:color="auto" w:fill="auto"/>
            <w:vAlign w:val="center"/>
          </w:tcPr>
          <w:p w14:paraId="50DDB5A0">
            <w:pPr>
              <w:widowControl/>
              <w:spacing w:line="280" w:lineRule="exact"/>
              <w:rPr>
                <w:rFonts w:ascii="宋体" w:hAnsi="宋体" w:cs="宋体"/>
                <w:color w:val="auto"/>
                <w:sz w:val="24"/>
              </w:rPr>
            </w:pPr>
            <w:r>
              <w:rPr>
                <w:rFonts w:hint="eastAsia" w:ascii="宋体" w:hAnsi="宋体" w:cs="宋体"/>
                <w:color w:val="auto"/>
                <w:sz w:val="24"/>
              </w:rPr>
              <w:t>10、功能演示（12分）</w:t>
            </w:r>
          </w:p>
        </w:tc>
        <w:tc>
          <w:tcPr>
            <w:tcW w:w="5575" w:type="dxa"/>
            <w:shd w:val="clear" w:color="auto" w:fill="auto"/>
            <w:vAlign w:val="center"/>
          </w:tcPr>
          <w:p w14:paraId="648D9B42">
            <w:pPr>
              <w:adjustRightInd/>
              <w:spacing w:line="288" w:lineRule="auto"/>
              <w:rPr>
                <w:rFonts w:ascii="宋体" w:hAnsi="宋体" w:cs="宋体"/>
                <w:bCs/>
                <w:color w:val="auto"/>
                <w:kern w:val="0"/>
                <w:sz w:val="24"/>
              </w:rPr>
            </w:pPr>
            <w:r>
              <w:rPr>
                <w:rFonts w:hint="eastAsia" w:ascii="宋体" w:hAnsi="宋体" w:cs="宋体"/>
                <w:bCs/>
                <w:color w:val="auto"/>
                <w:kern w:val="0"/>
                <w:sz w:val="24"/>
              </w:rPr>
              <w:t>10.1、为方便随时比对患者的病历数据，系统需要支持以左右对照的形式展示患者病历结构化内容和原始的病历原文信息。以上功能需提供真实系统演示，完全满足的得2分，不满足或部分满足或非真实系统演示的不得分。</w:t>
            </w:r>
          </w:p>
        </w:tc>
        <w:tc>
          <w:tcPr>
            <w:tcW w:w="705" w:type="dxa"/>
            <w:shd w:val="clear" w:color="auto" w:fill="auto"/>
            <w:vAlign w:val="center"/>
          </w:tcPr>
          <w:p w14:paraId="278A0E8A">
            <w:pPr>
              <w:adjustRightInd/>
              <w:spacing w:line="288" w:lineRule="auto"/>
              <w:jc w:val="center"/>
              <w:rPr>
                <w:rFonts w:ascii="宋体" w:hAnsi="宋体" w:cs="宋体"/>
                <w:color w:val="auto"/>
                <w:sz w:val="24"/>
              </w:rPr>
            </w:pPr>
            <w:r>
              <w:rPr>
                <w:rFonts w:hint="eastAsia" w:ascii="宋体" w:hAnsi="宋体" w:cs="宋体"/>
                <w:color w:val="auto"/>
                <w:sz w:val="24"/>
              </w:rPr>
              <w:t>2</w:t>
            </w:r>
          </w:p>
        </w:tc>
        <w:tc>
          <w:tcPr>
            <w:tcW w:w="705" w:type="dxa"/>
            <w:shd w:val="clear" w:color="auto" w:fill="auto"/>
            <w:vAlign w:val="center"/>
          </w:tcPr>
          <w:p w14:paraId="765C9C9F">
            <w:pPr>
              <w:adjustRightInd/>
              <w:spacing w:line="288" w:lineRule="auto"/>
              <w:jc w:val="center"/>
              <w:rPr>
                <w:rFonts w:ascii="宋体" w:hAnsi="宋体" w:cs="宋体"/>
                <w:color w:val="auto"/>
                <w:sz w:val="24"/>
              </w:rPr>
            </w:pPr>
            <w:r>
              <w:rPr>
                <w:rFonts w:hint="eastAsia" w:ascii="宋体" w:hAnsi="宋体" w:cs="宋体"/>
                <w:color w:val="auto"/>
                <w:sz w:val="24"/>
              </w:rPr>
              <w:t>客观评审</w:t>
            </w:r>
          </w:p>
        </w:tc>
      </w:tr>
      <w:tr w14:paraId="3AAED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262" w:type="dxa"/>
            <w:vMerge w:val="continue"/>
            <w:vAlign w:val="center"/>
          </w:tcPr>
          <w:p w14:paraId="1E00F859">
            <w:pPr>
              <w:adjustRightInd/>
              <w:spacing w:line="228" w:lineRule="auto"/>
              <w:rPr>
                <w:rFonts w:ascii="Calibri" w:hAnsi="Calibri"/>
                <w:color w:val="auto"/>
                <w:sz w:val="24"/>
              </w:rPr>
            </w:pPr>
          </w:p>
        </w:tc>
        <w:tc>
          <w:tcPr>
            <w:tcW w:w="1288" w:type="dxa"/>
            <w:vMerge w:val="continue"/>
            <w:shd w:val="clear" w:color="auto" w:fill="auto"/>
            <w:vAlign w:val="center"/>
          </w:tcPr>
          <w:p w14:paraId="264435D1">
            <w:pPr>
              <w:widowControl/>
              <w:spacing w:line="280" w:lineRule="exact"/>
              <w:rPr>
                <w:rFonts w:ascii="宋体" w:hAnsi="宋体" w:cs="宋体"/>
                <w:color w:val="auto"/>
                <w:sz w:val="24"/>
              </w:rPr>
            </w:pPr>
          </w:p>
        </w:tc>
        <w:tc>
          <w:tcPr>
            <w:tcW w:w="5575" w:type="dxa"/>
            <w:shd w:val="clear" w:color="auto" w:fill="auto"/>
            <w:vAlign w:val="center"/>
          </w:tcPr>
          <w:p w14:paraId="21D15158">
            <w:pPr>
              <w:adjustRightInd/>
              <w:spacing w:line="288" w:lineRule="auto"/>
              <w:rPr>
                <w:rFonts w:ascii="宋体" w:hAnsi="宋体" w:cs="宋体"/>
                <w:bCs/>
                <w:color w:val="auto"/>
                <w:kern w:val="0"/>
                <w:sz w:val="24"/>
              </w:rPr>
            </w:pPr>
            <w:r>
              <w:rPr>
                <w:rFonts w:hint="eastAsia" w:ascii="宋体" w:hAnsi="宋体" w:cs="宋体"/>
                <w:bCs/>
                <w:color w:val="auto"/>
                <w:kern w:val="0"/>
                <w:sz w:val="24"/>
              </w:rPr>
              <w:t>10.2、需支持自动分析脂肪肝含量，提供肝脾衰减比，自动进行肝硬化风险评估，提供尾状叶-右叶比值、肝体积、肝平均密度、脾脏大小、门脉直径参数。以上功能需提供真实系统演示，完全满足的得2分，不满足或部分满足或非真实系统演示的不得分。</w:t>
            </w:r>
          </w:p>
        </w:tc>
        <w:tc>
          <w:tcPr>
            <w:tcW w:w="705" w:type="dxa"/>
            <w:shd w:val="clear" w:color="auto" w:fill="auto"/>
            <w:vAlign w:val="center"/>
          </w:tcPr>
          <w:p w14:paraId="762A5C35">
            <w:pPr>
              <w:adjustRightInd/>
              <w:spacing w:line="288" w:lineRule="auto"/>
              <w:jc w:val="center"/>
              <w:rPr>
                <w:rFonts w:ascii="宋体" w:hAnsi="宋体" w:cs="宋体"/>
                <w:color w:val="auto"/>
                <w:sz w:val="24"/>
              </w:rPr>
            </w:pPr>
            <w:r>
              <w:rPr>
                <w:rFonts w:hint="eastAsia" w:ascii="宋体" w:hAnsi="宋体" w:cs="宋体"/>
                <w:color w:val="auto"/>
                <w:sz w:val="24"/>
              </w:rPr>
              <w:t>2</w:t>
            </w:r>
          </w:p>
        </w:tc>
        <w:tc>
          <w:tcPr>
            <w:tcW w:w="705" w:type="dxa"/>
            <w:shd w:val="clear" w:color="auto" w:fill="auto"/>
            <w:vAlign w:val="center"/>
          </w:tcPr>
          <w:p w14:paraId="522042C8">
            <w:pPr>
              <w:adjustRightInd/>
              <w:spacing w:line="288" w:lineRule="auto"/>
              <w:jc w:val="center"/>
              <w:rPr>
                <w:rFonts w:ascii="宋体" w:hAnsi="宋体" w:cs="宋体"/>
                <w:color w:val="auto"/>
                <w:sz w:val="24"/>
              </w:rPr>
            </w:pPr>
            <w:r>
              <w:rPr>
                <w:rFonts w:hint="eastAsia" w:ascii="宋体" w:hAnsi="宋体" w:cs="宋体"/>
                <w:color w:val="auto"/>
                <w:sz w:val="24"/>
              </w:rPr>
              <w:t>客观评审</w:t>
            </w:r>
          </w:p>
        </w:tc>
      </w:tr>
      <w:tr w14:paraId="24373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262" w:type="dxa"/>
            <w:vMerge w:val="continue"/>
            <w:vAlign w:val="center"/>
          </w:tcPr>
          <w:p w14:paraId="5F9FED88">
            <w:pPr>
              <w:adjustRightInd/>
              <w:spacing w:line="228" w:lineRule="auto"/>
              <w:rPr>
                <w:rFonts w:ascii="Calibri" w:hAnsi="Calibri"/>
                <w:color w:val="auto"/>
                <w:sz w:val="24"/>
              </w:rPr>
            </w:pPr>
          </w:p>
        </w:tc>
        <w:tc>
          <w:tcPr>
            <w:tcW w:w="1288" w:type="dxa"/>
            <w:vMerge w:val="continue"/>
            <w:shd w:val="clear" w:color="auto" w:fill="auto"/>
            <w:vAlign w:val="center"/>
          </w:tcPr>
          <w:p w14:paraId="15685898">
            <w:pPr>
              <w:widowControl/>
              <w:spacing w:line="280" w:lineRule="exact"/>
              <w:rPr>
                <w:rFonts w:ascii="宋体" w:hAnsi="宋体" w:cs="宋体"/>
                <w:color w:val="auto"/>
                <w:sz w:val="24"/>
              </w:rPr>
            </w:pPr>
          </w:p>
        </w:tc>
        <w:tc>
          <w:tcPr>
            <w:tcW w:w="5575" w:type="dxa"/>
            <w:shd w:val="clear" w:color="auto" w:fill="auto"/>
            <w:vAlign w:val="center"/>
          </w:tcPr>
          <w:p w14:paraId="5F1B7F0E">
            <w:pPr>
              <w:adjustRightInd/>
              <w:spacing w:line="288" w:lineRule="auto"/>
              <w:rPr>
                <w:rFonts w:ascii="宋体" w:hAnsi="宋体" w:cs="宋体"/>
                <w:bCs/>
                <w:color w:val="auto"/>
                <w:kern w:val="0"/>
                <w:sz w:val="24"/>
              </w:rPr>
            </w:pPr>
            <w:r>
              <w:rPr>
                <w:rFonts w:hint="eastAsia" w:ascii="宋体" w:hAnsi="宋体" w:cs="宋体"/>
                <w:bCs/>
                <w:color w:val="auto"/>
                <w:kern w:val="0"/>
                <w:sz w:val="24"/>
              </w:rPr>
              <w:t>10.3、需支持影像 DICOM 信息、影像AI特征结构化数据与临床结构化数据、原文数据进行逻辑组合筛选。以上功能需提供真实系统演示，完全满足的得2分，不满足或部分满足或非真实系统演示的不得分。</w:t>
            </w:r>
          </w:p>
        </w:tc>
        <w:tc>
          <w:tcPr>
            <w:tcW w:w="705" w:type="dxa"/>
            <w:shd w:val="clear" w:color="auto" w:fill="auto"/>
            <w:vAlign w:val="center"/>
          </w:tcPr>
          <w:p w14:paraId="3CE632FF">
            <w:pPr>
              <w:adjustRightInd/>
              <w:spacing w:line="288" w:lineRule="auto"/>
              <w:jc w:val="center"/>
              <w:rPr>
                <w:rFonts w:ascii="宋体" w:hAnsi="宋体" w:cs="宋体"/>
                <w:color w:val="auto"/>
                <w:sz w:val="24"/>
              </w:rPr>
            </w:pPr>
            <w:r>
              <w:rPr>
                <w:rFonts w:hint="eastAsia" w:ascii="宋体" w:hAnsi="宋体" w:cs="宋体"/>
                <w:color w:val="auto"/>
                <w:sz w:val="24"/>
              </w:rPr>
              <w:t>2</w:t>
            </w:r>
          </w:p>
        </w:tc>
        <w:tc>
          <w:tcPr>
            <w:tcW w:w="705" w:type="dxa"/>
            <w:shd w:val="clear" w:color="auto" w:fill="auto"/>
            <w:vAlign w:val="center"/>
          </w:tcPr>
          <w:p w14:paraId="663F4497">
            <w:pPr>
              <w:adjustRightInd/>
              <w:spacing w:line="288" w:lineRule="auto"/>
              <w:jc w:val="center"/>
              <w:rPr>
                <w:rFonts w:ascii="宋体" w:hAnsi="宋体" w:cs="宋体"/>
                <w:color w:val="auto"/>
                <w:sz w:val="24"/>
              </w:rPr>
            </w:pPr>
            <w:r>
              <w:rPr>
                <w:rFonts w:hint="eastAsia" w:ascii="宋体" w:hAnsi="宋体" w:cs="宋体"/>
                <w:color w:val="auto"/>
                <w:sz w:val="24"/>
              </w:rPr>
              <w:t>客观评审</w:t>
            </w:r>
          </w:p>
        </w:tc>
      </w:tr>
      <w:tr w14:paraId="1FBC2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262" w:type="dxa"/>
            <w:vMerge w:val="continue"/>
            <w:vAlign w:val="center"/>
          </w:tcPr>
          <w:p w14:paraId="75CD5FE6">
            <w:pPr>
              <w:adjustRightInd/>
              <w:spacing w:line="228" w:lineRule="auto"/>
              <w:rPr>
                <w:rFonts w:ascii="Calibri" w:hAnsi="Calibri"/>
                <w:color w:val="auto"/>
                <w:sz w:val="24"/>
              </w:rPr>
            </w:pPr>
          </w:p>
        </w:tc>
        <w:tc>
          <w:tcPr>
            <w:tcW w:w="1288" w:type="dxa"/>
            <w:vMerge w:val="continue"/>
            <w:shd w:val="clear" w:color="auto" w:fill="auto"/>
            <w:vAlign w:val="center"/>
          </w:tcPr>
          <w:p w14:paraId="62E4FB5B">
            <w:pPr>
              <w:widowControl/>
              <w:spacing w:line="280" w:lineRule="exact"/>
              <w:rPr>
                <w:rFonts w:ascii="宋体" w:hAnsi="宋体" w:cs="宋体"/>
                <w:color w:val="auto"/>
                <w:sz w:val="24"/>
              </w:rPr>
            </w:pPr>
          </w:p>
        </w:tc>
        <w:tc>
          <w:tcPr>
            <w:tcW w:w="5575" w:type="dxa"/>
            <w:shd w:val="clear" w:color="auto" w:fill="auto"/>
            <w:vAlign w:val="center"/>
          </w:tcPr>
          <w:p w14:paraId="058BB531">
            <w:pPr>
              <w:adjustRightInd/>
              <w:spacing w:line="288" w:lineRule="auto"/>
              <w:rPr>
                <w:rFonts w:ascii="宋体" w:hAnsi="宋体" w:cs="宋体"/>
                <w:bCs/>
                <w:color w:val="auto"/>
                <w:kern w:val="0"/>
                <w:sz w:val="24"/>
              </w:rPr>
            </w:pPr>
            <w:r>
              <w:rPr>
                <w:rFonts w:hint="eastAsia" w:ascii="宋体" w:hAnsi="宋体" w:cs="宋体"/>
                <w:bCs/>
                <w:color w:val="auto"/>
                <w:kern w:val="0"/>
                <w:sz w:val="24"/>
              </w:rPr>
              <w:t>10.4、需具备通用医疗大模型的能力，支持采用通用医疗分割模型进行交互式分割，支持点选、框选等模式，支持病灶分割、器官分割。需具备支持病理数据标注的能力，包括细胞病理、组织病理、免疫组化中的上皮细胞、淋巴细胞、精母细胞、癌细胞分割等。以上功能需提供真实系统演示，完全满足的得2分，不满足或部分满足或非真实系统演示的不得分。</w:t>
            </w:r>
          </w:p>
        </w:tc>
        <w:tc>
          <w:tcPr>
            <w:tcW w:w="705" w:type="dxa"/>
            <w:shd w:val="clear" w:color="auto" w:fill="auto"/>
            <w:vAlign w:val="center"/>
          </w:tcPr>
          <w:p w14:paraId="5BB2D830">
            <w:pPr>
              <w:adjustRightInd/>
              <w:spacing w:line="288" w:lineRule="auto"/>
              <w:jc w:val="center"/>
              <w:rPr>
                <w:rFonts w:ascii="宋体" w:hAnsi="宋体" w:cs="宋体"/>
                <w:color w:val="auto"/>
                <w:sz w:val="24"/>
              </w:rPr>
            </w:pPr>
            <w:r>
              <w:rPr>
                <w:rFonts w:hint="eastAsia" w:ascii="宋体" w:hAnsi="宋体" w:cs="宋体"/>
                <w:color w:val="auto"/>
                <w:sz w:val="24"/>
              </w:rPr>
              <w:t>2</w:t>
            </w:r>
          </w:p>
        </w:tc>
        <w:tc>
          <w:tcPr>
            <w:tcW w:w="705" w:type="dxa"/>
            <w:shd w:val="clear" w:color="auto" w:fill="auto"/>
            <w:vAlign w:val="center"/>
          </w:tcPr>
          <w:p w14:paraId="771C9CE6">
            <w:pPr>
              <w:adjustRightInd/>
              <w:spacing w:line="288" w:lineRule="auto"/>
              <w:jc w:val="center"/>
              <w:rPr>
                <w:rFonts w:ascii="宋体" w:hAnsi="宋体" w:cs="宋体"/>
                <w:color w:val="auto"/>
                <w:sz w:val="24"/>
              </w:rPr>
            </w:pPr>
            <w:r>
              <w:rPr>
                <w:rFonts w:hint="eastAsia" w:ascii="宋体" w:hAnsi="宋体" w:cs="宋体"/>
                <w:color w:val="auto"/>
                <w:sz w:val="24"/>
              </w:rPr>
              <w:t>客观评审</w:t>
            </w:r>
          </w:p>
        </w:tc>
      </w:tr>
      <w:tr w14:paraId="353AD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262" w:type="dxa"/>
            <w:vMerge w:val="continue"/>
            <w:vAlign w:val="center"/>
          </w:tcPr>
          <w:p w14:paraId="0F2D813B">
            <w:pPr>
              <w:adjustRightInd/>
              <w:spacing w:line="228" w:lineRule="auto"/>
              <w:rPr>
                <w:rFonts w:ascii="Calibri" w:hAnsi="Calibri"/>
                <w:color w:val="auto"/>
                <w:sz w:val="24"/>
              </w:rPr>
            </w:pPr>
          </w:p>
        </w:tc>
        <w:tc>
          <w:tcPr>
            <w:tcW w:w="1288" w:type="dxa"/>
            <w:vMerge w:val="continue"/>
            <w:shd w:val="clear" w:color="auto" w:fill="auto"/>
            <w:vAlign w:val="center"/>
          </w:tcPr>
          <w:p w14:paraId="5FC36955">
            <w:pPr>
              <w:widowControl/>
              <w:spacing w:line="280" w:lineRule="exact"/>
              <w:rPr>
                <w:rFonts w:ascii="宋体" w:hAnsi="宋体" w:cs="宋体"/>
                <w:color w:val="auto"/>
                <w:sz w:val="24"/>
              </w:rPr>
            </w:pPr>
          </w:p>
        </w:tc>
        <w:tc>
          <w:tcPr>
            <w:tcW w:w="5575" w:type="dxa"/>
            <w:shd w:val="clear" w:color="auto" w:fill="auto"/>
            <w:vAlign w:val="center"/>
          </w:tcPr>
          <w:p w14:paraId="66ACC4DB">
            <w:pPr>
              <w:adjustRightInd/>
              <w:spacing w:line="288" w:lineRule="auto"/>
              <w:rPr>
                <w:rFonts w:ascii="宋体" w:hAnsi="宋体" w:cs="宋体"/>
                <w:bCs/>
                <w:color w:val="auto"/>
                <w:kern w:val="0"/>
                <w:sz w:val="24"/>
              </w:rPr>
            </w:pPr>
            <w:r>
              <w:rPr>
                <w:rFonts w:hint="eastAsia" w:ascii="宋体" w:hAnsi="宋体" w:cs="宋体"/>
                <w:bCs/>
                <w:color w:val="auto"/>
                <w:kern w:val="0"/>
                <w:sz w:val="24"/>
              </w:rPr>
              <w:t>10.5、需具备深度学习算法模型的能力，满足深度学习数据分析，支持整图分类、病灶分类、病灶检测、病灶分割四种深度学习场景。以上功能需提供真实系统演示，完全满足的得2分，不满足或部分满足或非真实系统演示的不得分。</w:t>
            </w:r>
          </w:p>
        </w:tc>
        <w:tc>
          <w:tcPr>
            <w:tcW w:w="705" w:type="dxa"/>
            <w:shd w:val="clear" w:color="auto" w:fill="auto"/>
            <w:vAlign w:val="center"/>
          </w:tcPr>
          <w:p w14:paraId="0D0903BE">
            <w:pPr>
              <w:adjustRightInd/>
              <w:spacing w:line="288" w:lineRule="auto"/>
              <w:jc w:val="center"/>
              <w:rPr>
                <w:rFonts w:ascii="宋体" w:hAnsi="宋体" w:cs="宋体"/>
                <w:color w:val="auto"/>
                <w:sz w:val="24"/>
              </w:rPr>
            </w:pPr>
            <w:r>
              <w:rPr>
                <w:rFonts w:hint="eastAsia" w:ascii="宋体" w:hAnsi="宋体" w:cs="宋体"/>
                <w:color w:val="auto"/>
                <w:sz w:val="24"/>
              </w:rPr>
              <w:t>2</w:t>
            </w:r>
          </w:p>
        </w:tc>
        <w:tc>
          <w:tcPr>
            <w:tcW w:w="705" w:type="dxa"/>
            <w:shd w:val="clear" w:color="auto" w:fill="auto"/>
            <w:vAlign w:val="center"/>
          </w:tcPr>
          <w:p w14:paraId="2DE13F01">
            <w:pPr>
              <w:adjustRightInd/>
              <w:spacing w:line="288" w:lineRule="auto"/>
              <w:jc w:val="center"/>
              <w:rPr>
                <w:rFonts w:ascii="宋体" w:hAnsi="宋体" w:cs="宋体"/>
                <w:color w:val="auto"/>
                <w:sz w:val="24"/>
              </w:rPr>
            </w:pPr>
            <w:r>
              <w:rPr>
                <w:rFonts w:hint="eastAsia" w:ascii="宋体" w:hAnsi="宋体" w:cs="宋体"/>
                <w:color w:val="auto"/>
                <w:sz w:val="24"/>
              </w:rPr>
              <w:t>客观评审</w:t>
            </w:r>
          </w:p>
        </w:tc>
      </w:tr>
      <w:tr w14:paraId="4992A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262" w:type="dxa"/>
            <w:vMerge w:val="continue"/>
            <w:vAlign w:val="center"/>
          </w:tcPr>
          <w:p w14:paraId="2E873AEF">
            <w:pPr>
              <w:adjustRightInd/>
              <w:spacing w:line="228" w:lineRule="auto"/>
              <w:rPr>
                <w:rFonts w:ascii="Calibri" w:hAnsi="Calibri"/>
                <w:color w:val="auto"/>
                <w:sz w:val="24"/>
              </w:rPr>
            </w:pPr>
          </w:p>
        </w:tc>
        <w:tc>
          <w:tcPr>
            <w:tcW w:w="1288" w:type="dxa"/>
            <w:vMerge w:val="continue"/>
            <w:shd w:val="clear" w:color="auto" w:fill="auto"/>
            <w:vAlign w:val="center"/>
          </w:tcPr>
          <w:p w14:paraId="14ECC0F0">
            <w:pPr>
              <w:widowControl/>
              <w:spacing w:line="280" w:lineRule="exact"/>
              <w:rPr>
                <w:rFonts w:ascii="宋体" w:hAnsi="宋体" w:cs="宋体"/>
                <w:color w:val="auto"/>
                <w:sz w:val="24"/>
              </w:rPr>
            </w:pPr>
          </w:p>
        </w:tc>
        <w:tc>
          <w:tcPr>
            <w:tcW w:w="5575" w:type="dxa"/>
            <w:shd w:val="clear" w:color="auto" w:fill="auto"/>
            <w:vAlign w:val="center"/>
          </w:tcPr>
          <w:p w14:paraId="59B2700F">
            <w:pPr>
              <w:adjustRightInd/>
              <w:spacing w:line="288" w:lineRule="auto"/>
              <w:rPr>
                <w:rFonts w:ascii="宋体" w:hAnsi="宋体" w:cs="宋体"/>
                <w:bCs/>
                <w:color w:val="auto"/>
                <w:kern w:val="0"/>
                <w:sz w:val="24"/>
              </w:rPr>
            </w:pPr>
            <w:r>
              <w:rPr>
                <w:rFonts w:hint="eastAsia" w:ascii="宋体" w:hAnsi="宋体" w:cs="宋体"/>
                <w:bCs/>
                <w:color w:val="auto"/>
                <w:kern w:val="0"/>
                <w:sz w:val="24"/>
              </w:rPr>
              <w:t>10.6、为方便进行病理数据的学习研究，系统需支持具备病理数据的分类、分割及检测研究分析，包括支持病理组织分类中的亚型分类、病理分级分析，细胞学中的癌细胞分类、细胞形态学分析，细胞核分割研究、不同类型的组织分割研究，肿瘤区域检测研究、细胞区域检测研究、对病理学图像中的其它目标进行检测研究，例如细胞核、血管等。以上功能需提供真实系统演示，完全满足的得2分，不满足或部分满足或非真实系统演示的不得分。</w:t>
            </w:r>
          </w:p>
        </w:tc>
        <w:tc>
          <w:tcPr>
            <w:tcW w:w="705" w:type="dxa"/>
            <w:shd w:val="clear" w:color="auto" w:fill="auto"/>
            <w:vAlign w:val="center"/>
          </w:tcPr>
          <w:p w14:paraId="2D81C41F">
            <w:pPr>
              <w:adjustRightInd/>
              <w:spacing w:line="288" w:lineRule="auto"/>
              <w:jc w:val="center"/>
              <w:rPr>
                <w:rFonts w:ascii="宋体" w:hAnsi="宋体" w:cs="宋体"/>
                <w:color w:val="auto"/>
                <w:sz w:val="24"/>
              </w:rPr>
            </w:pPr>
            <w:r>
              <w:rPr>
                <w:rFonts w:hint="eastAsia" w:ascii="宋体" w:hAnsi="宋体" w:cs="宋体"/>
                <w:color w:val="auto"/>
                <w:sz w:val="24"/>
              </w:rPr>
              <w:t>2</w:t>
            </w:r>
          </w:p>
        </w:tc>
        <w:tc>
          <w:tcPr>
            <w:tcW w:w="705" w:type="dxa"/>
            <w:shd w:val="clear" w:color="auto" w:fill="auto"/>
            <w:vAlign w:val="center"/>
          </w:tcPr>
          <w:p w14:paraId="664D967A">
            <w:pPr>
              <w:adjustRightInd/>
              <w:spacing w:line="288" w:lineRule="auto"/>
              <w:jc w:val="center"/>
              <w:rPr>
                <w:rFonts w:ascii="宋体" w:hAnsi="宋体" w:cs="宋体"/>
                <w:color w:val="auto"/>
                <w:sz w:val="24"/>
              </w:rPr>
            </w:pPr>
            <w:r>
              <w:rPr>
                <w:rFonts w:hint="eastAsia" w:ascii="宋体" w:hAnsi="宋体" w:cs="宋体"/>
                <w:color w:val="auto"/>
                <w:sz w:val="24"/>
              </w:rPr>
              <w:t>客观评审</w:t>
            </w:r>
          </w:p>
        </w:tc>
      </w:tr>
      <w:tr w14:paraId="5C774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262" w:type="dxa"/>
            <w:vMerge w:val="continue"/>
            <w:vAlign w:val="center"/>
          </w:tcPr>
          <w:p w14:paraId="1B645C0F">
            <w:pPr>
              <w:adjustRightInd/>
              <w:spacing w:line="228" w:lineRule="auto"/>
              <w:rPr>
                <w:rFonts w:ascii="Calibri" w:hAnsi="Calibri"/>
                <w:color w:val="auto"/>
                <w:sz w:val="24"/>
              </w:rPr>
            </w:pPr>
          </w:p>
        </w:tc>
        <w:tc>
          <w:tcPr>
            <w:tcW w:w="1288" w:type="dxa"/>
            <w:vMerge w:val="restart"/>
            <w:shd w:val="clear" w:color="auto" w:fill="auto"/>
            <w:vAlign w:val="center"/>
          </w:tcPr>
          <w:p w14:paraId="742C5DA6">
            <w:pPr>
              <w:adjustRightInd/>
              <w:spacing w:after="120" w:line="228" w:lineRule="auto"/>
              <w:rPr>
                <w:rFonts w:ascii="宋体" w:hAnsi="宋体" w:cs="宋体"/>
                <w:color w:val="auto"/>
                <w:sz w:val="24"/>
              </w:rPr>
            </w:pPr>
            <w:r>
              <w:rPr>
                <w:rFonts w:hint="eastAsia" w:ascii="宋体" w:hAnsi="宋体" w:cs="宋体"/>
                <w:color w:val="auto"/>
                <w:sz w:val="24"/>
              </w:rPr>
              <w:t>11、企业综合实力（9分）</w:t>
            </w:r>
          </w:p>
        </w:tc>
        <w:tc>
          <w:tcPr>
            <w:tcW w:w="5575" w:type="dxa"/>
            <w:shd w:val="clear" w:color="auto" w:fill="auto"/>
            <w:vAlign w:val="center"/>
          </w:tcPr>
          <w:p w14:paraId="65119DF7">
            <w:pPr>
              <w:adjustRightInd/>
              <w:spacing w:line="288" w:lineRule="auto"/>
              <w:rPr>
                <w:rFonts w:ascii="宋体" w:hAnsi="宋体" w:cs="宋体"/>
                <w:b/>
                <w:color w:val="auto"/>
                <w:kern w:val="0"/>
                <w:sz w:val="24"/>
              </w:rPr>
            </w:pPr>
            <w:r>
              <w:rPr>
                <w:rFonts w:hint="eastAsia" w:ascii="宋体" w:hAnsi="宋体" w:cs="宋体"/>
                <w:bCs/>
                <w:color w:val="auto"/>
                <w:kern w:val="0"/>
                <w:sz w:val="24"/>
              </w:rPr>
              <w:t>11.1、投标人或软件产品制造商具有有效的质量管理体系认证证书的得1分，其他不得分。</w:t>
            </w:r>
            <w:r>
              <w:rPr>
                <w:rFonts w:hint="eastAsia" w:ascii="宋体" w:hAnsi="宋体" w:cs="宋体"/>
                <w:bCs/>
                <w:color w:val="auto"/>
                <w:kern w:val="0"/>
                <w:sz w:val="24"/>
              </w:rPr>
              <w:br w:type="textWrapping"/>
            </w:r>
            <w:r>
              <w:rPr>
                <w:rFonts w:hint="eastAsia" w:ascii="宋体" w:hAnsi="宋体" w:cs="宋体"/>
                <w:b/>
                <w:color w:val="auto"/>
                <w:kern w:val="0"/>
                <w:sz w:val="24"/>
              </w:rPr>
              <w:t>注：投标人须在投标文件中提供相关证明材料复印件加盖公章，未提供的不得分。</w:t>
            </w:r>
          </w:p>
        </w:tc>
        <w:tc>
          <w:tcPr>
            <w:tcW w:w="705" w:type="dxa"/>
            <w:shd w:val="clear" w:color="auto" w:fill="auto"/>
            <w:vAlign w:val="center"/>
          </w:tcPr>
          <w:p w14:paraId="6FE605E3">
            <w:pPr>
              <w:adjustRightInd/>
              <w:spacing w:line="288" w:lineRule="auto"/>
              <w:jc w:val="center"/>
              <w:rPr>
                <w:rFonts w:ascii="宋体" w:hAnsi="宋体" w:cs="宋体"/>
                <w:color w:val="auto"/>
                <w:sz w:val="24"/>
              </w:rPr>
            </w:pPr>
            <w:r>
              <w:rPr>
                <w:rFonts w:hint="eastAsia" w:ascii="宋体" w:hAnsi="宋体" w:cs="宋体"/>
                <w:color w:val="auto"/>
                <w:sz w:val="24"/>
              </w:rPr>
              <w:t>1</w:t>
            </w:r>
          </w:p>
        </w:tc>
        <w:tc>
          <w:tcPr>
            <w:tcW w:w="705" w:type="dxa"/>
            <w:shd w:val="clear" w:color="auto" w:fill="auto"/>
            <w:vAlign w:val="center"/>
          </w:tcPr>
          <w:p w14:paraId="667CCAA7">
            <w:pPr>
              <w:adjustRightInd/>
              <w:spacing w:line="288" w:lineRule="auto"/>
              <w:jc w:val="center"/>
              <w:rPr>
                <w:rFonts w:ascii="宋体" w:hAnsi="宋体" w:cs="宋体"/>
                <w:color w:val="auto"/>
                <w:sz w:val="24"/>
              </w:rPr>
            </w:pPr>
            <w:r>
              <w:rPr>
                <w:rFonts w:hint="eastAsia" w:ascii="宋体" w:hAnsi="宋体" w:cs="宋体"/>
                <w:color w:val="auto"/>
                <w:sz w:val="24"/>
              </w:rPr>
              <w:t>客观评审</w:t>
            </w:r>
          </w:p>
        </w:tc>
      </w:tr>
      <w:tr w14:paraId="669D2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262" w:type="dxa"/>
            <w:vMerge w:val="continue"/>
            <w:vAlign w:val="center"/>
          </w:tcPr>
          <w:p w14:paraId="66BDC135">
            <w:pPr>
              <w:adjustRightInd/>
              <w:spacing w:line="228" w:lineRule="auto"/>
              <w:rPr>
                <w:rFonts w:ascii="Calibri" w:hAnsi="Calibri"/>
                <w:color w:val="auto"/>
                <w:sz w:val="24"/>
              </w:rPr>
            </w:pPr>
          </w:p>
        </w:tc>
        <w:tc>
          <w:tcPr>
            <w:tcW w:w="1288" w:type="dxa"/>
            <w:vMerge w:val="continue"/>
            <w:shd w:val="clear" w:color="auto" w:fill="auto"/>
            <w:vAlign w:val="center"/>
          </w:tcPr>
          <w:p w14:paraId="18A9F223">
            <w:pPr>
              <w:widowControl/>
              <w:spacing w:line="280" w:lineRule="exact"/>
              <w:rPr>
                <w:rFonts w:ascii="宋体" w:hAnsi="宋体" w:cs="宋体"/>
                <w:color w:val="auto"/>
                <w:sz w:val="24"/>
              </w:rPr>
            </w:pPr>
          </w:p>
        </w:tc>
        <w:tc>
          <w:tcPr>
            <w:tcW w:w="5575" w:type="dxa"/>
            <w:shd w:val="clear" w:color="auto" w:fill="auto"/>
            <w:vAlign w:val="center"/>
          </w:tcPr>
          <w:p w14:paraId="4ABAE110">
            <w:pPr>
              <w:adjustRightInd/>
              <w:spacing w:line="288" w:lineRule="auto"/>
              <w:rPr>
                <w:rFonts w:ascii="宋体" w:hAnsi="宋体" w:cs="宋体"/>
                <w:bCs/>
                <w:color w:val="auto"/>
                <w:kern w:val="0"/>
                <w:sz w:val="24"/>
              </w:rPr>
            </w:pPr>
            <w:r>
              <w:rPr>
                <w:rFonts w:hint="eastAsia" w:ascii="宋体" w:hAnsi="宋体" w:cs="宋体"/>
                <w:bCs/>
                <w:color w:val="auto"/>
                <w:kern w:val="0"/>
                <w:sz w:val="24"/>
              </w:rPr>
              <w:t>11.2、投标人或软件产品制造商具有有效的信息技术服务管理体系认证证书的得1分，其他不得分。</w:t>
            </w:r>
            <w:r>
              <w:rPr>
                <w:rFonts w:hint="eastAsia" w:ascii="宋体" w:hAnsi="宋体" w:cs="宋体"/>
                <w:bCs/>
                <w:color w:val="auto"/>
                <w:kern w:val="0"/>
                <w:sz w:val="24"/>
              </w:rPr>
              <w:br w:type="textWrapping"/>
            </w:r>
            <w:r>
              <w:rPr>
                <w:rFonts w:hint="eastAsia" w:ascii="宋体" w:hAnsi="宋体" w:cs="宋体"/>
                <w:b/>
                <w:color w:val="auto"/>
                <w:kern w:val="0"/>
                <w:sz w:val="24"/>
              </w:rPr>
              <w:t>注：投标人须在投标文件中提供相关证明材料复印件加盖公章，未提供的不得分。</w:t>
            </w:r>
          </w:p>
        </w:tc>
        <w:tc>
          <w:tcPr>
            <w:tcW w:w="705" w:type="dxa"/>
            <w:shd w:val="clear" w:color="auto" w:fill="auto"/>
            <w:vAlign w:val="center"/>
          </w:tcPr>
          <w:p w14:paraId="7E58ED10">
            <w:pPr>
              <w:adjustRightInd/>
              <w:spacing w:line="288" w:lineRule="auto"/>
              <w:jc w:val="center"/>
              <w:rPr>
                <w:rFonts w:ascii="宋体" w:hAnsi="宋体" w:cs="宋体"/>
                <w:color w:val="auto"/>
                <w:sz w:val="24"/>
              </w:rPr>
            </w:pPr>
            <w:r>
              <w:rPr>
                <w:rFonts w:hint="eastAsia" w:ascii="宋体" w:hAnsi="宋体" w:cs="宋体"/>
                <w:color w:val="auto"/>
                <w:sz w:val="24"/>
              </w:rPr>
              <w:t>1</w:t>
            </w:r>
          </w:p>
        </w:tc>
        <w:tc>
          <w:tcPr>
            <w:tcW w:w="705" w:type="dxa"/>
            <w:shd w:val="clear" w:color="auto" w:fill="auto"/>
            <w:vAlign w:val="center"/>
          </w:tcPr>
          <w:p w14:paraId="348B7F3E">
            <w:pPr>
              <w:adjustRightInd/>
              <w:spacing w:line="288" w:lineRule="auto"/>
              <w:jc w:val="center"/>
              <w:rPr>
                <w:rFonts w:ascii="宋体" w:hAnsi="宋体" w:cs="宋体"/>
                <w:color w:val="auto"/>
                <w:sz w:val="24"/>
              </w:rPr>
            </w:pPr>
            <w:r>
              <w:rPr>
                <w:rFonts w:hint="eastAsia" w:ascii="宋体" w:hAnsi="宋体" w:cs="宋体"/>
                <w:color w:val="auto"/>
                <w:sz w:val="24"/>
              </w:rPr>
              <w:t>客观评审</w:t>
            </w:r>
          </w:p>
        </w:tc>
      </w:tr>
      <w:tr w14:paraId="32EC7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262" w:type="dxa"/>
            <w:vMerge w:val="continue"/>
            <w:vAlign w:val="center"/>
          </w:tcPr>
          <w:p w14:paraId="36F6386E">
            <w:pPr>
              <w:adjustRightInd/>
              <w:spacing w:line="228" w:lineRule="auto"/>
              <w:rPr>
                <w:rFonts w:ascii="Calibri" w:hAnsi="Calibri"/>
                <w:color w:val="auto"/>
                <w:sz w:val="24"/>
              </w:rPr>
            </w:pPr>
          </w:p>
        </w:tc>
        <w:tc>
          <w:tcPr>
            <w:tcW w:w="1288" w:type="dxa"/>
            <w:vMerge w:val="continue"/>
            <w:shd w:val="clear" w:color="auto" w:fill="auto"/>
            <w:vAlign w:val="center"/>
          </w:tcPr>
          <w:p w14:paraId="1EDF9B12">
            <w:pPr>
              <w:widowControl/>
              <w:spacing w:line="280" w:lineRule="exact"/>
              <w:rPr>
                <w:rFonts w:ascii="宋体" w:hAnsi="宋体" w:cs="宋体"/>
                <w:color w:val="auto"/>
                <w:sz w:val="24"/>
              </w:rPr>
            </w:pPr>
          </w:p>
        </w:tc>
        <w:tc>
          <w:tcPr>
            <w:tcW w:w="5575" w:type="dxa"/>
            <w:shd w:val="clear" w:color="auto" w:fill="auto"/>
            <w:vAlign w:val="center"/>
          </w:tcPr>
          <w:p w14:paraId="034CC37B">
            <w:pPr>
              <w:adjustRightInd/>
              <w:spacing w:line="288" w:lineRule="auto"/>
              <w:rPr>
                <w:rFonts w:ascii="宋体" w:hAnsi="宋体" w:cs="宋体"/>
                <w:bCs/>
                <w:color w:val="auto"/>
                <w:kern w:val="0"/>
                <w:sz w:val="24"/>
              </w:rPr>
            </w:pPr>
            <w:r>
              <w:rPr>
                <w:rFonts w:hint="eastAsia" w:ascii="宋体" w:hAnsi="宋体" w:cs="宋体"/>
                <w:bCs/>
                <w:color w:val="auto"/>
                <w:kern w:val="0"/>
                <w:sz w:val="24"/>
              </w:rPr>
              <w:t>11.3、投标人或软件产品制造商具有有效的隐私框架管理体系认证证书的得1分，其他不得分。</w:t>
            </w:r>
            <w:r>
              <w:rPr>
                <w:rFonts w:hint="eastAsia" w:ascii="宋体" w:hAnsi="宋体" w:cs="宋体"/>
                <w:bCs/>
                <w:color w:val="auto"/>
                <w:kern w:val="0"/>
                <w:sz w:val="24"/>
              </w:rPr>
              <w:br w:type="textWrapping"/>
            </w:r>
            <w:r>
              <w:rPr>
                <w:rFonts w:hint="eastAsia" w:ascii="宋体" w:hAnsi="宋体" w:cs="宋体"/>
                <w:b/>
                <w:color w:val="auto"/>
                <w:kern w:val="0"/>
                <w:sz w:val="24"/>
              </w:rPr>
              <w:t>注：投标人须在投标文件中提供相关证明材料复印件加盖公章，未提供的不得分。</w:t>
            </w:r>
          </w:p>
        </w:tc>
        <w:tc>
          <w:tcPr>
            <w:tcW w:w="705" w:type="dxa"/>
            <w:shd w:val="clear" w:color="auto" w:fill="auto"/>
            <w:vAlign w:val="center"/>
          </w:tcPr>
          <w:p w14:paraId="32F3F32B">
            <w:pPr>
              <w:adjustRightInd/>
              <w:spacing w:line="288" w:lineRule="auto"/>
              <w:jc w:val="center"/>
              <w:rPr>
                <w:rFonts w:ascii="宋体" w:hAnsi="宋体" w:cs="宋体"/>
                <w:color w:val="auto"/>
                <w:sz w:val="24"/>
              </w:rPr>
            </w:pPr>
            <w:r>
              <w:rPr>
                <w:rFonts w:hint="eastAsia" w:ascii="宋体" w:hAnsi="宋体" w:cs="宋体"/>
                <w:color w:val="auto"/>
                <w:sz w:val="24"/>
              </w:rPr>
              <w:t>1</w:t>
            </w:r>
          </w:p>
        </w:tc>
        <w:tc>
          <w:tcPr>
            <w:tcW w:w="705" w:type="dxa"/>
            <w:shd w:val="clear" w:color="auto" w:fill="auto"/>
            <w:vAlign w:val="center"/>
          </w:tcPr>
          <w:p w14:paraId="53C475EA">
            <w:pPr>
              <w:adjustRightInd/>
              <w:spacing w:line="288" w:lineRule="auto"/>
              <w:jc w:val="center"/>
              <w:rPr>
                <w:rFonts w:ascii="宋体" w:hAnsi="宋体" w:cs="宋体"/>
                <w:color w:val="auto"/>
                <w:sz w:val="24"/>
              </w:rPr>
            </w:pPr>
            <w:r>
              <w:rPr>
                <w:rFonts w:hint="eastAsia" w:ascii="宋体" w:hAnsi="宋体" w:cs="宋体"/>
                <w:color w:val="auto"/>
                <w:sz w:val="24"/>
              </w:rPr>
              <w:t>客观评审</w:t>
            </w:r>
          </w:p>
        </w:tc>
      </w:tr>
      <w:tr w14:paraId="6ED1A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262" w:type="dxa"/>
            <w:vMerge w:val="continue"/>
            <w:vAlign w:val="center"/>
          </w:tcPr>
          <w:p w14:paraId="33FD897A">
            <w:pPr>
              <w:adjustRightInd/>
              <w:spacing w:line="228" w:lineRule="auto"/>
              <w:rPr>
                <w:rFonts w:ascii="Calibri" w:hAnsi="Calibri"/>
                <w:color w:val="auto"/>
                <w:sz w:val="24"/>
              </w:rPr>
            </w:pPr>
          </w:p>
        </w:tc>
        <w:tc>
          <w:tcPr>
            <w:tcW w:w="1288" w:type="dxa"/>
            <w:vMerge w:val="continue"/>
            <w:shd w:val="clear" w:color="auto" w:fill="auto"/>
            <w:vAlign w:val="center"/>
          </w:tcPr>
          <w:p w14:paraId="208FE716">
            <w:pPr>
              <w:widowControl/>
              <w:spacing w:line="280" w:lineRule="exact"/>
              <w:rPr>
                <w:rFonts w:ascii="宋体" w:hAnsi="宋体" w:cs="宋体"/>
                <w:color w:val="auto"/>
                <w:sz w:val="24"/>
              </w:rPr>
            </w:pPr>
          </w:p>
        </w:tc>
        <w:tc>
          <w:tcPr>
            <w:tcW w:w="5575" w:type="dxa"/>
            <w:shd w:val="clear" w:color="auto" w:fill="auto"/>
            <w:vAlign w:val="center"/>
          </w:tcPr>
          <w:p w14:paraId="4BA101B2">
            <w:pPr>
              <w:adjustRightInd/>
              <w:spacing w:line="288" w:lineRule="auto"/>
              <w:rPr>
                <w:rFonts w:ascii="宋体" w:hAnsi="宋体" w:cs="宋体"/>
                <w:bCs/>
                <w:color w:val="auto"/>
                <w:kern w:val="0"/>
                <w:sz w:val="24"/>
              </w:rPr>
            </w:pPr>
            <w:r>
              <w:rPr>
                <w:rFonts w:hint="eastAsia" w:ascii="宋体" w:hAnsi="宋体" w:cs="宋体"/>
                <w:bCs/>
                <w:color w:val="auto"/>
                <w:kern w:val="0"/>
                <w:sz w:val="24"/>
              </w:rPr>
              <w:t>11.</w:t>
            </w:r>
            <w:r>
              <w:rPr>
                <w:rFonts w:hint="eastAsia" w:ascii="宋体" w:hAnsi="宋体" w:cs="宋体"/>
                <w:bCs/>
                <w:color w:val="auto"/>
                <w:kern w:val="0"/>
                <w:sz w:val="24"/>
                <w:lang w:val="en-US" w:eastAsia="zh-CN"/>
              </w:rPr>
              <w:t>4</w:t>
            </w:r>
            <w:r>
              <w:rPr>
                <w:rFonts w:hint="eastAsia" w:ascii="宋体" w:hAnsi="宋体" w:cs="宋体"/>
                <w:bCs/>
                <w:color w:val="auto"/>
                <w:kern w:val="0"/>
                <w:sz w:val="24"/>
              </w:rPr>
              <w:t xml:space="preserve">、投标人或软件产品制造商具有具有自主知识产权的：①“数据脱敏”、②“科研项目管理”、③“病灶信息提取”、④“医学影像处理”、⑤“肝脏CT影像分析”、⑥“多模态数据融合”的相关软件著作权登记证书的，每提供1种证书得1分，同类证书不累计得分，满分6分。 </w:t>
            </w:r>
          </w:p>
          <w:p w14:paraId="7ACAE72C">
            <w:pPr>
              <w:adjustRightInd/>
              <w:spacing w:line="288" w:lineRule="auto"/>
              <w:rPr>
                <w:rFonts w:ascii="宋体" w:hAnsi="宋体" w:cs="宋体"/>
                <w:bCs/>
                <w:color w:val="auto"/>
                <w:kern w:val="0"/>
                <w:sz w:val="24"/>
              </w:rPr>
            </w:pPr>
            <w:r>
              <w:rPr>
                <w:rFonts w:hint="eastAsia" w:ascii="宋体" w:hAnsi="宋体" w:cs="宋体"/>
                <w:b/>
                <w:color w:val="auto"/>
                <w:kern w:val="0"/>
                <w:sz w:val="24"/>
              </w:rPr>
              <w:t>注：投标人须在响应文件中提供相关证明材料作为佐证，未提供或无法证明的本项不得分。</w:t>
            </w:r>
          </w:p>
        </w:tc>
        <w:tc>
          <w:tcPr>
            <w:tcW w:w="705" w:type="dxa"/>
            <w:shd w:val="clear" w:color="auto" w:fill="auto"/>
            <w:vAlign w:val="center"/>
          </w:tcPr>
          <w:p w14:paraId="55137732">
            <w:pPr>
              <w:adjustRightInd/>
              <w:spacing w:line="288" w:lineRule="auto"/>
              <w:jc w:val="center"/>
              <w:rPr>
                <w:rFonts w:ascii="宋体" w:hAnsi="宋体" w:cs="宋体"/>
                <w:color w:val="auto"/>
                <w:sz w:val="24"/>
              </w:rPr>
            </w:pPr>
            <w:r>
              <w:rPr>
                <w:rFonts w:hint="eastAsia" w:ascii="宋体" w:hAnsi="宋体" w:cs="宋体"/>
                <w:color w:val="auto"/>
                <w:sz w:val="24"/>
              </w:rPr>
              <w:t>6</w:t>
            </w:r>
          </w:p>
        </w:tc>
        <w:tc>
          <w:tcPr>
            <w:tcW w:w="705" w:type="dxa"/>
            <w:shd w:val="clear" w:color="auto" w:fill="auto"/>
            <w:vAlign w:val="center"/>
          </w:tcPr>
          <w:p w14:paraId="66D0AEE0">
            <w:pPr>
              <w:adjustRightInd/>
              <w:spacing w:line="288" w:lineRule="auto"/>
              <w:jc w:val="center"/>
              <w:rPr>
                <w:rFonts w:ascii="宋体" w:hAnsi="宋体" w:cs="宋体"/>
                <w:color w:val="auto"/>
                <w:sz w:val="24"/>
              </w:rPr>
            </w:pPr>
            <w:r>
              <w:rPr>
                <w:rFonts w:hint="eastAsia" w:ascii="宋体" w:hAnsi="宋体" w:cs="宋体"/>
                <w:color w:val="auto"/>
                <w:sz w:val="24"/>
              </w:rPr>
              <w:t>客观评审</w:t>
            </w:r>
          </w:p>
        </w:tc>
      </w:tr>
      <w:tr w14:paraId="039E1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1262" w:type="dxa"/>
            <w:vMerge w:val="continue"/>
            <w:vAlign w:val="center"/>
          </w:tcPr>
          <w:p w14:paraId="7D3094FB">
            <w:pPr>
              <w:adjustRightInd/>
              <w:spacing w:line="228" w:lineRule="auto"/>
              <w:rPr>
                <w:rFonts w:ascii="Calibri" w:hAnsi="Calibri"/>
                <w:color w:val="auto"/>
                <w:sz w:val="24"/>
              </w:rPr>
            </w:pPr>
          </w:p>
        </w:tc>
        <w:tc>
          <w:tcPr>
            <w:tcW w:w="1288" w:type="dxa"/>
            <w:vAlign w:val="center"/>
          </w:tcPr>
          <w:p w14:paraId="4BD06E20">
            <w:pPr>
              <w:widowControl/>
              <w:spacing w:line="280" w:lineRule="exact"/>
              <w:rPr>
                <w:rFonts w:ascii="宋体" w:hAnsi="宋体" w:cs="宋体"/>
                <w:color w:val="auto"/>
                <w:sz w:val="24"/>
              </w:rPr>
            </w:pPr>
            <w:r>
              <w:rPr>
                <w:rFonts w:hint="eastAsia" w:ascii="宋体" w:hAnsi="宋体" w:cs="宋体"/>
                <w:color w:val="auto"/>
                <w:sz w:val="24"/>
              </w:rPr>
              <w:t>12、业绩（1分）</w:t>
            </w:r>
          </w:p>
        </w:tc>
        <w:tc>
          <w:tcPr>
            <w:tcW w:w="5575" w:type="dxa"/>
            <w:vAlign w:val="center"/>
          </w:tcPr>
          <w:p w14:paraId="161D8EBB">
            <w:pPr>
              <w:adjustRightInd/>
              <w:spacing w:line="288" w:lineRule="auto"/>
              <w:rPr>
                <w:rFonts w:ascii="宋体" w:hAnsi="宋体" w:cs="宋体"/>
                <w:bCs/>
                <w:color w:val="auto"/>
                <w:kern w:val="0"/>
                <w:sz w:val="24"/>
              </w:rPr>
            </w:pPr>
            <w:r>
              <w:rPr>
                <w:rFonts w:hint="eastAsia" w:ascii="宋体" w:hAnsi="宋体" w:cs="宋体"/>
                <w:bCs/>
                <w:color w:val="auto"/>
                <w:kern w:val="0"/>
                <w:sz w:val="24"/>
              </w:rPr>
              <w:t>投标人或软件产品制造商自2021年1月1日至今以来承担的类似建设项目案例，提供有效合同复印件证明。每提供1项业绩案例得1分，满分1分。</w:t>
            </w:r>
          </w:p>
          <w:p w14:paraId="06F94BE4">
            <w:pPr>
              <w:adjustRightInd/>
              <w:spacing w:line="288" w:lineRule="auto"/>
              <w:rPr>
                <w:rFonts w:ascii="宋体" w:hAnsi="宋体" w:cs="宋体"/>
                <w:bCs/>
                <w:color w:val="auto"/>
                <w:kern w:val="0"/>
                <w:sz w:val="24"/>
              </w:rPr>
            </w:pPr>
            <w:r>
              <w:rPr>
                <w:rFonts w:hint="eastAsia" w:ascii="宋体" w:hAnsi="宋体" w:cs="宋体"/>
                <w:b/>
                <w:color w:val="auto"/>
                <w:kern w:val="0"/>
                <w:sz w:val="24"/>
              </w:rPr>
              <w:t>注：投标文件须提供相关证明材料作为佐证，未提供的或无法证明的本项不得分。</w:t>
            </w:r>
          </w:p>
        </w:tc>
        <w:tc>
          <w:tcPr>
            <w:tcW w:w="705" w:type="dxa"/>
            <w:vAlign w:val="center"/>
          </w:tcPr>
          <w:p w14:paraId="24E126E6">
            <w:pPr>
              <w:adjustRightInd/>
              <w:spacing w:line="228" w:lineRule="auto"/>
              <w:jc w:val="center"/>
              <w:rPr>
                <w:rFonts w:ascii="宋体" w:hAnsi="宋体" w:cs="宋体"/>
                <w:color w:val="auto"/>
                <w:kern w:val="0"/>
                <w:sz w:val="24"/>
              </w:rPr>
            </w:pPr>
            <w:r>
              <w:rPr>
                <w:rFonts w:hint="eastAsia" w:ascii="宋体" w:hAnsi="宋体" w:cs="宋体"/>
                <w:color w:val="auto"/>
                <w:kern w:val="0"/>
                <w:sz w:val="24"/>
              </w:rPr>
              <w:t>1</w:t>
            </w:r>
          </w:p>
        </w:tc>
        <w:tc>
          <w:tcPr>
            <w:tcW w:w="705" w:type="dxa"/>
            <w:vAlign w:val="center"/>
          </w:tcPr>
          <w:p w14:paraId="6C9DFA74">
            <w:pPr>
              <w:adjustRightInd/>
              <w:spacing w:line="228" w:lineRule="auto"/>
              <w:jc w:val="center"/>
              <w:rPr>
                <w:rFonts w:ascii="宋体" w:hAnsi="宋体" w:cs="宋体"/>
                <w:color w:val="auto"/>
                <w:sz w:val="24"/>
              </w:rPr>
            </w:pPr>
            <w:r>
              <w:rPr>
                <w:rFonts w:hint="eastAsia" w:ascii="宋体" w:hAnsi="宋体" w:cs="宋体"/>
                <w:color w:val="auto"/>
                <w:sz w:val="24"/>
              </w:rPr>
              <w:t>客观评审</w:t>
            </w:r>
          </w:p>
        </w:tc>
      </w:tr>
    </w:tbl>
    <w:p w14:paraId="62E9D827">
      <w:pPr>
        <w:widowControl/>
        <w:adjustRightInd/>
        <w:spacing w:line="320" w:lineRule="exact"/>
        <w:jc w:val="left"/>
        <w:rPr>
          <w:rFonts w:ascii="宋体" w:hAnsi="宋体" w:cs="宋体"/>
          <w:bCs/>
          <w:color w:val="auto"/>
          <w:sz w:val="24"/>
        </w:rPr>
      </w:pPr>
      <w:r>
        <w:rPr>
          <w:rFonts w:hint="eastAsia" w:ascii="宋体" w:hAnsi="宋体" w:cs="宋体"/>
          <w:bCs/>
          <w:color w:val="auto"/>
          <w:sz w:val="24"/>
        </w:rPr>
        <w:t>备注：</w:t>
      </w:r>
      <w:r>
        <w:rPr>
          <w:rFonts w:hint="eastAsia" w:ascii="宋体" w:hAnsi="宋体" w:cs="宋体"/>
          <w:b/>
          <w:color w:val="auto"/>
          <w:sz w:val="24"/>
        </w:rPr>
        <w:t>1、演示要求 详见 招标文件“第二部分 投标人须知  7、方案讲解演示”和“第四部分  评标办法 11</w:t>
      </w:r>
      <w:r>
        <w:rPr>
          <w:rFonts w:ascii="宋体" w:hAnsi="宋体" w:cs="宋体"/>
          <w:b/>
          <w:color w:val="auto"/>
          <w:sz w:val="24"/>
        </w:rPr>
        <w:t>、功能演示</w:t>
      </w:r>
      <w:r>
        <w:rPr>
          <w:rFonts w:hint="eastAsia" w:ascii="宋体" w:hAnsi="宋体" w:cs="宋体"/>
          <w:b/>
          <w:color w:val="auto"/>
          <w:sz w:val="24"/>
        </w:rPr>
        <w:t>”。</w:t>
      </w:r>
      <w:r>
        <w:rPr>
          <w:rFonts w:hint="eastAsia" w:ascii="宋体" w:hAnsi="宋体" w:cs="宋体"/>
          <w:bCs/>
          <w:color w:val="auto"/>
          <w:sz w:val="24"/>
        </w:rPr>
        <w:t>2、投标人编制投标文件（商务技术文件部分）时，建议按此目录（序号和内容）提供评标标准相应的商务技术资料。3、小数点后保留一位数。4、各评标委员会成员自行按以上参考分值评分。5、重大事件由评标委员会集体讨论，应当按照少数服从多数的原则作出结论。</w:t>
      </w:r>
    </w:p>
    <w:p w14:paraId="40162C7B">
      <w:pPr>
        <w:widowControl/>
        <w:adjustRightInd/>
        <w:spacing w:line="320" w:lineRule="exact"/>
        <w:jc w:val="left"/>
        <w:rPr>
          <w:rFonts w:ascii="宋体" w:hAnsi="宋体" w:cs="宋体"/>
          <w:bCs/>
          <w:color w:val="auto"/>
          <w:sz w:val="24"/>
        </w:rPr>
      </w:pPr>
      <w:r>
        <w:rPr>
          <w:rFonts w:hint="eastAsia" w:ascii="宋体" w:hAnsi="宋体" w:cs="宋体"/>
          <w:b/>
          <w:bCs/>
          <w:color w:val="auto"/>
          <w:sz w:val="32"/>
          <w:szCs w:val="40"/>
        </w:rPr>
        <w:br w:type="page"/>
      </w:r>
    </w:p>
    <w:p w14:paraId="2DB53C22">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14:paraId="1CD0A8D7">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0BE9F456">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14:paraId="294F2B82">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5D44F0C4">
      <w:pPr>
        <w:spacing w:line="360" w:lineRule="auto"/>
        <w:rPr>
          <w:rFonts w:ascii="宋体" w:hAnsi="宋体" w:cs="宋体"/>
          <w:b/>
          <w:color w:val="auto"/>
          <w:sz w:val="36"/>
          <w:szCs w:val="36"/>
        </w:rPr>
      </w:pPr>
      <w:r>
        <w:rPr>
          <w:rFonts w:hint="eastAsia" w:ascii="宋体" w:hAnsi="宋体" w:cs="宋体"/>
          <w:b/>
          <w:color w:val="auto"/>
          <w:sz w:val="36"/>
          <w:szCs w:val="36"/>
        </w:rPr>
        <w:t>三、评标程序</w:t>
      </w:r>
    </w:p>
    <w:p w14:paraId="38D5878A">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72BD8808">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6C187F02">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02CD6358">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14:paraId="1C68E4F0">
      <w:pPr>
        <w:pStyle w:val="132"/>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14:paraId="7F2386FB">
      <w:pPr>
        <w:pStyle w:val="132"/>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14:paraId="10FE3A15">
      <w:pPr>
        <w:pStyle w:val="132"/>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14:paraId="0406E484">
      <w:pPr>
        <w:pStyle w:val="132"/>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14:paraId="177947DD">
      <w:pPr>
        <w:pStyle w:val="132"/>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22C6ADB2">
      <w:pPr>
        <w:pStyle w:val="132"/>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3.4.1.5同时出现两种以上不一致的，按照3.4.1规定的顺序修正。修正后的报价按照财政部第87号令《政府采购货物和服务招标投标管理办法》第五十一条第二款的规定经投标人确认后产生约束力。</w:t>
      </w:r>
    </w:p>
    <w:p w14:paraId="3B025949">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64281444">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709E713B">
      <w:pPr>
        <w:pStyle w:val="132"/>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96AE04B">
      <w:pPr>
        <w:pStyle w:val="132"/>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42B5A76">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b/>
          <w:bCs/>
          <w:color w:val="auto"/>
          <w:kern w:val="0"/>
          <w:sz w:val="24"/>
        </w:rPr>
        <w:t>有效投标投标人数量等于3家时，中标候选人数量为1家；有效投标投标人数量等于4家时，中标候选人数量为2家；有效投标投标人数量大于等于5家时，中标候选人数量为3家。</w:t>
      </w:r>
    </w:p>
    <w:p w14:paraId="6E3A4A10">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D3848EA">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35211A7">
      <w:pPr>
        <w:widowControl/>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14:paraId="7E7BE292">
      <w:pPr>
        <w:pStyle w:val="132"/>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1AFF000">
      <w:pPr>
        <w:pStyle w:val="3"/>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0597359A">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14:paraId="14F0035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14:paraId="56BC71B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1662C51C">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14:paraId="663077EB">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14:paraId="6C756DC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4.2.6投标文件出现不是唯一的、有选择性投标报价的；</w:t>
      </w:r>
    </w:p>
    <w:p w14:paraId="70014B59">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p>
    <w:p w14:paraId="7CB4907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4.2.8报价明显低于其他通过符合性审查投标人的报价（低于项目预算50%的），有可能影响产品质量或者不能诚信履约的，未能按要求提供书面说明或者提交相关证明材料，不能证明其报价合理性的；</w:t>
      </w:r>
    </w:p>
    <w:p w14:paraId="3616035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14:paraId="0589D9D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14:paraId="14762B41">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4.2.11投标人有恶意串通、妨碍其他投标人的竞争行为、损害采购人或者其他投标人的合法权益情形的；</w:t>
      </w:r>
    </w:p>
    <w:p w14:paraId="1466078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4.2.12投标人仅提交备份投标文件，未在电子交易平台传输递交投标文件的，投标无效；</w:t>
      </w:r>
    </w:p>
    <w:p w14:paraId="293C62C6">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4.2.13 投标文件不满足招标文件的其它实质性要求的；</w:t>
      </w:r>
    </w:p>
    <w:p w14:paraId="0CA60266">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4.2.14法律、法规、规章（适用本市的）及省级以上规范性文件（适用本市的）规定的其他无效情形。</w:t>
      </w:r>
    </w:p>
    <w:p w14:paraId="57B6CCEF">
      <w:pPr>
        <w:pStyle w:val="3"/>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1AE0CA6A">
      <w:pPr>
        <w:pStyle w:val="3"/>
        <w:snapToGrid w:val="0"/>
        <w:spacing w:line="360" w:lineRule="auto"/>
        <w:rPr>
          <w:rFonts w:cs="宋体"/>
          <w:color w:val="auto"/>
        </w:rPr>
      </w:pPr>
      <w:r>
        <w:rPr>
          <w:rFonts w:hint="eastAsia" w:cs="宋体"/>
          <w:color w:val="auto"/>
        </w:rPr>
        <w:t>5.1符合专业条件的投标人或者对招标文件作实质响应的投标人不足3家的；</w:t>
      </w:r>
    </w:p>
    <w:p w14:paraId="3CC1F2F7">
      <w:pPr>
        <w:pStyle w:val="3"/>
        <w:snapToGrid w:val="0"/>
        <w:spacing w:line="360" w:lineRule="auto"/>
        <w:rPr>
          <w:rFonts w:cs="宋体"/>
          <w:color w:val="auto"/>
        </w:rPr>
      </w:pPr>
      <w:r>
        <w:rPr>
          <w:rFonts w:hint="eastAsia" w:cs="宋体"/>
          <w:color w:val="auto"/>
        </w:rPr>
        <w:t>5.2出现影响采购公正的违法、违规行为的；</w:t>
      </w:r>
    </w:p>
    <w:p w14:paraId="7792B8E1">
      <w:pPr>
        <w:pStyle w:val="3"/>
        <w:snapToGrid w:val="0"/>
        <w:spacing w:line="360" w:lineRule="auto"/>
        <w:rPr>
          <w:rFonts w:cs="宋体"/>
          <w:color w:val="auto"/>
        </w:rPr>
      </w:pPr>
      <w:r>
        <w:rPr>
          <w:rFonts w:hint="eastAsia" w:cs="宋体"/>
          <w:color w:val="auto"/>
        </w:rPr>
        <w:t>5.3投标人的报价均超过了采购预算，采购人不能支付的；</w:t>
      </w:r>
    </w:p>
    <w:p w14:paraId="52CB970F">
      <w:pPr>
        <w:pStyle w:val="3"/>
        <w:snapToGrid w:val="0"/>
        <w:spacing w:line="360" w:lineRule="auto"/>
        <w:rPr>
          <w:rFonts w:cs="宋体"/>
          <w:color w:val="auto"/>
        </w:rPr>
      </w:pPr>
      <w:r>
        <w:rPr>
          <w:rFonts w:hint="eastAsia" w:cs="宋体"/>
          <w:color w:val="auto"/>
        </w:rPr>
        <w:t>5.4因重大变故，采购任务取消的。</w:t>
      </w:r>
    </w:p>
    <w:p w14:paraId="676EF616">
      <w:pPr>
        <w:pStyle w:val="3"/>
        <w:snapToGrid w:val="0"/>
        <w:spacing w:line="360" w:lineRule="auto"/>
        <w:rPr>
          <w:rFonts w:cs="宋体"/>
          <w:color w:val="auto"/>
        </w:rPr>
      </w:pPr>
      <w:r>
        <w:rPr>
          <w:rFonts w:hint="eastAsia" w:cs="宋体"/>
          <w:color w:val="auto"/>
        </w:rPr>
        <w:t>废标后，采购代理机构应当将废标理由通知所有投标人。</w:t>
      </w:r>
    </w:p>
    <w:p w14:paraId="26E38974">
      <w:pPr>
        <w:pStyle w:val="3"/>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21CEA5B">
      <w:pPr>
        <w:pStyle w:val="3"/>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2A5755EA">
      <w:pPr>
        <w:pStyle w:val="3"/>
        <w:snapToGrid w:val="0"/>
        <w:spacing w:line="360" w:lineRule="auto"/>
        <w:rPr>
          <w:rFonts w:cs="宋体"/>
          <w:color w:val="auto"/>
        </w:rPr>
      </w:pPr>
      <w:r>
        <w:rPr>
          <w:rFonts w:hint="eastAsia" w:cs="宋体"/>
          <w:color w:val="auto"/>
        </w:rPr>
        <w:t>7.1未确定中标人的，终止本次政府采购活动，重新开展政府采购活动。</w:t>
      </w:r>
    </w:p>
    <w:p w14:paraId="7387B5F8">
      <w:pPr>
        <w:pStyle w:val="3"/>
        <w:snapToGrid w:val="0"/>
        <w:spacing w:line="360" w:lineRule="auto"/>
        <w:rPr>
          <w:rFonts w:cs="宋体"/>
          <w:color w:val="auto"/>
        </w:rPr>
      </w:pPr>
      <w:r>
        <w:rPr>
          <w:rFonts w:hint="eastAsia" w:cs="宋体"/>
          <w:color w:val="auto"/>
        </w:rPr>
        <w:t>7.2已确定中标人但尚未签订政府采购合同的，中标结果无效，从合格的中标候选人中另行确定中标人；没有合格的中标候选人的，重新开展政府采购活动。</w:t>
      </w:r>
    </w:p>
    <w:p w14:paraId="385CD245">
      <w:pPr>
        <w:pStyle w:val="3"/>
        <w:snapToGrid w:val="0"/>
        <w:spacing w:line="360" w:lineRule="auto"/>
        <w:rPr>
          <w:rFonts w:cs="宋体"/>
          <w:color w:val="auto"/>
        </w:rPr>
      </w:pPr>
      <w:r>
        <w:rPr>
          <w:rFonts w:hint="eastAsia" w:cs="宋体"/>
          <w:color w:val="auto"/>
        </w:rPr>
        <w:t>7.3政府采购合同已签订但尚未履行的，撤销合同，从合格的中标候选人中另行确定中标人；没有合格的中标候选人的，重新开展政府采购活动。</w:t>
      </w:r>
    </w:p>
    <w:p w14:paraId="5BFB7F8D">
      <w:pPr>
        <w:pStyle w:val="3"/>
        <w:snapToGrid w:val="0"/>
        <w:spacing w:line="360" w:lineRule="auto"/>
        <w:rPr>
          <w:rFonts w:cs="宋体"/>
          <w:color w:val="auto"/>
        </w:rPr>
      </w:pPr>
      <w:r>
        <w:rPr>
          <w:rFonts w:hint="eastAsia" w:cs="宋体"/>
          <w:color w:val="auto"/>
        </w:rPr>
        <w:t>7.4政府采购合同已经履行，给采购人、投标人造成损失的，由责任人承担赔偿责任。</w:t>
      </w:r>
    </w:p>
    <w:p w14:paraId="5A591FEF">
      <w:pPr>
        <w:pStyle w:val="3"/>
        <w:snapToGrid w:val="0"/>
        <w:spacing w:line="360" w:lineRule="auto"/>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p w14:paraId="282AFA41">
      <w:pPr>
        <w:pStyle w:val="3"/>
        <w:snapToGrid w:val="0"/>
        <w:spacing w:line="360" w:lineRule="auto"/>
        <w:ind w:firstLine="0" w:firstLineChars="0"/>
        <w:rPr>
          <w:rFonts w:cs="宋体"/>
          <w:color w:val="auto"/>
        </w:rPr>
      </w:pPr>
    </w:p>
    <w:bookmarkEnd w:id="33"/>
    <w:p w14:paraId="13CF4EB5">
      <w:pPr>
        <w:spacing w:line="360" w:lineRule="auto"/>
        <w:ind w:left="720" w:leftChars="343" w:firstLine="1084" w:firstLineChars="300"/>
        <w:rPr>
          <w:rFonts w:ascii="宋体" w:hAnsi="宋体" w:cs="宋体"/>
          <w:b/>
          <w:color w:val="auto"/>
          <w:sz w:val="36"/>
          <w:szCs w:val="36"/>
        </w:rPr>
      </w:pPr>
      <w:bookmarkStart w:id="405" w:name="第五部分"/>
      <w:bookmarkStart w:id="406" w:name="_Toc86217003"/>
    </w:p>
    <w:p w14:paraId="130B26FC">
      <w:pPr>
        <w:rPr>
          <w:rFonts w:ascii="宋体" w:hAnsi="宋体" w:cs="宋体"/>
          <w:b/>
          <w:color w:val="auto"/>
          <w:sz w:val="36"/>
          <w:szCs w:val="36"/>
        </w:rPr>
      </w:pPr>
      <w:r>
        <w:rPr>
          <w:rFonts w:hint="eastAsia" w:ascii="宋体" w:hAnsi="宋体" w:cs="宋体"/>
          <w:b/>
          <w:color w:val="auto"/>
          <w:sz w:val="36"/>
          <w:szCs w:val="36"/>
        </w:rPr>
        <w:br w:type="page"/>
      </w:r>
    </w:p>
    <w:p w14:paraId="2DE351FD">
      <w:pPr>
        <w:spacing w:line="360" w:lineRule="auto"/>
        <w:ind w:left="720" w:leftChars="343" w:firstLine="1084" w:firstLineChars="300"/>
        <w:outlineLvl w:val="0"/>
        <w:rPr>
          <w:rFonts w:ascii="宋体" w:hAnsi="宋体" w:cs="宋体"/>
          <w:b/>
          <w:color w:val="auto"/>
          <w:sz w:val="36"/>
          <w:szCs w:val="36"/>
        </w:rPr>
      </w:pPr>
      <w:bookmarkStart w:id="407" w:name="_Toc8264"/>
      <w:r>
        <w:rPr>
          <w:rFonts w:hint="eastAsia" w:ascii="宋体" w:hAnsi="宋体" w:cs="宋体"/>
          <w:b/>
          <w:color w:val="auto"/>
          <w:sz w:val="36"/>
          <w:szCs w:val="36"/>
        </w:rPr>
        <w:t>第五部分 拟签订的合同文本</w:t>
      </w:r>
      <w:bookmarkEnd w:id="407"/>
    </w:p>
    <w:p w14:paraId="04CD127B">
      <w:pPr>
        <w:rPr>
          <w:rFonts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14:paraId="4A4ABBAB">
      <w:pPr>
        <w:spacing w:line="480" w:lineRule="auto"/>
        <w:jc w:val="center"/>
        <w:rPr>
          <w:rFonts w:ascii="宋体" w:hAnsi="宋体" w:cs="宋体"/>
          <w:b/>
          <w:color w:val="auto"/>
          <w:sz w:val="28"/>
          <w:szCs w:val="28"/>
        </w:rPr>
      </w:pPr>
    </w:p>
    <w:p w14:paraId="300E77CC">
      <w:pPr>
        <w:spacing w:line="480" w:lineRule="auto"/>
        <w:jc w:val="center"/>
        <w:rPr>
          <w:rFonts w:ascii="宋体" w:hAnsi="宋体" w:cs="宋体"/>
          <w:b/>
          <w:color w:val="auto"/>
          <w:sz w:val="24"/>
        </w:rPr>
      </w:pPr>
    </w:p>
    <w:p w14:paraId="36169D6F">
      <w:pPr>
        <w:spacing w:line="480" w:lineRule="auto"/>
        <w:jc w:val="center"/>
        <w:rPr>
          <w:rFonts w:ascii="宋体" w:hAnsi="宋体" w:cs="宋体"/>
          <w:b/>
          <w:color w:val="auto"/>
          <w:sz w:val="24"/>
        </w:rPr>
      </w:pPr>
    </w:p>
    <w:p w14:paraId="1CA27A60">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14:paraId="203D808E">
      <w:pPr>
        <w:spacing w:line="480" w:lineRule="auto"/>
        <w:jc w:val="center"/>
        <w:rPr>
          <w:rFonts w:ascii="宋体" w:hAnsi="宋体" w:cs="宋体"/>
          <w:b/>
          <w:color w:val="auto"/>
          <w:sz w:val="36"/>
          <w:szCs w:val="36"/>
        </w:rPr>
      </w:pPr>
      <w:r>
        <w:rPr>
          <w:rFonts w:hint="eastAsia" w:ascii="宋体" w:hAnsi="宋体" w:cs="宋体"/>
          <w:b/>
          <w:color w:val="auto"/>
          <w:sz w:val="36"/>
          <w:szCs w:val="36"/>
        </w:rPr>
        <w:t>（服务类）</w:t>
      </w:r>
    </w:p>
    <w:p w14:paraId="72798C98">
      <w:pPr>
        <w:pStyle w:val="699"/>
        <w:rPr>
          <w:rFonts w:ascii="宋体" w:hAnsi="宋体" w:cs="宋体"/>
          <w:color w:val="auto"/>
          <w:szCs w:val="24"/>
        </w:rPr>
      </w:pPr>
    </w:p>
    <w:p w14:paraId="3C138839">
      <w:pPr>
        <w:pStyle w:val="699"/>
        <w:rPr>
          <w:rFonts w:ascii="宋体" w:hAnsi="宋体" w:cs="宋体"/>
          <w:color w:val="auto"/>
          <w:szCs w:val="24"/>
        </w:rPr>
      </w:pPr>
    </w:p>
    <w:p w14:paraId="545DC6DA">
      <w:pPr>
        <w:pStyle w:val="699"/>
        <w:jc w:val="center"/>
        <w:rPr>
          <w:rFonts w:ascii="宋体" w:hAnsi="宋体" w:cs="宋体"/>
          <w:color w:val="auto"/>
          <w:szCs w:val="24"/>
        </w:rPr>
      </w:pPr>
    </w:p>
    <w:p w14:paraId="2CA2725D">
      <w:pPr>
        <w:pStyle w:val="699"/>
        <w:ind w:firstLine="2843" w:firstLineChars="1180"/>
        <w:rPr>
          <w:rFonts w:ascii="宋体" w:hAnsi="宋体" w:cs="宋体"/>
          <w:b/>
          <w:color w:val="auto"/>
          <w:szCs w:val="24"/>
        </w:rPr>
      </w:pPr>
      <w:r>
        <w:rPr>
          <w:rFonts w:hint="eastAsia" w:ascii="宋体" w:hAnsi="宋体" w:cs="宋体"/>
          <w:b/>
          <w:color w:val="auto"/>
          <w:szCs w:val="24"/>
        </w:rPr>
        <w:t>第一部分 合同书</w:t>
      </w:r>
    </w:p>
    <w:p w14:paraId="6F0A131A">
      <w:pPr>
        <w:pStyle w:val="699"/>
        <w:rPr>
          <w:rFonts w:ascii="宋体" w:hAnsi="宋体" w:cs="宋体"/>
          <w:color w:val="auto"/>
          <w:szCs w:val="24"/>
        </w:rPr>
      </w:pPr>
    </w:p>
    <w:p w14:paraId="708BCAEC">
      <w:pPr>
        <w:spacing w:before="120" w:line="22" w:lineRule="atLeast"/>
        <w:ind w:firstLine="960" w:firstLineChars="400"/>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宁波市医疗中心李惠利医院临床数据库科研平台建设项目                  </w:t>
      </w:r>
    </w:p>
    <w:p w14:paraId="3DF4B0F4">
      <w:pPr>
        <w:adjustRightInd/>
        <w:spacing w:before="120" w:line="22" w:lineRule="atLeast"/>
        <w:rPr>
          <w:rFonts w:ascii="宋体" w:hAnsi="宋体" w:cs="宋体"/>
          <w:color w:val="auto"/>
          <w:sz w:val="24"/>
        </w:rPr>
      </w:pPr>
    </w:p>
    <w:p w14:paraId="6F3545CC">
      <w:pPr>
        <w:spacing w:before="120" w:line="22" w:lineRule="atLeast"/>
        <w:ind w:left="960"/>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宁波市医疗中心李惠利医院                              </w:t>
      </w:r>
    </w:p>
    <w:p w14:paraId="69C3960C">
      <w:pPr>
        <w:spacing w:before="120" w:line="22" w:lineRule="atLeast"/>
        <w:rPr>
          <w:rFonts w:ascii="宋体" w:hAnsi="宋体" w:cs="宋体"/>
          <w:color w:val="auto"/>
          <w:sz w:val="24"/>
        </w:rPr>
      </w:pPr>
    </w:p>
    <w:p w14:paraId="0F603CC7">
      <w:pPr>
        <w:spacing w:before="120" w:line="22" w:lineRule="atLeast"/>
        <w:ind w:left="960"/>
        <w:rPr>
          <w:rFonts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14:paraId="7A085FC7">
      <w:pPr>
        <w:spacing w:before="120" w:line="22" w:lineRule="atLeast"/>
        <w:rPr>
          <w:rFonts w:ascii="宋体" w:hAnsi="宋体" w:cs="宋体"/>
          <w:color w:val="auto"/>
          <w:sz w:val="24"/>
        </w:rPr>
      </w:pPr>
    </w:p>
    <w:p w14:paraId="2E4F4C0E">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宁波市                                      </w:t>
      </w:r>
    </w:p>
    <w:p w14:paraId="33258B2E">
      <w:pPr>
        <w:spacing w:before="120" w:line="22" w:lineRule="atLeast"/>
        <w:rPr>
          <w:rFonts w:ascii="宋体" w:hAnsi="宋体" w:cs="宋体"/>
          <w:color w:val="auto"/>
          <w:sz w:val="24"/>
        </w:rPr>
      </w:pPr>
    </w:p>
    <w:p w14:paraId="4259323C">
      <w:pPr>
        <w:spacing w:before="120" w:line="22" w:lineRule="atLeast"/>
        <w:ind w:firstLine="960" w:firstLineChars="400"/>
        <w:rPr>
          <w:rFonts w:ascii="宋体" w:hAnsi="宋体" w:cs="宋体"/>
          <w:color w:val="auto"/>
          <w:sz w:val="24"/>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72E90F6B">
      <w:pPr>
        <w:pStyle w:val="82"/>
        <w:ind w:firstLine="480"/>
        <w:rPr>
          <w:color w:val="auto"/>
        </w:rPr>
      </w:pPr>
    </w:p>
    <w:p w14:paraId="72018417">
      <w:pPr>
        <w:spacing w:line="360" w:lineRule="auto"/>
        <w:ind w:firstLine="480" w:firstLineChars="200"/>
        <w:rPr>
          <w:rFonts w:ascii="宋体" w:hAnsi="宋体" w:cs="宋体"/>
          <w:color w:val="auto"/>
          <w:sz w:val="24"/>
          <w:u w:val="single"/>
          <w:lang w:val="zh-CN"/>
        </w:rPr>
      </w:pPr>
    </w:p>
    <w:p w14:paraId="3F3548E3">
      <w:pPr>
        <w:spacing w:line="360" w:lineRule="auto"/>
        <w:ind w:firstLine="480" w:firstLineChars="200"/>
        <w:rPr>
          <w:rFonts w:ascii="宋体" w:hAnsi="宋体" w:cs="宋体"/>
          <w:color w:val="auto"/>
          <w:sz w:val="24"/>
          <w:u w:val="single"/>
          <w:lang w:val="zh-CN"/>
        </w:rPr>
      </w:pPr>
    </w:p>
    <w:p w14:paraId="7A3A00E8">
      <w:pPr>
        <w:spacing w:line="360" w:lineRule="auto"/>
        <w:ind w:firstLine="480" w:firstLineChars="200"/>
        <w:rPr>
          <w:rFonts w:ascii="宋体" w:hAnsi="宋体"/>
          <w:color w:val="auto"/>
          <w:sz w:val="24"/>
          <w:u w:val="single"/>
          <w:lang w:val="zh-CN"/>
        </w:rPr>
      </w:pPr>
    </w:p>
    <w:p w14:paraId="1E41B952">
      <w:pPr>
        <w:spacing w:line="360" w:lineRule="auto"/>
        <w:ind w:firstLine="480" w:firstLineChars="200"/>
        <w:rPr>
          <w:rFonts w:ascii="宋体" w:hAnsi="宋体"/>
          <w:color w:val="auto"/>
          <w:sz w:val="24"/>
          <w:u w:val="single"/>
          <w:lang w:val="zh-CN"/>
        </w:rPr>
      </w:pPr>
    </w:p>
    <w:p w14:paraId="5A6F4E23">
      <w:pPr>
        <w:spacing w:line="360" w:lineRule="auto"/>
        <w:ind w:firstLine="480" w:firstLineChars="200"/>
        <w:rPr>
          <w:rFonts w:ascii="宋体" w:hAnsi="宋体"/>
          <w:color w:val="auto"/>
          <w:sz w:val="24"/>
          <w:u w:val="single"/>
          <w:lang w:val="zh-CN"/>
        </w:rPr>
      </w:pPr>
    </w:p>
    <w:p w14:paraId="7B157C43">
      <w:pPr>
        <w:spacing w:line="360" w:lineRule="auto"/>
        <w:ind w:firstLine="480" w:firstLineChars="200"/>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u w:val="single"/>
        </w:rPr>
        <w:t>2024</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u w:val="single"/>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olor w:val="auto"/>
          <w:sz w:val="24"/>
          <w:u w:val="single"/>
        </w:rPr>
        <w:t>宁波市医疗中心李惠利医院</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w:t>
      </w:r>
      <w:r>
        <w:rPr>
          <w:rFonts w:hint="eastAsia" w:ascii="宋体" w:hAnsi="宋体"/>
          <w:color w:val="auto"/>
          <w:sz w:val="24"/>
          <w:u w:val="single"/>
        </w:rPr>
        <w:t>公开招标</w:t>
      </w:r>
      <w:r>
        <w:rPr>
          <w:rFonts w:ascii="宋体" w:hAnsi="宋体"/>
          <w:color w:val="auto"/>
          <w:sz w:val="24"/>
          <w:u w:val="single"/>
        </w:rPr>
        <w:t xml:space="preserve"> </w:t>
      </w:r>
      <w:r>
        <w:rPr>
          <w:rFonts w:hint="eastAsia" w:ascii="宋体" w:hAnsi="宋体"/>
          <w:color w:val="auto"/>
          <w:sz w:val="24"/>
        </w:rPr>
        <w:t>对</w:t>
      </w:r>
      <w:r>
        <w:rPr>
          <w:rFonts w:ascii="宋体" w:hAnsi="宋体"/>
          <w:color w:val="auto"/>
          <w:sz w:val="24"/>
          <w:u w:val="single"/>
        </w:rPr>
        <w:t xml:space="preserve"> </w:t>
      </w:r>
      <w:r>
        <w:rPr>
          <w:rFonts w:hint="eastAsia" w:ascii="宋体" w:hAnsi="宋体"/>
          <w:color w:val="auto"/>
          <w:sz w:val="24"/>
          <w:u w:val="single"/>
        </w:rPr>
        <w:t>宁波市医疗中心李惠利医院临床数据库科研平台建设项目</w:t>
      </w:r>
      <w:r>
        <w:rPr>
          <w:rFonts w:ascii="宋体" w:hAnsi="宋体"/>
          <w:color w:val="auto"/>
          <w:sz w:val="24"/>
          <w:u w:val="single"/>
        </w:rPr>
        <w:t xml:space="preserve"> </w:t>
      </w:r>
      <w:r>
        <w:rPr>
          <w:rFonts w:hint="eastAsia" w:ascii="宋体" w:hAnsi="宋体"/>
          <w:color w:val="auto"/>
          <w:sz w:val="24"/>
        </w:rPr>
        <w:t>进行了采购。经</w:t>
      </w:r>
      <w:r>
        <w:rPr>
          <w:rFonts w:hint="eastAsia" w:ascii="宋体" w:hAnsi="宋体"/>
          <w:color w:val="auto"/>
          <w:sz w:val="24"/>
          <w:u w:val="single"/>
        </w:rPr>
        <w:t>评标委员会</w:t>
      </w:r>
      <w:r>
        <w:rPr>
          <w:rFonts w:hint="eastAsia" w:ascii="宋体" w:hAnsi="宋体"/>
          <w:color w:val="auto"/>
          <w:sz w:val="24"/>
        </w:rPr>
        <w:t>评定，</w:t>
      </w:r>
      <w:r>
        <w:rPr>
          <w:rFonts w:ascii="宋体" w:hAnsi="宋体"/>
          <w:color w:val="auto"/>
          <w:sz w:val="24"/>
          <w:u w:val="single"/>
        </w:rPr>
        <w:t xml:space="preserve">   （</w:t>
      </w:r>
      <w:r>
        <w:rPr>
          <w:rFonts w:hint="eastAsia" w:ascii="宋体" w:hAnsi="宋体"/>
          <w:color w:val="auto"/>
          <w:sz w:val="24"/>
          <w:u w:val="single"/>
        </w:rPr>
        <w:t>中标人</w:t>
      </w:r>
      <w:r>
        <w:rPr>
          <w:rFonts w:ascii="宋体" w:hAnsi="宋体"/>
          <w:color w:val="auto"/>
          <w:sz w:val="24"/>
          <w:u w:val="single"/>
        </w:rPr>
        <w:t xml:space="preserve">名称） </w:t>
      </w:r>
      <w:r>
        <w:rPr>
          <w:rFonts w:hint="eastAsia" w:ascii="宋体" w:hAnsi="宋体"/>
          <w:color w:val="auto"/>
          <w:sz w:val="24"/>
        </w:rPr>
        <w:t>为该项目</w:t>
      </w:r>
      <w:r>
        <w:rPr>
          <w:rFonts w:hint="eastAsia" w:ascii="宋体" w:hAnsi="宋体" w:cs="宋体"/>
          <w:color w:val="auto"/>
          <w:sz w:val="24"/>
        </w:rPr>
        <w:t>中标人</w:t>
      </w:r>
      <w:r>
        <w:rPr>
          <w:rFonts w:hint="eastAsia" w:ascii="宋体" w:hAnsi="宋体"/>
          <w:color w:val="auto"/>
          <w:sz w:val="24"/>
        </w:rPr>
        <w:t>。</w:t>
      </w:r>
    </w:p>
    <w:p w14:paraId="024D1798">
      <w:pPr>
        <w:spacing w:line="360" w:lineRule="auto"/>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w:t>
      </w:r>
      <w:r>
        <w:rPr>
          <w:rFonts w:hint="eastAsia" w:ascii="宋体" w:hAnsi="宋体"/>
          <w:color w:val="auto"/>
          <w:sz w:val="24"/>
          <w:u w:val="single"/>
        </w:rPr>
        <w:t>宁波市医疗中心李惠利医院</w:t>
      </w:r>
      <w:r>
        <w:rPr>
          <w:rFonts w:ascii="宋体" w:hAnsi="宋体"/>
          <w:color w:val="auto"/>
          <w:sz w:val="24"/>
          <w:u w:val="single"/>
        </w:rPr>
        <w:t xml:space="preserve"> </w:t>
      </w:r>
      <w:r>
        <w:rPr>
          <w:rFonts w:ascii="宋体" w:hAnsi="宋体"/>
          <w:color w:val="auto"/>
          <w:sz w:val="24"/>
          <w:lang w:val="zh-CN"/>
        </w:rPr>
        <w:t>(以下简称：甲方)和</w:t>
      </w:r>
      <w:r>
        <w:rPr>
          <w:rFonts w:ascii="宋体" w:hAnsi="宋体"/>
          <w:color w:val="auto"/>
          <w:sz w:val="24"/>
          <w:u w:val="single"/>
        </w:rPr>
        <w:t xml:space="preserve">   （</w:t>
      </w:r>
      <w:r>
        <w:rPr>
          <w:rFonts w:hint="eastAsia" w:ascii="宋体" w:hAnsi="宋体"/>
          <w:color w:val="auto"/>
          <w:sz w:val="24"/>
          <w:u w:val="single"/>
        </w:rPr>
        <w:t>中标人</w:t>
      </w:r>
      <w:r>
        <w:rPr>
          <w:rFonts w:ascii="宋体" w:hAnsi="宋体"/>
          <w:color w:val="auto"/>
          <w:sz w:val="24"/>
          <w:u w:val="single"/>
        </w:rPr>
        <w:t xml:space="preserve">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14:paraId="628EE26E">
      <w:pPr>
        <w:spacing w:line="360" w:lineRule="auto"/>
        <w:ind w:firstLine="482" w:firstLineChars="200"/>
        <w:outlineLvl w:val="0"/>
        <w:rPr>
          <w:rFonts w:ascii="宋体" w:hAnsi="宋体"/>
          <w:color w:val="auto"/>
          <w:sz w:val="24"/>
        </w:rPr>
      </w:pPr>
      <w:bookmarkStart w:id="408" w:name="_Toc19273"/>
      <w:bookmarkStart w:id="409" w:name="_Toc15367"/>
      <w:bookmarkStart w:id="410" w:name="_Toc20421"/>
      <w:bookmarkStart w:id="411" w:name="_Toc28855"/>
      <w:bookmarkStart w:id="412" w:name="_Toc22967"/>
      <w:r>
        <w:rPr>
          <w:rFonts w:ascii="宋体" w:hAnsi="宋体"/>
          <w:b/>
          <w:color w:val="auto"/>
          <w:sz w:val="24"/>
        </w:rPr>
        <w:t xml:space="preserve">1.1 </w:t>
      </w:r>
      <w:r>
        <w:rPr>
          <w:rFonts w:hint="eastAsia" w:ascii="宋体" w:hAnsi="宋体"/>
          <w:b/>
          <w:color w:val="auto"/>
          <w:sz w:val="24"/>
        </w:rPr>
        <w:t>合同组成部分</w:t>
      </w:r>
      <w:bookmarkEnd w:id="408"/>
      <w:bookmarkEnd w:id="409"/>
      <w:bookmarkEnd w:id="410"/>
      <w:bookmarkEnd w:id="411"/>
      <w:bookmarkEnd w:id="412"/>
    </w:p>
    <w:p w14:paraId="1E91895B">
      <w:pPr>
        <w:spacing w:line="360" w:lineRule="auto"/>
        <w:ind w:firstLine="480" w:firstLineChars="200"/>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下列文件为本合同的组成部分，并构成一个整体，需综合解释、相互补充。如果下列文件内容出现不一致的情形，那么在保证按照招标文件确定的事项的前提下，组成本合同的多个文件的优先适用顺序如下：</w:t>
      </w:r>
    </w:p>
    <w:p w14:paraId="504F280C">
      <w:pPr>
        <w:spacing w:line="360" w:lineRule="auto"/>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14:paraId="07C032D9">
      <w:pPr>
        <w:spacing w:line="360" w:lineRule="auto"/>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中标通知书；</w:t>
      </w:r>
    </w:p>
    <w:p w14:paraId="736B642E">
      <w:pPr>
        <w:spacing w:line="360" w:lineRule="auto"/>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投标文件（含澄清或者说明文件）；</w:t>
      </w:r>
    </w:p>
    <w:p w14:paraId="79EF1F22">
      <w:pPr>
        <w:spacing w:line="360" w:lineRule="auto"/>
        <w:ind w:firstLine="480" w:firstLineChars="200"/>
        <w:rPr>
          <w:rFonts w:ascii="宋体" w:hAnsi="宋体"/>
          <w:color w:val="auto"/>
          <w:sz w:val="24"/>
        </w:rPr>
      </w:pPr>
      <w:r>
        <w:rPr>
          <w:rFonts w:ascii="宋体" w:hAnsi="宋体"/>
          <w:color w:val="auto"/>
          <w:sz w:val="24"/>
        </w:rPr>
        <w:t xml:space="preserve">1.1.4 </w:t>
      </w:r>
      <w:r>
        <w:rPr>
          <w:rFonts w:hint="eastAsia" w:ascii="宋体" w:hAnsi="宋体"/>
          <w:color w:val="auto"/>
          <w:sz w:val="24"/>
        </w:rPr>
        <w:t>招标文件（含澄清或者修改文件）；</w:t>
      </w:r>
    </w:p>
    <w:p w14:paraId="658A673E">
      <w:pPr>
        <w:spacing w:line="360" w:lineRule="auto"/>
        <w:ind w:firstLine="480" w:firstLineChars="200"/>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其他相关招标文件。</w:t>
      </w:r>
    </w:p>
    <w:p w14:paraId="09A79429">
      <w:pPr>
        <w:spacing w:line="360" w:lineRule="auto"/>
        <w:ind w:firstLine="482" w:firstLineChars="200"/>
        <w:outlineLvl w:val="0"/>
        <w:rPr>
          <w:rFonts w:ascii="宋体" w:hAnsi="宋体"/>
          <w:b/>
          <w:color w:val="auto"/>
          <w:sz w:val="24"/>
        </w:rPr>
      </w:pPr>
      <w:bookmarkStart w:id="413" w:name="_Toc2918"/>
      <w:bookmarkStart w:id="414" w:name="_Toc6773"/>
      <w:bookmarkStart w:id="415" w:name="_Toc18585"/>
      <w:bookmarkStart w:id="416" w:name="_Toc6311"/>
      <w:bookmarkStart w:id="417" w:name="_Toc22185"/>
      <w:r>
        <w:rPr>
          <w:rFonts w:ascii="宋体" w:hAnsi="宋体"/>
          <w:b/>
          <w:color w:val="auto"/>
          <w:sz w:val="24"/>
        </w:rPr>
        <w:t xml:space="preserve">1.2 </w:t>
      </w:r>
      <w:r>
        <w:rPr>
          <w:rFonts w:hint="eastAsia" w:ascii="宋体" w:hAnsi="宋体"/>
          <w:b/>
          <w:color w:val="auto"/>
          <w:sz w:val="24"/>
        </w:rPr>
        <w:t>标的</w:t>
      </w:r>
      <w:bookmarkEnd w:id="413"/>
      <w:bookmarkEnd w:id="414"/>
      <w:bookmarkEnd w:id="415"/>
      <w:bookmarkEnd w:id="416"/>
      <w:bookmarkEnd w:id="417"/>
    </w:p>
    <w:p w14:paraId="7CEBAC2D">
      <w:pPr>
        <w:spacing w:line="360" w:lineRule="auto"/>
        <w:ind w:firstLine="480" w:firstLineChars="200"/>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hint="eastAsia" w:ascii="宋体" w:hAnsi="宋体"/>
          <w:color w:val="auto"/>
          <w:sz w:val="24"/>
          <w:u w:val="single"/>
        </w:rPr>
        <w:t xml:space="preserve">           </w:t>
      </w:r>
      <w:r>
        <w:rPr>
          <w:rFonts w:hint="eastAsia" w:ascii="宋体" w:hAnsi="宋体"/>
          <w:color w:val="auto"/>
          <w:sz w:val="24"/>
        </w:rPr>
        <w:t>；</w:t>
      </w:r>
    </w:p>
    <w:p w14:paraId="78393EE5">
      <w:pPr>
        <w:spacing w:line="360" w:lineRule="auto"/>
        <w:ind w:firstLine="480" w:firstLineChars="200"/>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hint="eastAsia" w:ascii="宋体" w:hAnsi="宋体"/>
          <w:color w:val="auto"/>
          <w:sz w:val="24"/>
          <w:u w:val="single"/>
        </w:rPr>
        <w:t xml:space="preserve">            </w:t>
      </w:r>
      <w:r>
        <w:rPr>
          <w:rFonts w:hint="eastAsia" w:ascii="宋体" w:hAnsi="宋体"/>
          <w:color w:val="auto"/>
          <w:sz w:val="24"/>
        </w:rPr>
        <w:t>；</w:t>
      </w:r>
    </w:p>
    <w:p w14:paraId="472EBD78">
      <w:pPr>
        <w:spacing w:line="360" w:lineRule="auto"/>
        <w:ind w:firstLine="480" w:firstLineChars="200"/>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hint="eastAsia" w:ascii="宋体" w:hAnsi="宋体"/>
          <w:color w:val="auto"/>
          <w:sz w:val="24"/>
          <w:u w:val="single"/>
        </w:rPr>
        <w:t xml:space="preserve">                             ；</w:t>
      </w:r>
    </w:p>
    <w:p w14:paraId="67277C2F">
      <w:pPr>
        <w:spacing w:line="360" w:lineRule="auto"/>
        <w:ind w:firstLine="480" w:firstLineChars="200"/>
        <w:jc w:val="left"/>
        <w:rPr>
          <w:rFonts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14:paraId="70D3FDE0">
      <w:pPr>
        <w:spacing w:line="360" w:lineRule="auto"/>
        <w:ind w:firstLine="482" w:firstLineChars="200"/>
        <w:outlineLvl w:val="0"/>
        <w:rPr>
          <w:rFonts w:ascii="宋体" w:hAnsi="宋体" w:cs="宋体"/>
          <w:color w:val="auto"/>
          <w:sz w:val="24"/>
        </w:rPr>
      </w:pPr>
      <w:bookmarkStart w:id="418" w:name="_Toc4929"/>
      <w:bookmarkStart w:id="419" w:name="_Toc13918"/>
      <w:bookmarkStart w:id="420" w:name="_Toc5635"/>
      <w:bookmarkStart w:id="421" w:name="_Toc1386"/>
      <w:bookmarkStart w:id="422" w:name="_Toc21124"/>
      <w:r>
        <w:rPr>
          <w:rFonts w:ascii="宋体" w:hAnsi="宋体"/>
          <w:b/>
          <w:color w:val="auto"/>
          <w:sz w:val="24"/>
        </w:rPr>
        <w:t>1.3 价款</w:t>
      </w:r>
      <w:bookmarkEnd w:id="418"/>
      <w:bookmarkEnd w:id="419"/>
      <w:bookmarkEnd w:id="420"/>
      <w:bookmarkEnd w:id="421"/>
      <w:bookmarkEnd w:id="422"/>
      <w:bookmarkStart w:id="423" w:name="_Toc1814"/>
      <w:bookmarkStart w:id="424" w:name="_Toc10340"/>
      <w:bookmarkStart w:id="425" w:name="_Toc22618"/>
      <w:bookmarkStart w:id="426" w:name="_Toc11108"/>
      <w:bookmarkStart w:id="427" w:name="_Toc8772"/>
      <w:bookmarkStart w:id="428" w:name="_Toc4760"/>
      <w:bookmarkStart w:id="429" w:name="_Toc31421"/>
      <w:bookmarkStart w:id="430" w:name="_Toc3625"/>
      <w:r>
        <w:rPr>
          <w:rFonts w:hint="eastAsia" w:ascii="宋体" w:hAnsi="宋体" w:cs="宋体"/>
          <w:color w:val="auto"/>
          <w:sz w:val="24"/>
        </w:rPr>
        <w:br w:type="textWrapping"/>
      </w:r>
      <w:r>
        <w:rPr>
          <w:rFonts w:hint="eastAsia" w:ascii="宋体" w:hAnsi="宋体" w:cs="宋体"/>
          <w:color w:val="auto"/>
          <w:sz w:val="24"/>
        </w:rPr>
        <w:t xml:space="preserve">    1.3.2合同价（含税）为：￥</w:t>
      </w:r>
      <w:r>
        <w:rPr>
          <w:rFonts w:hint="eastAsia" w:ascii="宋体" w:hAnsi="宋体" w:cs="宋体"/>
          <w:color w:val="auto"/>
          <w:sz w:val="24"/>
          <w:u w:val="single"/>
        </w:rPr>
        <w:t xml:space="preserve">           </w:t>
      </w:r>
      <w:r>
        <w:rPr>
          <w:rFonts w:hint="eastAsia" w:ascii="宋体" w:hAnsi="宋体" w:cs="宋体"/>
          <w:color w:val="auto"/>
          <w:sz w:val="24"/>
        </w:rPr>
        <w:t xml:space="preserve">元（大写： </w:t>
      </w:r>
      <w:r>
        <w:rPr>
          <w:rFonts w:hint="eastAsia" w:ascii="宋体" w:hAnsi="宋体" w:cs="宋体"/>
          <w:color w:val="auto"/>
          <w:sz w:val="24"/>
          <w:u w:val="single"/>
        </w:rPr>
        <w:t xml:space="preserve">                </w:t>
      </w:r>
      <w:r>
        <w:rPr>
          <w:rFonts w:hint="eastAsia" w:ascii="宋体" w:hAnsi="宋体" w:cs="宋体"/>
          <w:color w:val="auto"/>
          <w:sz w:val="24"/>
        </w:rPr>
        <w:t>元人民币）。</w:t>
      </w:r>
    </w:p>
    <w:p w14:paraId="0FBF5C4F">
      <w:pPr>
        <w:spacing w:line="360" w:lineRule="auto"/>
        <w:ind w:firstLine="482" w:firstLineChars="200"/>
        <w:outlineLvl w:val="0"/>
        <w:rPr>
          <w:rFonts w:ascii="宋体" w:hAnsi="宋体"/>
          <w:b/>
          <w:color w:val="auto"/>
          <w:sz w:val="24"/>
        </w:rPr>
      </w:pPr>
      <w:r>
        <w:rPr>
          <w:rFonts w:hint="eastAsia" w:ascii="宋体" w:hAnsi="宋体"/>
          <w:b/>
          <w:color w:val="auto"/>
          <w:sz w:val="24"/>
        </w:rPr>
        <w:t>1.4履约保证金</w:t>
      </w:r>
    </w:p>
    <w:p w14:paraId="3B4505C3">
      <w:pPr>
        <w:spacing w:line="360" w:lineRule="auto"/>
        <w:ind w:firstLine="480" w:firstLineChars="200"/>
        <w:rPr>
          <w:rFonts w:ascii="宋体" w:hAnsi="宋体" w:cs="宋体"/>
          <w:color w:val="auto"/>
          <w:sz w:val="24"/>
        </w:rPr>
      </w:pPr>
      <w:r>
        <w:rPr>
          <w:rFonts w:hint="eastAsia" w:ascii="宋体" w:hAnsi="宋体" w:cs="宋体"/>
          <w:color w:val="auto"/>
          <w:sz w:val="24"/>
        </w:rPr>
        <w:t>乙方</w:t>
      </w:r>
      <w:r>
        <w:rPr>
          <w:rFonts w:hint="eastAsia" w:ascii="宋体" w:hAnsi="宋体" w:cs="宋体"/>
          <w:color w:val="auto"/>
          <w:sz w:val="24"/>
          <w:u w:val="single"/>
        </w:rPr>
        <w:t xml:space="preserve"> 否 </w:t>
      </w:r>
      <w:r>
        <w:rPr>
          <w:rFonts w:hint="eastAsia" w:ascii="宋体" w:hAnsi="宋体" w:cs="宋体"/>
          <w:color w:val="auto"/>
          <w:sz w:val="24"/>
        </w:rPr>
        <w:t>需要支付履约保证金。</w:t>
      </w:r>
    </w:p>
    <w:p w14:paraId="61FAD31E">
      <w:pPr>
        <w:spacing w:line="360" w:lineRule="auto"/>
        <w:ind w:firstLine="482" w:firstLineChars="200"/>
        <w:outlineLvl w:val="0"/>
        <w:rPr>
          <w:rFonts w:ascii="宋体" w:hAnsi="宋体" w:cs="宋体"/>
          <w:b/>
          <w:color w:val="auto"/>
          <w:sz w:val="24"/>
        </w:rPr>
      </w:pPr>
      <w:r>
        <w:rPr>
          <w:rFonts w:hint="eastAsia" w:ascii="宋体" w:hAnsi="宋体" w:cs="宋体"/>
          <w:b/>
          <w:color w:val="auto"/>
          <w:sz w:val="24"/>
        </w:rPr>
        <w:t>1.5</w:t>
      </w:r>
      <w:bookmarkEnd w:id="423"/>
      <w:bookmarkEnd w:id="424"/>
      <w:bookmarkEnd w:id="425"/>
      <w:r>
        <w:rPr>
          <w:rFonts w:hint="eastAsia" w:ascii="宋体" w:hAnsi="宋体"/>
          <w:b/>
          <w:color w:val="auto"/>
          <w:sz w:val="24"/>
        </w:rPr>
        <w:t>预付款</w:t>
      </w:r>
    </w:p>
    <w:p w14:paraId="6E821876">
      <w:pPr>
        <w:widowControl/>
        <w:adjustRightInd/>
        <w:spacing w:line="360" w:lineRule="auto"/>
        <w:ind w:firstLine="480"/>
        <w:jc w:val="left"/>
        <w:rPr>
          <w:rFonts w:ascii="宋体" w:hAnsi="宋体"/>
          <w:b/>
          <w:iCs/>
          <w:color w:val="auto"/>
          <w:sz w:val="24"/>
          <w:u w:val="single"/>
        </w:rPr>
      </w:pPr>
      <w:r>
        <w:rPr>
          <w:rFonts w:hint="eastAsia" w:ascii="宋体" w:hAnsi="宋体" w:cs="宋体"/>
          <w:color w:val="auto"/>
          <w:kern w:val="0"/>
          <w:sz w:val="24"/>
        </w:rPr>
        <w:t>1.5.1预付款比例、支付方式、时间：</w:t>
      </w:r>
      <w:r>
        <w:rPr>
          <w:rFonts w:hint="eastAsia" w:ascii="宋体" w:hAnsi="宋体" w:cs="宋体"/>
          <w:color w:val="auto"/>
          <w:kern w:val="0"/>
          <w:sz w:val="24"/>
          <w:u w:val="single"/>
        </w:rPr>
        <w:t xml:space="preserve"> </w:t>
      </w:r>
      <w:r>
        <w:rPr>
          <w:rFonts w:hint="eastAsia" w:ascii="宋体" w:hAnsi="宋体"/>
          <w:b/>
          <w:iCs/>
          <w:color w:val="auto"/>
          <w:sz w:val="24"/>
          <w:u w:val="single"/>
        </w:rPr>
        <w:t>合同生效且具备实施条件后，七个工作日内支付年度合同金额的40%作为预付款；</w:t>
      </w:r>
    </w:p>
    <w:p w14:paraId="0FF15CA8">
      <w:pPr>
        <w:spacing w:line="360" w:lineRule="auto"/>
        <w:ind w:firstLine="482" w:firstLineChars="200"/>
        <w:outlineLvl w:val="0"/>
        <w:rPr>
          <w:rFonts w:ascii="宋体" w:hAnsi="宋体"/>
          <w:b/>
          <w:color w:val="auto"/>
          <w:sz w:val="24"/>
        </w:rPr>
      </w:pPr>
    </w:p>
    <w:p w14:paraId="397C6130">
      <w:pPr>
        <w:spacing w:line="360" w:lineRule="auto"/>
        <w:ind w:firstLine="482" w:firstLineChars="200"/>
        <w:outlineLvl w:val="0"/>
        <w:rPr>
          <w:rFonts w:ascii="宋体" w:hAnsi="宋体"/>
          <w:b/>
          <w:color w:val="auto"/>
          <w:sz w:val="24"/>
        </w:rPr>
      </w:pPr>
      <w:r>
        <w:rPr>
          <w:rFonts w:ascii="宋体" w:hAnsi="宋体"/>
          <w:b/>
          <w:color w:val="auto"/>
          <w:sz w:val="24"/>
        </w:rPr>
        <w:t>1.</w:t>
      </w:r>
      <w:r>
        <w:rPr>
          <w:rFonts w:hint="eastAsia" w:ascii="宋体" w:hAnsi="宋体"/>
          <w:b/>
          <w:color w:val="auto"/>
          <w:sz w:val="24"/>
        </w:rPr>
        <w:t>6</w:t>
      </w:r>
      <w:r>
        <w:rPr>
          <w:rFonts w:ascii="宋体" w:hAnsi="宋体"/>
          <w:b/>
          <w:color w:val="auto"/>
          <w:sz w:val="24"/>
        </w:rPr>
        <w:t xml:space="preserve"> 履行期限</w:t>
      </w:r>
      <w:r>
        <w:rPr>
          <w:rFonts w:hint="eastAsia" w:ascii="宋体" w:hAnsi="宋体"/>
          <w:b/>
          <w:color w:val="auto"/>
          <w:sz w:val="24"/>
        </w:rPr>
        <w:t>、地点和方式</w:t>
      </w:r>
      <w:bookmarkEnd w:id="426"/>
      <w:bookmarkEnd w:id="427"/>
      <w:bookmarkEnd w:id="428"/>
      <w:bookmarkEnd w:id="429"/>
      <w:bookmarkEnd w:id="430"/>
    </w:p>
    <w:p w14:paraId="73A94534">
      <w:pPr>
        <w:spacing w:line="360" w:lineRule="auto"/>
        <w:ind w:firstLine="480" w:firstLineChars="200"/>
        <w:rPr>
          <w:rFonts w:ascii="宋体" w:hAnsi="宋体"/>
          <w:color w:val="auto"/>
          <w:sz w:val="24"/>
          <w:u w:val="single"/>
        </w:rPr>
      </w:pPr>
      <w:bookmarkStart w:id="431" w:name="_Toc2375"/>
      <w:bookmarkStart w:id="432" w:name="_Toc3079"/>
      <w:bookmarkStart w:id="433" w:name="_Toc24662"/>
      <w:bookmarkStart w:id="434" w:name="_Toc8586"/>
      <w:bookmarkStart w:id="435" w:name="_Toc5698"/>
      <w:r>
        <w:rPr>
          <w:rFonts w:ascii="宋体" w:hAnsi="宋体"/>
          <w:color w:val="auto"/>
          <w:sz w:val="24"/>
        </w:rPr>
        <w:t>1.</w:t>
      </w:r>
      <w:r>
        <w:rPr>
          <w:rFonts w:hint="eastAsia" w:ascii="宋体" w:hAnsi="宋体"/>
          <w:color w:val="auto"/>
          <w:sz w:val="24"/>
        </w:rPr>
        <w:t>6</w:t>
      </w:r>
      <w:r>
        <w:rPr>
          <w:rFonts w:ascii="宋体" w:hAnsi="宋体"/>
          <w:color w:val="auto"/>
          <w:sz w:val="24"/>
        </w:rPr>
        <w:t xml:space="preserve">.1 </w:t>
      </w:r>
      <w:r>
        <w:rPr>
          <w:rFonts w:hint="eastAsia" w:ascii="宋体" w:hAnsi="宋体"/>
          <w:color w:val="auto"/>
          <w:sz w:val="24"/>
        </w:rPr>
        <w:t>服务时间</w:t>
      </w:r>
      <w:r>
        <w:rPr>
          <w:rFonts w:ascii="宋体" w:hAnsi="宋体"/>
          <w:color w:val="auto"/>
          <w:sz w:val="24"/>
        </w:rPr>
        <w:t>：</w:t>
      </w:r>
      <w:r>
        <w:rPr>
          <w:rFonts w:hint="eastAsia" w:ascii="宋体" w:hAnsi="宋体"/>
          <w:b/>
          <w:iCs/>
          <w:color w:val="auto"/>
          <w:sz w:val="24"/>
          <w:u w:val="single"/>
        </w:rPr>
        <w:t>自合同签订之日起3个月内完成平台定制开发、调试，并通过甲方验收</w:t>
      </w:r>
      <w:r>
        <w:rPr>
          <w:rFonts w:hint="eastAsia" w:ascii="宋体" w:hAnsi="宋体"/>
          <w:color w:val="auto"/>
          <w:sz w:val="24"/>
        </w:rPr>
        <w:t>；</w:t>
      </w:r>
    </w:p>
    <w:p w14:paraId="3FD0C2C4">
      <w:pPr>
        <w:spacing w:line="360" w:lineRule="auto"/>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6</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务地点：</w:t>
      </w:r>
      <w:r>
        <w:rPr>
          <w:rFonts w:hint="eastAsia" w:ascii="宋体" w:hAnsi="宋体"/>
          <w:b/>
          <w:iCs/>
          <w:color w:val="auto"/>
          <w:sz w:val="24"/>
          <w:u w:val="single"/>
        </w:rPr>
        <w:t>宁波市医疗中心李惠利医院；</w:t>
      </w:r>
    </w:p>
    <w:p w14:paraId="46CCC22D">
      <w:pPr>
        <w:spacing w:line="360" w:lineRule="auto"/>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6</w:t>
      </w:r>
      <w:r>
        <w:rPr>
          <w:rFonts w:ascii="宋体" w:hAnsi="宋体"/>
          <w:color w:val="auto"/>
          <w:sz w:val="24"/>
        </w:rPr>
        <w:t xml:space="preserve">.3 </w:t>
      </w:r>
      <w:r>
        <w:rPr>
          <w:rFonts w:hint="eastAsia" w:ascii="宋体" w:hAnsi="宋体"/>
          <w:color w:val="auto"/>
          <w:sz w:val="24"/>
        </w:rPr>
        <w:t>服务方式：</w:t>
      </w:r>
      <w:r>
        <w:rPr>
          <w:rFonts w:hint="eastAsia" w:ascii="宋体" w:hAnsi="宋体"/>
          <w:b/>
          <w:iCs/>
          <w:color w:val="auto"/>
          <w:sz w:val="24"/>
          <w:u w:val="single"/>
        </w:rPr>
        <w:t>甲方指定方式</w:t>
      </w:r>
      <w:r>
        <w:rPr>
          <w:rFonts w:hint="eastAsia" w:ascii="宋体" w:hAnsi="宋体"/>
          <w:color w:val="auto"/>
          <w:sz w:val="24"/>
        </w:rPr>
        <w:t>。</w:t>
      </w:r>
    </w:p>
    <w:p w14:paraId="3842248B">
      <w:pPr>
        <w:spacing w:line="360" w:lineRule="auto"/>
        <w:ind w:firstLine="482" w:firstLineChars="200"/>
        <w:outlineLvl w:val="0"/>
        <w:rPr>
          <w:rFonts w:ascii="宋体" w:hAnsi="宋体"/>
          <w:color w:val="auto"/>
          <w:sz w:val="24"/>
          <w:u w:val="single"/>
        </w:rPr>
      </w:pPr>
      <w:r>
        <w:rPr>
          <w:rFonts w:ascii="宋体" w:hAnsi="宋体"/>
          <w:b/>
          <w:color w:val="auto"/>
          <w:sz w:val="24"/>
        </w:rPr>
        <w:t>1.</w:t>
      </w:r>
      <w:r>
        <w:rPr>
          <w:rFonts w:hint="eastAsia" w:ascii="宋体" w:hAnsi="宋体"/>
          <w:b/>
          <w:color w:val="auto"/>
          <w:sz w:val="24"/>
        </w:rPr>
        <w:t>7违约责任</w:t>
      </w:r>
      <w:bookmarkEnd w:id="431"/>
      <w:bookmarkEnd w:id="432"/>
      <w:bookmarkEnd w:id="433"/>
      <w:bookmarkEnd w:id="434"/>
      <w:bookmarkEnd w:id="435"/>
    </w:p>
    <w:p w14:paraId="5C80CD6C">
      <w:pPr>
        <w:spacing w:line="360" w:lineRule="auto"/>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14:paraId="54559BC6">
      <w:pPr>
        <w:spacing w:line="360" w:lineRule="auto"/>
        <w:ind w:firstLine="480" w:firstLineChars="200"/>
        <w:rPr>
          <w:rFonts w:ascii="宋体" w:hAnsi="宋体" w:cs="宋体"/>
          <w:color w:val="auto"/>
          <w:sz w:val="24"/>
        </w:rPr>
      </w:pPr>
      <w:r>
        <w:rPr>
          <w:rFonts w:hint="eastAsia" w:ascii="宋体" w:hAnsi="宋体" w:cs="宋体"/>
          <w:color w:val="auto"/>
          <w:sz w:val="24"/>
        </w:rPr>
        <w:t>1.7.2服务中涉及的货物，除不可抗力外，如果乙方没有按照本合同约定的期限、地点和方式交付货物，那么甲方可要求乙方支付违约金，违约金按每迟延交付货物一日的应交付而未交付货物价格的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u w:val="single"/>
        </w:rPr>
        <w:t xml:space="preserve">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  </w:t>
      </w:r>
      <w:r>
        <w:rPr>
          <w:rFonts w:hint="eastAsia" w:ascii="宋体" w:hAnsi="宋体" w:cs="宋体"/>
          <w:color w:val="auto"/>
          <w:sz w:val="24"/>
        </w:rPr>
        <w:t>%；迟延交付货物的违约金计算数额达到前述最高限额之日起，甲方有权在要求乙方支付违约金的同时，书面通知乙方解除本合同；</w:t>
      </w:r>
    </w:p>
    <w:p w14:paraId="7345D836">
      <w:pPr>
        <w:spacing w:line="360" w:lineRule="auto"/>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w:t>
      </w:r>
      <w:r>
        <w:rPr>
          <w:rFonts w:hint="eastAsia" w:ascii="宋体" w:hAnsi="宋体"/>
          <w:color w:val="auto"/>
          <w:sz w:val="24"/>
        </w:rPr>
        <w:t>要求</w:t>
      </w:r>
      <w:r>
        <w:rPr>
          <w:rFonts w:hint="eastAsia" w:ascii="宋体" w:hAnsi="宋体" w:cs="宋体"/>
          <w:color w:val="auto"/>
          <w:sz w:val="24"/>
        </w:rPr>
        <w:t>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14:paraId="5984954A">
      <w:pPr>
        <w:spacing w:line="360" w:lineRule="auto"/>
        <w:ind w:firstLine="480" w:firstLineChars="200"/>
        <w:rPr>
          <w:rFonts w:ascii="宋体" w:hAnsi="宋体" w:cs="宋体"/>
          <w:color w:val="auto"/>
          <w:sz w:val="24"/>
        </w:rPr>
      </w:pPr>
      <w:bookmarkStart w:id="436" w:name="_Toc30329"/>
      <w:bookmarkStart w:id="437" w:name="_Toc18683"/>
      <w:bookmarkStart w:id="438" w:name="_Toc26807"/>
      <w:bookmarkStart w:id="439" w:name="_Toc9497"/>
      <w:bookmarkStart w:id="440" w:name="_Toc32454"/>
      <w:r>
        <w:rPr>
          <w:rFonts w:hint="eastAsia" w:ascii="宋体" w:hAnsi="宋体" w:cs="宋体"/>
          <w:color w:val="auto"/>
          <w:sz w:val="24"/>
        </w:rPr>
        <w:t>1.7.4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E601385">
      <w:pPr>
        <w:spacing w:line="360" w:lineRule="auto"/>
        <w:ind w:firstLine="480" w:firstLineChars="200"/>
        <w:rPr>
          <w:rFonts w:ascii="宋体" w:hAnsi="宋体" w:cs="宋体"/>
          <w:color w:val="auto"/>
          <w:sz w:val="24"/>
        </w:rPr>
      </w:pPr>
      <w:r>
        <w:rPr>
          <w:rFonts w:hint="eastAsia" w:ascii="宋体" w:hAnsi="宋体" w:cs="宋体"/>
          <w:color w:val="auto"/>
          <w:sz w:val="24"/>
        </w:rPr>
        <w:t>1.7.5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6D9B4C6">
      <w:pPr>
        <w:spacing w:line="360" w:lineRule="auto"/>
        <w:ind w:firstLine="480" w:firstLineChars="200"/>
        <w:rPr>
          <w:rFonts w:ascii="宋体" w:hAnsi="宋体" w:cs="宋体"/>
          <w:color w:val="auto"/>
          <w:sz w:val="24"/>
        </w:rPr>
      </w:pPr>
      <w:r>
        <w:rPr>
          <w:rFonts w:hint="eastAsia" w:ascii="宋体" w:hAnsi="宋体" w:cs="宋体"/>
          <w:color w:val="auto"/>
          <w:sz w:val="24"/>
        </w:rPr>
        <w:t>1.7.6如果出现政府采购监督管理部门在处理投诉事项期间，书面通知甲方暂停采购活动的情形，或者询问或质疑事项可能影响中标或者成交结果的，导致甲方中止履行合同的情形，均不视为甲方违约。</w:t>
      </w:r>
    </w:p>
    <w:p w14:paraId="78F8F980">
      <w:pPr>
        <w:spacing w:line="360" w:lineRule="auto"/>
        <w:ind w:right="-420" w:rightChars="-200" w:firstLine="480" w:firstLineChars="200"/>
        <w:rPr>
          <w:rFonts w:ascii="宋体" w:hAnsi="宋体" w:cs="宋体"/>
          <w:color w:val="auto"/>
        </w:rPr>
      </w:pPr>
      <w:r>
        <w:rPr>
          <w:rFonts w:hint="eastAsia" w:ascii="宋体" w:hAnsi="宋体" w:cs="宋体"/>
          <w:color w:val="auto"/>
          <w:sz w:val="24"/>
        </w:rPr>
        <w:t>1.7.7违约责任</w:t>
      </w:r>
      <w:r>
        <w:rPr>
          <w:rFonts w:hint="eastAsia" w:ascii="宋体" w:hAnsi="宋体" w:cs="宋体"/>
          <w:b/>
          <w:color w:val="auto"/>
          <w:sz w:val="24"/>
          <w:u w:val="single"/>
        </w:rPr>
        <w:t>合同专用条款</w:t>
      </w:r>
      <w:r>
        <w:rPr>
          <w:rFonts w:hint="eastAsia" w:ascii="宋体" w:hAnsi="宋体" w:cs="宋体"/>
          <w:color w:val="auto"/>
          <w:sz w:val="24"/>
        </w:rPr>
        <w:t>另有约定的，从其约定。</w:t>
      </w:r>
    </w:p>
    <w:bookmarkEnd w:id="436"/>
    <w:bookmarkEnd w:id="437"/>
    <w:bookmarkEnd w:id="438"/>
    <w:bookmarkEnd w:id="439"/>
    <w:bookmarkEnd w:id="440"/>
    <w:p w14:paraId="0288A115">
      <w:pPr>
        <w:spacing w:line="360" w:lineRule="auto"/>
        <w:ind w:firstLine="482" w:firstLineChars="200"/>
        <w:outlineLvl w:val="0"/>
        <w:rPr>
          <w:rFonts w:ascii="宋体" w:hAnsi="宋体" w:cs="宋体"/>
          <w:b/>
          <w:color w:val="auto"/>
          <w:sz w:val="24"/>
        </w:rPr>
      </w:pPr>
      <w:bookmarkStart w:id="441" w:name="_Toc15583"/>
      <w:bookmarkStart w:id="442" w:name="_Toc16021"/>
      <w:bookmarkStart w:id="443" w:name="_Toc28375"/>
      <w:r>
        <w:rPr>
          <w:rFonts w:hint="eastAsia" w:ascii="宋体" w:hAnsi="宋体" w:cs="宋体"/>
          <w:b/>
          <w:color w:val="auto"/>
          <w:sz w:val="24"/>
        </w:rPr>
        <w:t>1.8合同争议的解决</w:t>
      </w:r>
      <w:bookmarkEnd w:id="441"/>
      <w:bookmarkEnd w:id="442"/>
      <w:bookmarkEnd w:id="443"/>
    </w:p>
    <w:p w14:paraId="4E986697">
      <w:pPr>
        <w:spacing w:line="360" w:lineRule="auto"/>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color w:val="auto"/>
          <w:sz w:val="24"/>
          <w:u w:val="single"/>
        </w:rPr>
        <w:t xml:space="preserve"> 1.9.2 </w:t>
      </w:r>
      <w:r>
        <w:rPr>
          <w:rFonts w:hint="eastAsia" w:ascii="宋体" w:hAnsi="宋体" w:cs="宋体"/>
          <w:color w:val="auto"/>
          <w:sz w:val="24"/>
        </w:rPr>
        <w:t>条款规定的方式解决：</w:t>
      </w:r>
    </w:p>
    <w:p w14:paraId="47A47F08">
      <w:pPr>
        <w:spacing w:line="360" w:lineRule="auto"/>
        <w:ind w:left="-420" w:leftChars="-200" w:right="-420" w:rightChars="-200" w:firstLine="600" w:firstLineChars="250"/>
        <w:rPr>
          <w:rFonts w:ascii="宋体" w:hAnsi="宋体" w:cs="宋体"/>
          <w:color w:val="auto"/>
          <w:sz w:val="24"/>
        </w:rPr>
      </w:pPr>
      <w:r>
        <w:rPr>
          <w:rFonts w:hint="eastAsia" w:ascii="宋体" w:hAnsi="宋体" w:cs="宋体"/>
          <w:color w:val="auto"/>
          <w:sz w:val="24"/>
        </w:rPr>
        <w:t>1.8.1 将争议提交</w:t>
      </w:r>
      <w:r>
        <w:rPr>
          <w:rFonts w:hint="eastAsia" w:ascii="宋体" w:hAnsi="宋体" w:cs="宋体"/>
          <w:b/>
          <w:color w:val="auto"/>
          <w:sz w:val="24"/>
          <w:u w:val="single"/>
        </w:rPr>
        <w:t>合同专用条款</w:t>
      </w:r>
      <w:r>
        <w:rPr>
          <w:rFonts w:hint="eastAsia" w:ascii="宋体" w:hAnsi="宋体" w:cs="宋体"/>
          <w:color w:val="auto"/>
          <w:sz w:val="24"/>
        </w:rPr>
        <w:t>仲裁委员会依申请仲裁时其现行有效的仲裁规则裁决；</w:t>
      </w:r>
    </w:p>
    <w:p w14:paraId="0CAA2E06">
      <w:pPr>
        <w:spacing w:line="360" w:lineRule="auto"/>
        <w:ind w:left="-420" w:leftChars="-200" w:right="-420" w:rightChars="-200" w:firstLine="600" w:firstLineChars="250"/>
        <w:rPr>
          <w:rFonts w:ascii="宋体" w:hAnsi="宋体" w:cs="宋体"/>
          <w:color w:val="auto"/>
          <w:sz w:val="24"/>
        </w:rPr>
      </w:pPr>
      <w:r>
        <w:rPr>
          <w:rFonts w:hint="eastAsia" w:ascii="宋体" w:hAnsi="宋体" w:cs="宋体"/>
          <w:color w:val="auto"/>
          <w:sz w:val="24"/>
        </w:rPr>
        <w:t>1.8.2 向</w:t>
      </w:r>
      <w:r>
        <w:rPr>
          <w:rFonts w:hint="eastAsia" w:ascii="宋体" w:hAnsi="宋体" w:cs="宋体"/>
          <w:b/>
          <w:color w:val="auto"/>
          <w:sz w:val="24"/>
          <w:u w:val="single"/>
        </w:rPr>
        <w:t>合同专用条款</w:t>
      </w:r>
      <w:r>
        <w:rPr>
          <w:rFonts w:hint="eastAsia" w:ascii="宋体" w:hAnsi="宋体" w:cs="宋体"/>
          <w:color w:val="auto"/>
          <w:sz w:val="24"/>
        </w:rPr>
        <w:t>人民法院起诉。</w:t>
      </w:r>
    </w:p>
    <w:p w14:paraId="77B46708">
      <w:pPr>
        <w:spacing w:line="360" w:lineRule="auto"/>
        <w:ind w:firstLine="482" w:firstLineChars="200"/>
        <w:outlineLvl w:val="0"/>
        <w:rPr>
          <w:rFonts w:ascii="宋体" w:hAnsi="宋体" w:cs="宋体"/>
          <w:b/>
          <w:color w:val="auto"/>
          <w:sz w:val="24"/>
        </w:rPr>
      </w:pPr>
      <w:bookmarkStart w:id="444" w:name="_Toc11173"/>
      <w:bookmarkStart w:id="445" w:name="_Toc7245"/>
      <w:bookmarkStart w:id="446" w:name="_Toc15322"/>
      <w:r>
        <w:rPr>
          <w:rFonts w:hint="eastAsia" w:ascii="宋体" w:hAnsi="宋体" w:cs="宋体"/>
          <w:b/>
          <w:color w:val="auto"/>
          <w:sz w:val="24"/>
        </w:rPr>
        <w:t>1.9合同生效</w:t>
      </w:r>
      <w:bookmarkEnd w:id="444"/>
      <w:bookmarkEnd w:id="445"/>
      <w:bookmarkEnd w:id="446"/>
    </w:p>
    <w:p w14:paraId="5EE1895A">
      <w:pPr>
        <w:spacing w:line="360" w:lineRule="auto"/>
        <w:ind w:firstLine="480" w:firstLineChars="200"/>
        <w:rPr>
          <w:rFonts w:ascii="宋体" w:hAnsi="宋体" w:cs="宋体"/>
          <w:b/>
          <w:color w:val="auto"/>
          <w:sz w:val="24"/>
        </w:rPr>
      </w:pPr>
      <w:r>
        <w:rPr>
          <w:rFonts w:hint="eastAsia" w:ascii="宋体" w:hAnsi="宋体" w:cs="宋体"/>
          <w:color w:val="auto"/>
          <w:sz w:val="24"/>
        </w:rPr>
        <w:t>本合同自双方当事人盖章签字时生效。</w:t>
      </w:r>
    </w:p>
    <w:p w14:paraId="0D5F2DD2">
      <w:pPr>
        <w:autoSpaceDE w:val="0"/>
        <w:autoSpaceDN w:val="0"/>
        <w:spacing w:line="560" w:lineRule="exact"/>
        <w:rPr>
          <w:rFonts w:ascii="宋体" w:hAnsi="宋体"/>
          <w:b/>
          <w:color w:val="auto"/>
          <w:sz w:val="24"/>
          <w:lang w:val="zh-CN"/>
        </w:rPr>
      </w:pPr>
    </w:p>
    <w:p w14:paraId="176D88E3">
      <w:pPr>
        <w:autoSpaceDE w:val="0"/>
        <w:autoSpaceDN w:val="0"/>
        <w:spacing w:line="560" w:lineRule="exact"/>
        <w:rPr>
          <w:rFonts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14:paraId="60293DC3">
      <w:pPr>
        <w:autoSpaceDE w:val="0"/>
        <w:autoSpaceDN w:val="0"/>
        <w:spacing w:line="560" w:lineRule="exact"/>
        <w:rPr>
          <w:rFonts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14:paraId="29333EC1">
      <w:pPr>
        <w:autoSpaceDE w:val="0"/>
        <w:autoSpaceDN w:val="0"/>
        <w:spacing w:line="560" w:lineRule="exact"/>
        <w:rPr>
          <w:rFonts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14:paraId="2DFB2E95">
      <w:pPr>
        <w:autoSpaceDE w:val="0"/>
        <w:autoSpaceDN w:val="0"/>
        <w:spacing w:line="560" w:lineRule="exact"/>
        <w:rPr>
          <w:rFonts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14:paraId="1836D403">
      <w:pPr>
        <w:autoSpaceDE w:val="0"/>
        <w:autoSpaceDN w:val="0"/>
        <w:spacing w:line="560" w:lineRule="exact"/>
        <w:rPr>
          <w:rFonts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w:t>
      </w:r>
      <w:r>
        <w:rPr>
          <w:rFonts w:hint="eastAsia" w:ascii="宋体" w:hAnsi="宋体"/>
          <w:color w:val="auto"/>
          <w:sz w:val="24"/>
          <w:lang w:val="zh-CN"/>
        </w:rPr>
        <w:t>：</w:t>
      </w:r>
      <w:r>
        <w:rPr>
          <w:rFonts w:ascii="宋体" w:hAnsi="宋体"/>
          <w:color w:val="auto"/>
          <w:sz w:val="24"/>
          <w:lang w:val="zh-CN"/>
        </w:rPr>
        <w:t xml:space="preserve"> </w:t>
      </w:r>
    </w:p>
    <w:p w14:paraId="0A702E51">
      <w:pPr>
        <w:autoSpaceDE w:val="0"/>
        <w:autoSpaceDN w:val="0"/>
        <w:spacing w:line="560" w:lineRule="exact"/>
        <w:rPr>
          <w:rFonts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14:paraId="0CAD87E3">
      <w:pPr>
        <w:autoSpaceDE w:val="0"/>
        <w:autoSpaceDN w:val="0"/>
        <w:spacing w:line="560" w:lineRule="exact"/>
        <w:rPr>
          <w:rFonts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14:paraId="7842B440">
      <w:pPr>
        <w:autoSpaceDE w:val="0"/>
        <w:autoSpaceDN w:val="0"/>
        <w:spacing w:line="560" w:lineRule="exact"/>
        <w:rPr>
          <w:rFonts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14:paraId="320A0292">
      <w:pPr>
        <w:autoSpaceDE w:val="0"/>
        <w:autoSpaceDN w:val="0"/>
        <w:spacing w:line="560" w:lineRule="exact"/>
        <w:rPr>
          <w:rFonts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w:t>
      </w:r>
      <w:r>
        <w:rPr>
          <w:rFonts w:hint="eastAsia" w:ascii="宋体" w:hAnsi="宋体"/>
          <w:color w:val="auto"/>
          <w:sz w:val="24"/>
          <w:lang w:val="zh-CN"/>
        </w:rPr>
        <w:t>：</w:t>
      </w:r>
      <w:r>
        <w:rPr>
          <w:rFonts w:ascii="宋体" w:hAnsi="宋体"/>
          <w:color w:val="auto"/>
          <w:sz w:val="24"/>
          <w:lang w:val="zh-CN"/>
        </w:rPr>
        <w:t xml:space="preserve"> </w:t>
      </w:r>
    </w:p>
    <w:p w14:paraId="451176AD">
      <w:pPr>
        <w:autoSpaceDE w:val="0"/>
        <w:autoSpaceDN w:val="0"/>
        <w:spacing w:line="560" w:lineRule="exact"/>
        <w:rPr>
          <w:rFonts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p>
    <w:p w14:paraId="4A02AA4E">
      <w:pPr>
        <w:autoSpaceDE w:val="0"/>
        <w:autoSpaceDN w:val="0"/>
        <w:spacing w:line="560" w:lineRule="exact"/>
        <w:rPr>
          <w:rFonts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14:paraId="634C5BE8">
      <w:pPr>
        <w:autoSpaceDE w:val="0"/>
        <w:autoSpaceDN w:val="0"/>
        <w:spacing w:line="560" w:lineRule="exact"/>
        <w:rPr>
          <w:rFonts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14:paraId="036ED0DD">
      <w:pPr>
        <w:autoSpaceDE w:val="0"/>
        <w:autoSpaceDN w:val="0"/>
        <w:spacing w:line="560" w:lineRule="exact"/>
        <w:rPr>
          <w:rFonts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14:paraId="4D4F723F">
      <w:pPr>
        <w:autoSpaceDE w:val="0"/>
        <w:autoSpaceDN w:val="0"/>
        <w:spacing w:line="560" w:lineRule="exact"/>
        <w:rPr>
          <w:rFonts w:ascii="宋体" w:hAnsi="宋体"/>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p w14:paraId="7BDEAB0F">
      <w:pPr>
        <w:widowControl/>
        <w:adjustRightInd/>
        <w:jc w:val="left"/>
        <w:rPr>
          <w:rFonts w:ascii="宋体" w:hAnsi="宋体"/>
          <w:b/>
          <w:color w:val="auto"/>
          <w:sz w:val="24"/>
        </w:rPr>
      </w:pPr>
      <w:r>
        <w:rPr>
          <w:rFonts w:ascii="宋体" w:hAnsi="宋体"/>
          <w:b/>
          <w:color w:val="auto"/>
        </w:rPr>
        <w:br w:type="page"/>
      </w:r>
    </w:p>
    <w:p w14:paraId="285545ED">
      <w:pPr>
        <w:pStyle w:val="699"/>
        <w:spacing w:line="560" w:lineRule="exact"/>
        <w:ind w:firstLine="482"/>
        <w:jc w:val="center"/>
        <w:rPr>
          <w:rFonts w:ascii="宋体" w:hAnsi="宋体" w:cs="宋体"/>
          <w:b/>
          <w:color w:val="auto"/>
          <w:szCs w:val="24"/>
        </w:rPr>
      </w:pPr>
      <w:r>
        <w:rPr>
          <w:rFonts w:hint="eastAsia" w:ascii="宋体" w:hAnsi="宋体" w:cs="宋体"/>
          <w:b/>
          <w:color w:val="auto"/>
          <w:szCs w:val="24"/>
        </w:rPr>
        <w:t>第二部分 合同一般条款</w:t>
      </w:r>
    </w:p>
    <w:p w14:paraId="6A686917">
      <w:pPr>
        <w:spacing w:line="560" w:lineRule="exact"/>
        <w:ind w:firstLine="482" w:firstLineChars="200"/>
        <w:outlineLvl w:val="0"/>
        <w:rPr>
          <w:rFonts w:ascii="宋体" w:hAnsi="宋体"/>
          <w:b/>
          <w:color w:val="auto"/>
          <w:sz w:val="24"/>
        </w:rPr>
      </w:pPr>
      <w:bookmarkStart w:id="447" w:name="_Toc19680"/>
      <w:bookmarkStart w:id="448" w:name="_Toc14021"/>
      <w:bookmarkStart w:id="449" w:name="_Toc25079"/>
      <w:bookmarkStart w:id="450" w:name="_Toc31297"/>
      <w:bookmarkStart w:id="451" w:name="_Toc5228"/>
      <w:r>
        <w:rPr>
          <w:rFonts w:ascii="宋体" w:hAnsi="宋体"/>
          <w:b/>
          <w:color w:val="auto"/>
          <w:sz w:val="24"/>
        </w:rPr>
        <w:t>2.1 定义</w:t>
      </w:r>
      <w:bookmarkEnd w:id="447"/>
      <w:bookmarkEnd w:id="448"/>
      <w:bookmarkEnd w:id="449"/>
      <w:bookmarkEnd w:id="450"/>
      <w:bookmarkEnd w:id="451"/>
    </w:p>
    <w:p w14:paraId="429488F2">
      <w:pPr>
        <w:spacing w:line="560" w:lineRule="exact"/>
        <w:ind w:firstLine="480" w:firstLineChars="200"/>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14:paraId="575693D7">
      <w:pPr>
        <w:spacing w:line="560" w:lineRule="exact"/>
        <w:ind w:firstLine="480" w:firstLineChars="200"/>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hint="eastAsia" w:ascii="宋体" w:hAnsi="宋体"/>
          <w:color w:val="auto"/>
          <w:sz w:val="24"/>
        </w:rPr>
        <w:t>投标人</w:t>
      </w:r>
      <w:r>
        <w:rPr>
          <w:rFonts w:ascii="宋体" w:hAnsi="宋体"/>
          <w:color w:val="auto"/>
          <w:sz w:val="24"/>
        </w:rPr>
        <w:t>签订的载明双方当事人所达成的协议，并包括所有的附件、附录和构成合同的其他文件。</w:t>
      </w:r>
    </w:p>
    <w:p w14:paraId="2F727679">
      <w:pPr>
        <w:spacing w:line="560" w:lineRule="exact"/>
        <w:ind w:firstLine="480" w:firstLineChars="200"/>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hint="eastAsia" w:ascii="宋体" w:hAnsi="宋体"/>
          <w:color w:val="auto"/>
          <w:sz w:val="24"/>
        </w:rPr>
        <w:t>投标人</w:t>
      </w:r>
      <w:r>
        <w:rPr>
          <w:rFonts w:ascii="宋体" w:hAnsi="宋体"/>
          <w:color w:val="auto"/>
          <w:sz w:val="24"/>
        </w:rPr>
        <w:t>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hint="eastAsia" w:ascii="宋体" w:hAnsi="宋体"/>
          <w:color w:val="auto"/>
          <w:sz w:val="24"/>
        </w:rPr>
        <w:t>投标人</w:t>
      </w:r>
      <w:r>
        <w:rPr>
          <w:rFonts w:ascii="宋体" w:hAnsi="宋体"/>
          <w:color w:val="auto"/>
          <w:sz w:val="24"/>
        </w:rPr>
        <w:t>的价格。</w:t>
      </w:r>
    </w:p>
    <w:p w14:paraId="5537D1DA">
      <w:pPr>
        <w:spacing w:line="560" w:lineRule="exact"/>
        <w:ind w:firstLine="480" w:firstLineChars="200"/>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投标人</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14:paraId="597A867D">
      <w:pPr>
        <w:spacing w:line="560" w:lineRule="exact"/>
        <w:ind w:firstLine="480" w:firstLineChars="200"/>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投标人</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14:paraId="4C8651A3">
      <w:pPr>
        <w:spacing w:line="560" w:lineRule="exact"/>
        <w:ind w:firstLine="480" w:firstLineChars="200"/>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hint="eastAsia" w:ascii="宋体" w:hAnsi="宋体"/>
          <w:color w:val="auto"/>
          <w:sz w:val="24"/>
        </w:rPr>
        <w:t>投标人；两个以上的自然人、法人或者其他组织组成一个联合体，以一个投标人的身份共同参加政府采购的，联合体各方均应为乙方或者与乙方相同地位的合同当事人，并就合同约定的事项对甲方承担连带责任。</w:t>
      </w:r>
    </w:p>
    <w:p w14:paraId="57F6A717">
      <w:pPr>
        <w:spacing w:line="560" w:lineRule="exact"/>
        <w:ind w:firstLine="480" w:firstLineChars="200"/>
        <w:rPr>
          <w:rFonts w:ascii="宋体" w:hAnsi="宋体"/>
          <w:color w:val="auto"/>
          <w:sz w:val="24"/>
        </w:rPr>
      </w:pPr>
      <w:r>
        <w:rPr>
          <w:rFonts w:ascii="宋体" w:hAnsi="宋体"/>
          <w:color w:val="auto"/>
          <w:sz w:val="24"/>
        </w:rPr>
        <w:t>2.1.6 “现场”系指合同约定提供服务的地点。</w:t>
      </w:r>
    </w:p>
    <w:p w14:paraId="2C750522">
      <w:pPr>
        <w:spacing w:line="560" w:lineRule="exact"/>
        <w:ind w:firstLine="482" w:firstLineChars="200"/>
        <w:outlineLvl w:val="0"/>
        <w:rPr>
          <w:rFonts w:ascii="宋体" w:hAnsi="宋体"/>
          <w:b/>
          <w:color w:val="auto"/>
          <w:sz w:val="24"/>
        </w:rPr>
      </w:pPr>
      <w:bookmarkStart w:id="452" w:name="_Toc19539"/>
      <w:bookmarkStart w:id="453" w:name="_Toc23289"/>
      <w:bookmarkStart w:id="454" w:name="_Toc31402"/>
      <w:bookmarkStart w:id="455" w:name="_Toc3769"/>
      <w:bookmarkStart w:id="456" w:name="_Toc16752"/>
      <w:r>
        <w:rPr>
          <w:rFonts w:ascii="宋体" w:hAnsi="宋体"/>
          <w:b/>
          <w:color w:val="auto"/>
          <w:sz w:val="24"/>
        </w:rPr>
        <w:t>2.2 技术规范</w:t>
      </w:r>
      <w:bookmarkEnd w:id="452"/>
      <w:bookmarkEnd w:id="453"/>
      <w:bookmarkEnd w:id="454"/>
      <w:bookmarkEnd w:id="455"/>
      <w:bookmarkEnd w:id="456"/>
    </w:p>
    <w:p w14:paraId="2052B2C9">
      <w:pPr>
        <w:spacing w:line="560" w:lineRule="exact"/>
        <w:ind w:firstLine="480" w:firstLineChars="200"/>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14:paraId="1FA17CCC">
      <w:pPr>
        <w:spacing w:line="560" w:lineRule="exact"/>
        <w:ind w:firstLine="482" w:firstLineChars="200"/>
        <w:outlineLvl w:val="0"/>
        <w:rPr>
          <w:rFonts w:ascii="宋体" w:hAnsi="宋体"/>
          <w:b/>
          <w:color w:val="auto"/>
          <w:sz w:val="24"/>
        </w:rPr>
      </w:pPr>
      <w:bookmarkStart w:id="457" w:name="_Toc13673"/>
      <w:bookmarkStart w:id="458" w:name="_Toc12412"/>
      <w:bookmarkStart w:id="459" w:name="_Toc4133"/>
      <w:bookmarkStart w:id="460" w:name="_Toc9161"/>
      <w:bookmarkStart w:id="461" w:name="_Toc27945"/>
      <w:r>
        <w:rPr>
          <w:rFonts w:ascii="宋体" w:hAnsi="宋体"/>
          <w:b/>
          <w:color w:val="auto"/>
          <w:sz w:val="24"/>
        </w:rPr>
        <w:t>2.3 知识产权</w:t>
      </w:r>
      <w:bookmarkEnd w:id="457"/>
      <w:bookmarkEnd w:id="458"/>
      <w:bookmarkEnd w:id="459"/>
      <w:bookmarkEnd w:id="460"/>
      <w:bookmarkEnd w:id="461"/>
    </w:p>
    <w:p w14:paraId="113D654B">
      <w:pPr>
        <w:spacing w:line="560" w:lineRule="exact"/>
        <w:ind w:firstLine="480" w:firstLineChars="200"/>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14:paraId="7B63B726">
      <w:pPr>
        <w:spacing w:line="560" w:lineRule="exact"/>
        <w:ind w:firstLine="482" w:firstLineChars="200"/>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14:paraId="3B7622E4">
      <w:pPr>
        <w:spacing w:line="560" w:lineRule="exact"/>
        <w:ind w:firstLine="480" w:firstLineChars="200"/>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14:paraId="3E2568DC">
      <w:pPr>
        <w:spacing w:line="560" w:lineRule="exact"/>
        <w:ind w:firstLine="480" w:firstLineChars="200"/>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14:paraId="3C348635">
      <w:pPr>
        <w:spacing w:line="560" w:lineRule="exact"/>
        <w:ind w:firstLine="482" w:firstLineChars="200"/>
        <w:outlineLvl w:val="0"/>
        <w:rPr>
          <w:rFonts w:ascii="宋体" w:hAnsi="宋体"/>
          <w:b/>
          <w:color w:val="auto"/>
          <w:sz w:val="24"/>
        </w:rPr>
      </w:pPr>
      <w:bookmarkStart w:id="462" w:name="_Toc31233"/>
      <w:bookmarkStart w:id="463" w:name="_Toc26555"/>
      <w:bookmarkStart w:id="464" w:name="_Toc32670"/>
      <w:bookmarkStart w:id="465" w:name="_Toc15447"/>
      <w:bookmarkStart w:id="466" w:name="_Toc22011"/>
      <w:r>
        <w:rPr>
          <w:rFonts w:ascii="宋体" w:hAnsi="宋体"/>
          <w:b/>
          <w:color w:val="auto"/>
          <w:sz w:val="24"/>
        </w:rPr>
        <w:t>2.5 结算方式和付款条件</w:t>
      </w:r>
      <w:bookmarkEnd w:id="462"/>
      <w:bookmarkEnd w:id="463"/>
      <w:bookmarkEnd w:id="464"/>
      <w:bookmarkEnd w:id="465"/>
      <w:bookmarkEnd w:id="466"/>
    </w:p>
    <w:p w14:paraId="460D6144">
      <w:pPr>
        <w:spacing w:line="560" w:lineRule="exact"/>
        <w:ind w:firstLine="480" w:firstLineChars="200"/>
        <w:rPr>
          <w:rFonts w:ascii="宋体" w:hAnsi="宋体"/>
          <w:color w:val="auto"/>
          <w:sz w:val="24"/>
        </w:rPr>
      </w:pPr>
      <w:bookmarkStart w:id="467" w:name="_Toc16163"/>
      <w:bookmarkStart w:id="468" w:name="_Toc13467"/>
      <w:bookmarkStart w:id="469" w:name="_Toc30507"/>
      <w:bookmarkStart w:id="470" w:name="_Toc13154"/>
      <w:bookmarkStart w:id="471" w:name="_Toc18990"/>
      <w:r>
        <w:rPr>
          <w:rFonts w:hint="eastAsia" w:ascii="宋体" w:hAnsi="宋体"/>
          <w:color w:val="auto"/>
          <w:sz w:val="24"/>
        </w:rPr>
        <w:t>①合同生效且具备实施条件后，七个工作日内支付合同金额的40%作为预付款；（合同签订时乙方主动要求不需要预付款的甲方可以不支付）；</w:t>
      </w:r>
    </w:p>
    <w:p w14:paraId="0A594885">
      <w:pPr>
        <w:spacing w:line="560" w:lineRule="exact"/>
        <w:ind w:firstLine="480" w:firstLineChars="200"/>
        <w:rPr>
          <w:rFonts w:ascii="宋体" w:hAnsi="宋体"/>
          <w:color w:val="auto"/>
          <w:sz w:val="24"/>
        </w:rPr>
      </w:pPr>
      <w:r>
        <w:rPr>
          <w:rFonts w:hint="eastAsia" w:ascii="宋体" w:hAnsi="宋体"/>
          <w:color w:val="auto"/>
          <w:sz w:val="24"/>
        </w:rPr>
        <w:t>②完成平台定制开发、调试，并通过甲方验收后7个工作日内支付合同余款。</w:t>
      </w:r>
    </w:p>
    <w:p w14:paraId="1E3FCF7D">
      <w:pPr>
        <w:spacing w:line="560" w:lineRule="exact"/>
        <w:ind w:firstLine="482" w:firstLineChars="200"/>
        <w:outlineLvl w:val="0"/>
        <w:rPr>
          <w:rFonts w:ascii="宋体" w:hAnsi="宋体"/>
          <w:b/>
          <w:color w:val="auto"/>
          <w:sz w:val="24"/>
        </w:rPr>
      </w:pPr>
      <w:r>
        <w:rPr>
          <w:rFonts w:ascii="宋体" w:hAnsi="宋体"/>
          <w:b/>
          <w:color w:val="auto"/>
          <w:sz w:val="24"/>
        </w:rPr>
        <w:t>2.6 技术资料和保密义务</w:t>
      </w:r>
      <w:bookmarkEnd w:id="467"/>
      <w:bookmarkEnd w:id="468"/>
      <w:bookmarkEnd w:id="469"/>
      <w:bookmarkEnd w:id="470"/>
      <w:bookmarkEnd w:id="471"/>
    </w:p>
    <w:p w14:paraId="1107B898">
      <w:pPr>
        <w:spacing w:line="560" w:lineRule="exact"/>
        <w:ind w:firstLine="480" w:firstLineChars="200"/>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14:paraId="70414BF3">
      <w:pPr>
        <w:spacing w:line="560" w:lineRule="exact"/>
        <w:ind w:firstLine="480" w:firstLineChars="200"/>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14:paraId="140B93FA">
      <w:pPr>
        <w:spacing w:line="560" w:lineRule="exact"/>
        <w:ind w:firstLine="480" w:firstLineChars="200"/>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14:paraId="1B38AA79">
      <w:pPr>
        <w:spacing w:line="560" w:lineRule="exact"/>
        <w:ind w:firstLine="482" w:firstLineChars="200"/>
        <w:outlineLvl w:val="0"/>
        <w:rPr>
          <w:rFonts w:ascii="宋体" w:hAnsi="宋体"/>
          <w:b/>
          <w:color w:val="auto"/>
          <w:sz w:val="24"/>
        </w:rPr>
      </w:pPr>
      <w:bookmarkStart w:id="472" w:name="_Toc19069"/>
      <w:r>
        <w:rPr>
          <w:rFonts w:ascii="宋体" w:hAnsi="宋体"/>
          <w:b/>
          <w:color w:val="auto"/>
          <w:sz w:val="24"/>
        </w:rPr>
        <w:t xml:space="preserve">2.7 </w:t>
      </w:r>
      <w:r>
        <w:rPr>
          <w:rFonts w:hint="eastAsia" w:ascii="宋体" w:hAnsi="宋体"/>
          <w:b/>
          <w:color w:val="auto"/>
          <w:sz w:val="24"/>
        </w:rPr>
        <w:t>质量保证</w:t>
      </w:r>
      <w:bookmarkEnd w:id="472"/>
    </w:p>
    <w:p w14:paraId="67F0B6D3">
      <w:pPr>
        <w:spacing w:line="560" w:lineRule="exact"/>
        <w:ind w:firstLine="480" w:firstLineChars="200"/>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14:paraId="18A2B8D0">
      <w:pPr>
        <w:spacing w:line="560" w:lineRule="exact"/>
        <w:ind w:firstLine="480" w:firstLineChars="200"/>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14:paraId="3598B637">
      <w:pPr>
        <w:spacing w:line="560" w:lineRule="exact"/>
        <w:ind w:firstLine="482" w:firstLineChars="200"/>
        <w:outlineLvl w:val="0"/>
        <w:rPr>
          <w:rFonts w:ascii="宋体" w:hAnsi="宋体"/>
          <w:b/>
          <w:color w:val="auto"/>
          <w:sz w:val="24"/>
        </w:rPr>
      </w:pPr>
      <w:bookmarkStart w:id="473" w:name="_Toc22267"/>
    </w:p>
    <w:p w14:paraId="3E932DBA">
      <w:pPr>
        <w:spacing w:line="560" w:lineRule="exact"/>
        <w:ind w:firstLine="482" w:firstLineChars="200"/>
        <w:outlineLvl w:val="0"/>
        <w:rPr>
          <w:rFonts w:ascii="宋体" w:hAnsi="宋体"/>
          <w:b/>
          <w:color w:val="auto"/>
          <w:sz w:val="24"/>
        </w:rPr>
      </w:pPr>
      <w:r>
        <w:rPr>
          <w:rFonts w:ascii="宋体" w:hAnsi="宋体"/>
          <w:b/>
          <w:color w:val="auto"/>
          <w:sz w:val="24"/>
        </w:rPr>
        <w:t xml:space="preserve">2.8 </w:t>
      </w:r>
      <w:r>
        <w:rPr>
          <w:rFonts w:hint="eastAsia" w:ascii="宋体" w:hAnsi="宋体"/>
          <w:b/>
          <w:color w:val="auto"/>
          <w:sz w:val="24"/>
        </w:rPr>
        <w:t>延迟履行</w:t>
      </w:r>
      <w:bookmarkEnd w:id="473"/>
    </w:p>
    <w:p w14:paraId="2F4E18EE">
      <w:pPr>
        <w:spacing w:line="560" w:lineRule="exact"/>
        <w:ind w:firstLine="480" w:firstLineChars="200"/>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14:paraId="621F2C90">
      <w:pPr>
        <w:spacing w:line="560" w:lineRule="exact"/>
        <w:ind w:firstLine="482" w:firstLineChars="200"/>
        <w:outlineLvl w:val="0"/>
        <w:rPr>
          <w:rFonts w:ascii="宋体" w:hAnsi="宋体"/>
          <w:b/>
          <w:color w:val="auto"/>
          <w:sz w:val="24"/>
        </w:rPr>
      </w:pPr>
      <w:bookmarkStart w:id="474" w:name="_Toc10611"/>
      <w:r>
        <w:rPr>
          <w:rFonts w:ascii="宋体" w:hAnsi="宋体"/>
          <w:b/>
          <w:color w:val="auto"/>
          <w:sz w:val="24"/>
        </w:rPr>
        <w:t xml:space="preserve">2.9 </w:t>
      </w:r>
      <w:r>
        <w:rPr>
          <w:rFonts w:hint="eastAsia" w:ascii="宋体" w:hAnsi="宋体"/>
          <w:b/>
          <w:color w:val="auto"/>
          <w:sz w:val="24"/>
        </w:rPr>
        <w:t>合同变更</w:t>
      </w:r>
      <w:bookmarkEnd w:id="474"/>
    </w:p>
    <w:p w14:paraId="60FD82CD">
      <w:pPr>
        <w:spacing w:line="560" w:lineRule="exact"/>
        <w:ind w:firstLine="480" w:firstLineChars="200"/>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14:paraId="788FE14A">
      <w:pPr>
        <w:spacing w:line="560" w:lineRule="exact"/>
        <w:ind w:firstLine="482" w:firstLineChars="200"/>
        <w:outlineLvl w:val="0"/>
        <w:rPr>
          <w:rFonts w:ascii="宋体" w:hAnsi="宋体"/>
          <w:b/>
          <w:color w:val="auto"/>
          <w:sz w:val="24"/>
        </w:rPr>
      </w:pPr>
      <w:bookmarkStart w:id="475" w:name="_Toc23368"/>
      <w:bookmarkStart w:id="476" w:name="_Toc42"/>
      <w:bookmarkStart w:id="477" w:name="_Toc26689"/>
      <w:bookmarkStart w:id="478" w:name="_Toc21830"/>
      <w:bookmarkStart w:id="479" w:name="_Toc10663"/>
      <w:r>
        <w:rPr>
          <w:rFonts w:ascii="宋体" w:hAnsi="宋体"/>
          <w:b/>
          <w:color w:val="auto"/>
          <w:sz w:val="24"/>
        </w:rPr>
        <w:t>2.10 合同转让和分包</w:t>
      </w:r>
      <w:bookmarkEnd w:id="475"/>
      <w:bookmarkEnd w:id="476"/>
      <w:bookmarkEnd w:id="477"/>
      <w:bookmarkEnd w:id="478"/>
      <w:bookmarkEnd w:id="479"/>
    </w:p>
    <w:p w14:paraId="42C2C686">
      <w:pPr>
        <w:spacing w:line="560" w:lineRule="exact"/>
        <w:ind w:firstLine="480" w:firstLineChars="200"/>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与分包投标人就分包项目向甲方承担连带责任。</w:t>
      </w:r>
    </w:p>
    <w:p w14:paraId="4546D939">
      <w:pPr>
        <w:spacing w:line="560" w:lineRule="exact"/>
        <w:ind w:firstLine="482" w:firstLineChars="200"/>
        <w:outlineLvl w:val="0"/>
        <w:rPr>
          <w:rFonts w:ascii="宋体" w:hAnsi="宋体"/>
          <w:b/>
          <w:color w:val="auto"/>
          <w:sz w:val="24"/>
        </w:rPr>
      </w:pPr>
      <w:bookmarkStart w:id="480" w:name="_Toc32494"/>
      <w:bookmarkStart w:id="481" w:name="_Toc4720"/>
      <w:bookmarkStart w:id="482" w:name="_Toc25571"/>
      <w:bookmarkStart w:id="483" w:name="_Toc26633"/>
      <w:bookmarkStart w:id="484" w:name="_Toc14371"/>
      <w:r>
        <w:rPr>
          <w:rFonts w:ascii="宋体" w:hAnsi="宋体"/>
          <w:b/>
          <w:color w:val="auto"/>
          <w:sz w:val="24"/>
        </w:rPr>
        <w:t>2.11 不可抗力</w:t>
      </w:r>
      <w:bookmarkEnd w:id="480"/>
      <w:bookmarkEnd w:id="481"/>
      <w:bookmarkEnd w:id="482"/>
      <w:bookmarkEnd w:id="483"/>
      <w:bookmarkEnd w:id="484"/>
    </w:p>
    <w:p w14:paraId="4A0831AE">
      <w:pPr>
        <w:spacing w:line="560" w:lineRule="exact"/>
        <w:ind w:firstLine="480" w:firstLineChars="200"/>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14:paraId="3766AF1C">
      <w:pPr>
        <w:spacing w:line="560" w:lineRule="exact"/>
        <w:ind w:firstLine="480" w:firstLineChars="200"/>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14:paraId="7958A946">
      <w:pPr>
        <w:spacing w:line="560" w:lineRule="exact"/>
        <w:ind w:firstLine="480" w:firstLineChars="200"/>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不可抗力致使合同有变更必要的，双方当事人应在约定时间内以书面形式变更合同</w:t>
      </w:r>
      <w:r>
        <w:rPr>
          <w:rFonts w:hint="eastAsia" w:ascii="宋体" w:hAnsi="宋体"/>
          <w:color w:val="auto"/>
          <w:sz w:val="24"/>
        </w:rPr>
        <w:t>；</w:t>
      </w:r>
    </w:p>
    <w:p w14:paraId="5962D60B">
      <w:pPr>
        <w:spacing w:line="560" w:lineRule="exact"/>
        <w:ind w:firstLine="480" w:firstLineChars="200"/>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应在约定时间内以书面形式通知</w:t>
      </w:r>
      <w:r>
        <w:rPr>
          <w:rFonts w:hint="eastAsia" w:ascii="宋体" w:hAnsi="宋体"/>
          <w:color w:val="auto"/>
          <w:sz w:val="24"/>
        </w:rPr>
        <w:t>对</w:t>
      </w:r>
      <w:r>
        <w:rPr>
          <w:rFonts w:ascii="宋体" w:hAnsi="宋体"/>
          <w:color w:val="auto"/>
          <w:sz w:val="24"/>
        </w:rPr>
        <w:t>方当事人，并在约定时间内，将有关部门出具的证明文件送达</w:t>
      </w:r>
      <w:r>
        <w:rPr>
          <w:rFonts w:hint="eastAsia" w:ascii="宋体" w:hAnsi="宋体"/>
          <w:color w:val="auto"/>
          <w:sz w:val="24"/>
        </w:rPr>
        <w:t>对方当事人</w:t>
      </w:r>
      <w:r>
        <w:rPr>
          <w:rFonts w:ascii="宋体" w:hAnsi="宋体"/>
          <w:color w:val="auto"/>
          <w:sz w:val="24"/>
        </w:rPr>
        <w:t>。</w:t>
      </w:r>
    </w:p>
    <w:p w14:paraId="3FBA4853">
      <w:pPr>
        <w:spacing w:line="560" w:lineRule="exact"/>
        <w:ind w:firstLine="482" w:firstLineChars="200"/>
        <w:outlineLvl w:val="0"/>
        <w:rPr>
          <w:rFonts w:ascii="宋体" w:hAnsi="宋体"/>
          <w:b/>
          <w:color w:val="auto"/>
          <w:sz w:val="24"/>
        </w:rPr>
      </w:pPr>
      <w:bookmarkStart w:id="485" w:name="_Toc25783"/>
      <w:bookmarkStart w:id="486" w:name="_Toc24465"/>
      <w:bookmarkStart w:id="487" w:name="_Toc3638"/>
      <w:bookmarkStart w:id="488" w:name="_Toc23854"/>
      <w:bookmarkStart w:id="489" w:name="_Toc14115"/>
      <w:r>
        <w:rPr>
          <w:rFonts w:ascii="宋体" w:hAnsi="宋体"/>
          <w:b/>
          <w:color w:val="auto"/>
          <w:sz w:val="24"/>
        </w:rPr>
        <w:t>2.12 税费</w:t>
      </w:r>
      <w:bookmarkEnd w:id="485"/>
      <w:bookmarkEnd w:id="486"/>
      <w:bookmarkEnd w:id="487"/>
      <w:bookmarkEnd w:id="488"/>
      <w:bookmarkEnd w:id="489"/>
    </w:p>
    <w:p w14:paraId="68757A4E">
      <w:pPr>
        <w:spacing w:line="560" w:lineRule="exact"/>
        <w:ind w:firstLine="480" w:firstLineChars="200"/>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14:paraId="7DE20096">
      <w:pPr>
        <w:spacing w:line="560" w:lineRule="exact"/>
        <w:ind w:firstLine="482" w:firstLineChars="200"/>
        <w:outlineLvl w:val="0"/>
        <w:rPr>
          <w:rFonts w:ascii="宋体" w:hAnsi="宋体"/>
          <w:b/>
          <w:color w:val="auto"/>
          <w:sz w:val="24"/>
        </w:rPr>
      </w:pPr>
      <w:bookmarkStart w:id="490" w:name="_Toc14814"/>
      <w:bookmarkStart w:id="491" w:name="_Toc25525"/>
      <w:bookmarkStart w:id="492" w:name="_Toc30105"/>
      <w:bookmarkStart w:id="493" w:name="_Toc26883"/>
      <w:bookmarkStart w:id="494" w:name="_Toc7315"/>
      <w:r>
        <w:rPr>
          <w:rFonts w:ascii="宋体" w:hAnsi="宋体"/>
          <w:b/>
          <w:color w:val="auto"/>
          <w:sz w:val="24"/>
        </w:rPr>
        <w:t>2.13 乙方破产</w:t>
      </w:r>
      <w:bookmarkEnd w:id="490"/>
      <w:bookmarkEnd w:id="491"/>
      <w:bookmarkEnd w:id="492"/>
      <w:bookmarkEnd w:id="493"/>
      <w:bookmarkEnd w:id="494"/>
    </w:p>
    <w:p w14:paraId="623D7D2A">
      <w:pPr>
        <w:spacing w:line="560" w:lineRule="exact"/>
        <w:ind w:firstLine="480" w:firstLineChars="200"/>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14:paraId="6BF7AC11">
      <w:pPr>
        <w:spacing w:line="560" w:lineRule="exact"/>
        <w:ind w:firstLine="482" w:firstLineChars="200"/>
        <w:outlineLvl w:val="0"/>
        <w:rPr>
          <w:rFonts w:ascii="宋体" w:hAnsi="宋体"/>
          <w:b/>
          <w:color w:val="auto"/>
          <w:sz w:val="24"/>
        </w:rPr>
      </w:pPr>
      <w:bookmarkStart w:id="495" w:name="_Toc1123"/>
      <w:bookmarkStart w:id="496" w:name="_Toc23323"/>
      <w:bookmarkStart w:id="497" w:name="_Toc2016"/>
      <w:r>
        <w:rPr>
          <w:rFonts w:ascii="宋体" w:hAnsi="宋体"/>
          <w:b/>
          <w:color w:val="auto"/>
          <w:sz w:val="24"/>
        </w:rPr>
        <w:t>2.14 合同中止、终止</w:t>
      </w:r>
      <w:bookmarkEnd w:id="495"/>
      <w:bookmarkEnd w:id="496"/>
      <w:bookmarkEnd w:id="497"/>
    </w:p>
    <w:p w14:paraId="1790F307">
      <w:pPr>
        <w:spacing w:line="560" w:lineRule="exact"/>
        <w:ind w:firstLine="480" w:firstLineChars="200"/>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14:paraId="2EC807EB">
      <w:pPr>
        <w:spacing w:line="560" w:lineRule="exact"/>
        <w:ind w:firstLine="480" w:firstLineChars="200"/>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14:paraId="4AE49AF0">
      <w:pPr>
        <w:spacing w:line="560" w:lineRule="exact"/>
        <w:ind w:firstLine="482" w:firstLineChars="200"/>
        <w:outlineLvl w:val="0"/>
        <w:rPr>
          <w:rFonts w:ascii="宋体" w:hAnsi="宋体"/>
          <w:b/>
          <w:color w:val="auto"/>
          <w:sz w:val="24"/>
        </w:rPr>
      </w:pPr>
      <w:bookmarkStart w:id="498" w:name="_Toc17363"/>
      <w:bookmarkStart w:id="499" w:name="_Toc1969"/>
      <w:bookmarkStart w:id="500" w:name="_Toc14525"/>
      <w:r>
        <w:rPr>
          <w:rFonts w:ascii="宋体" w:hAnsi="宋体"/>
          <w:b/>
          <w:color w:val="auto"/>
          <w:sz w:val="24"/>
        </w:rPr>
        <w:t>2.15 检验和验收</w:t>
      </w:r>
      <w:bookmarkEnd w:id="498"/>
      <w:bookmarkEnd w:id="499"/>
      <w:bookmarkEnd w:id="500"/>
    </w:p>
    <w:p w14:paraId="3F18B77D">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color w:val="auto"/>
          <w:sz w:val="24"/>
        </w:rPr>
        <w:t>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w:t>
      </w:r>
      <w:r>
        <w:rPr>
          <w:rFonts w:ascii="宋体" w:hAnsi="宋体"/>
          <w:color w:val="auto"/>
          <w:sz w:val="24"/>
        </w:rPr>
        <w:t>进行定期验收</w:t>
      </w:r>
      <w:r>
        <w:rPr>
          <w:rFonts w:hint="eastAsia" w:ascii="宋体" w:hAnsi="宋体"/>
          <w:color w:val="auto"/>
          <w:sz w:val="24"/>
        </w:rPr>
        <w:t>；</w:t>
      </w:r>
    </w:p>
    <w:p w14:paraId="32440922">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71F2534">
      <w:pPr>
        <w:spacing w:line="560" w:lineRule="exact"/>
        <w:ind w:firstLine="482" w:firstLineChars="200"/>
        <w:outlineLvl w:val="0"/>
        <w:rPr>
          <w:rFonts w:ascii="宋体" w:hAnsi="宋体"/>
          <w:b/>
          <w:color w:val="auto"/>
          <w:sz w:val="24"/>
        </w:rPr>
      </w:pPr>
      <w:bookmarkStart w:id="501" w:name="_Toc25198"/>
      <w:bookmarkStart w:id="502" w:name="_Toc2308"/>
      <w:bookmarkStart w:id="503" w:name="_Toc12666"/>
      <w:bookmarkStart w:id="504" w:name="_Toc31892"/>
      <w:bookmarkStart w:id="505" w:name="_Toc9808"/>
      <w:r>
        <w:rPr>
          <w:rFonts w:ascii="宋体" w:hAnsi="宋体"/>
          <w:b/>
          <w:color w:val="auto"/>
          <w:sz w:val="24"/>
        </w:rPr>
        <w:t>2.16 通知和送达</w:t>
      </w:r>
      <w:bookmarkEnd w:id="501"/>
      <w:bookmarkEnd w:id="502"/>
      <w:bookmarkEnd w:id="503"/>
      <w:bookmarkEnd w:id="504"/>
      <w:bookmarkEnd w:id="505"/>
    </w:p>
    <w:p w14:paraId="00E34384">
      <w:pPr>
        <w:spacing w:line="560" w:lineRule="exact"/>
        <w:ind w:firstLine="480" w:firstLineChars="200"/>
        <w:rPr>
          <w:rFonts w:ascii="宋体" w:hAnsi="宋体"/>
          <w:color w:val="auto"/>
          <w:sz w:val="24"/>
        </w:rPr>
      </w:pPr>
      <w:bookmarkStart w:id="506" w:name="_Toc27674"/>
      <w:bookmarkStart w:id="507" w:name="_Toc18401"/>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14:paraId="29A1C9BD">
      <w:pPr>
        <w:spacing w:line="560" w:lineRule="exact"/>
        <w:ind w:firstLine="480" w:firstLineChars="200"/>
        <w:rPr>
          <w:rFonts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506"/>
      <w:bookmarkEnd w:id="507"/>
    </w:p>
    <w:p w14:paraId="3EC526A3">
      <w:pPr>
        <w:spacing w:line="560" w:lineRule="exact"/>
        <w:ind w:firstLine="482" w:firstLineChars="200"/>
        <w:outlineLvl w:val="0"/>
        <w:rPr>
          <w:rFonts w:ascii="宋体" w:hAnsi="宋体"/>
          <w:b/>
          <w:color w:val="auto"/>
          <w:sz w:val="24"/>
        </w:rPr>
      </w:pPr>
      <w:bookmarkStart w:id="508" w:name="_Toc12254"/>
      <w:bookmarkStart w:id="509" w:name="_Toc27644"/>
      <w:bookmarkStart w:id="510" w:name="_Toc28906"/>
      <w:bookmarkStart w:id="511" w:name="_Toc20808"/>
      <w:bookmarkStart w:id="512" w:name="_Toc5063"/>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508"/>
      <w:bookmarkEnd w:id="509"/>
      <w:bookmarkEnd w:id="510"/>
      <w:bookmarkEnd w:id="511"/>
      <w:bookmarkEnd w:id="512"/>
    </w:p>
    <w:p w14:paraId="2C680B6D">
      <w:pPr>
        <w:spacing w:line="560" w:lineRule="exact"/>
        <w:ind w:firstLine="480" w:firstLineChars="200"/>
        <w:rPr>
          <w:rFonts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14:paraId="2E8B2C6A">
      <w:pPr>
        <w:spacing w:line="560" w:lineRule="exact"/>
        <w:ind w:firstLine="480" w:firstLineChars="200"/>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14:paraId="2C33B3DA">
      <w:pPr>
        <w:spacing w:line="560" w:lineRule="exact"/>
        <w:ind w:firstLine="482" w:firstLineChars="200"/>
        <w:outlineLvl w:val="0"/>
        <w:rPr>
          <w:rFonts w:ascii="宋体" w:hAnsi="宋体" w:cs="宋体"/>
          <w:b/>
          <w:color w:val="auto"/>
          <w:sz w:val="24"/>
        </w:rPr>
      </w:pPr>
      <w:bookmarkStart w:id="513" w:name="_Toc30599"/>
      <w:bookmarkStart w:id="514" w:name="_Toc18540"/>
      <w:bookmarkStart w:id="515" w:name="_Toc4355"/>
    </w:p>
    <w:p w14:paraId="568787C3">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2.18 计量单位</w:t>
      </w:r>
      <w:bookmarkEnd w:id="513"/>
      <w:bookmarkEnd w:id="514"/>
      <w:bookmarkEnd w:id="515"/>
    </w:p>
    <w:p w14:paraId="28702E51">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72AD912B">
      <w:pPr>
        <w:spacing w:line="560" w:lineRule="exact"/>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14:paraId="07A72439">
      <w:pPr>
        <w:spacing w:line="560" w:lineRule="exact"/>
        <w:ind w:firstLine="480" w:firstLineChars="200"/>
        <w:rPr>
          <w:rFonts w:ascii="宋体" w:hAnsi="宋体"/>
          <w:color w:val="auto"/>
          <w:sz w:val="24"/>
        </w:rPr>
      </w:pPr>
      <w:r>
        <w:rPr>
          <w:rFonts w:ascii="宋体" w:hAnsi="宋体"/>
          <w:color w:val="auto"/>
          <w:sz w:val="24"/>
        </w:rPr>
        <w:t>合同份数</w:t>
      </w:r>
      <w:r>
        <w:rPr>
          <w:rFonts w:hint="eastAsia" w:ascii="宋体" w:hAnsi="宋体"/>
          <w:color w:val="auto"/>
          <w:sz w:val="24"/>
        </w:rPr>
        <w:t>正本</w:t>
      </w:r>
      <w:r>
        <w:rPr>
          <w:rFonts w:hint="eastAsia" w:ascii="宋体" w:hAnsi="宋体"/>
          <w:color w:val="auto"/>
          <w:sz w:val="24"/>
          <w:u w:val="single"/>
        </w:rPr>
        <w:t xml:space="preserve">  </w:t>
      </w:r>
      <w:r>
        <w:rPr>
          <w:rFonts w:hint="eastAsia" w:ascii="宋体" w:hAnsi="宋体"/>
          <w:color w:val="auto"/>
          <w:sz w:val="24"/>
        </w:rPr>
        <w:t>份，副本</w:t>
      </w:r>
      <w:r>
        <w:rPr>
          <w:rFonts w:hint="eastAsia" w:ascii="宋体" w:hAnsi="宋体"/>
          <w:color w:val="auto"/>
          <w:sz w:val="24"/>
          <w:u w:val="single"/>
        </w:rPr>
        <w:t xml:space="preserve">  </w:t>
      </w:r>
      <w:r>
        <w:rPr>
          <w:rFonts w:hint="eastAsia" w:ascii="宋体" w:hAnsi="宋体"/>
          <w:color w:val="auto"/>
          <w:sz w:val="24"/>
        </w:rPr>
        <w:t>份，</w:t>
      </w:r>
      <w:r>
        <w:rPr>
          <w:rFonts w:ascii="宋体" w:hAnsi="宋体"/>
          <w:color w:val="auto"/>
          <w:sz w:val="24"/>
        </w:rPr>
        <w:t>每份均具有同等法律效力</w:t>
      </w:r>
      <w:r>
        <w:rPr>
          <w:rFonts w:hint="eastAsia" w:ascii="宋体" w:hAnsi="宋体"/>
          <w:color w:val="auto"/>
          <w:sz w:val="24"/>
        </w:rPr>
        <w:t>。</w:t>
      </w:r>
    </w:p>
    <w:p w14:paraId="32254D17">
      <w:pPr>
        <w:ind w:left="-420" w:leftChars="-200" w:right="-420" w:rightChars="-200" w:firstLine="480" w:firstLineChars="200"/>
        <w:rPr>
          <w:rFonts w:ascii="宋体" w:hAnsi="宋体" w:cs="宋体"/>
          <w:b/>
          <w:color w:val="auto"/>
          <w:sz w:val="36"/>
          <w:szCs w:val="20"/>
        </w:rPr>
      </w:pPr>
      <w:r>
        <w:rPr>
          <w:rFonts w:hint="eastAsia" w:ascii="宋体" w:hAnsi="宋体" w:cs="宋体"/>
          <w:color w:val="auto"/>
          <w:sz w:val="24"/>
        </w:rPr>
        <w:br w:type="textWrapping"/>
      </w:r>
      <w:r>
        <w:rPr>
          <w:rFonts w:hint="eastAsia" w:ascii="宋体" w:hAnsi="宋体" w:cs="宋体"/>
          <w:color w:val="auto"/>
          <w:sz w:val="24"/>
        </w:rPr>
        <w:br w:type="textWrapping"/>
      </w:r>
      <w:bookmarkStart w:id="516" w:name="_Toc22993"/>
    </w:p>
    <w:p w14:paraId="5C0B2F8A">
      <w:pPr>
        <w:spacing w:line="360" w:lineRule="auto"/>
        <w:jc w:val="center"/>
        <w:outlineLvl w:val="0"/>
        <w:rPr>
          <w:rFonts w:ascii="宋体" w:hAnsi="宋体" w:cs="宋体"/>
          <w:b/>
          <w:color w:val="auto"/>
          <w:sz w:val="36"/>
          <w:szCs w:val="20"/>
        </w:rPr>
      </w:pPr>
    </w:p>
    <w:p w14:paraId="342BA636">
      <w:pPr>
        <w:spacing w:line="360" w:lineRule="auto"/>
        <w:jc w:val="center"/>
        <w:outlineLvl w:val="0"/>
        <w:rPr>
          <w:rFonts w:ascii="宋体" w:hAnsi="宋体" w:cs="宋体"/>
          <w:b/>
          <w:color w:val="auto"/>
          <w:sz w:val="36"/>
          <w:szCs w:val="20"/>
        </w:rPr>
      </w:pPr>
    </w:p>
    <w:p w14:paraId="099440BC">
      <w:pPr>
        <w:spacing w:line="360" w:lineRule="auto"/>
        <w:jc w:val="center"/>
        <w:outlineLvl w:val="0"/>
        <w:rPr>
          <w:rFonts w:ascii="宋体" w:hAnsi="宋体" w:cs="宋体"/>
          <w:b/>
          <w:color w:val="auto"/>
          <w:sz w:val="36"/>
          <w:szCs w:val="20"/>
        </w:rPr>
      </w:pPr>
    </w:p>
    <w:p w14:paraId="17841AFB">
      <w:pPr>
        <w:spacing w:line="360" w:lineRule="auto"/>
        <w:jc w:val="center"/>
        <w:outlineLvl w:val="0"/>
        <w:rPr>
          <w:rFonts w:ascii="宋体" w:hAnsi="宋体" w:cs="宋体"/>
          <w:b/>
          <w:color w:val="auto"/>
          <w:sz w:val="36"/>
          <w:szCs w:val="20"/>
        </w:rPr>
      </w:pPr>
    </w:p>
    <w:p w14:paraId="420BC8E1">
      <w:pPr>
        <w:spacing w:line="360" w:lineRule="auto"/>
        <w:jc w:val="center"/>
        <w:outlineLvl w:val="0"/>
        <w:rPr>
          <w:rFonts w:ascii="宋体" w:hAnsi="宋体" w:cs="宋体"/>
          <w:b/>
          <w:color w:val="auto"/>
          <w:sz w:val="36"/>
          <w:szCs w:val="20"/>
        </w:rPr>
      </w:pPr>
    </w:p>
    <w:p w14:paraId="59263455">
      <w:pPr>
        <w:spacing w:line="360" w:lineRule="auto"/>
        <w:jc w:val="center"/>
        <w:outlineLvl w:val="0"/>
        <w:rPr>
          <w:rFonts w:ascii="宋体" w:hAnsi="宋体" w:cs="宋体"/>
          <w:b/>
          <w:color w:val="auto"/>
          <w:sz w:val="36"/>
          <w:szCs w:val="20"/>
        </w:rPr>
      </w:pPr>
    </w:p>
    <w:p w14:paraId="29B27D7E">
      <w:pPr>
        <w:spacing w:line="360" w:lineRule="auto"/>
        <w:jc w:val="center"/>
        <w:outlineLvl w:val="0"/>
        <w:rPr>
          <w:rFonts w:ascii="宋体" w:hAnsi="宋体" w:cs="宋体"/>
          <w:b/>
          <w:color w:val="auto"/>
          <w:sz w:val="36"/>
          <w:szCs w:val="20"/>
        </w:rPr>
      </w:pPr>
    </w:p>
    <w:p w14:paraId="3F8511BB">
      <w:pPr>
        <w:spacing w:line="360" w:lineRule="auto"/>
        <w:jc w:val="center"/>
        <w:outlineLvl w:val="0"/>
        <w:rPr>
          <w:rFonts w:ascii="宋体" w:hAnsi="宋体" w:cs="宋体"/>
          <w:b/>
          <w:color w:val="auto"/>
          <w:sz w:val="36"/>
          <w:szCs w:val="20"/>
        </w:rPr>
      </w:pPr>
    </w:p>
    <w:p w14:paraId="6F060D4B">
      <w:pPr>
        <w:spacing w:line="360" w:lineRule="auto"/>
        <w:jc w:val="center"/>
        <w:outlineLvl w:val="0"/>
        <w:rPr>
          <w:rFonts w:ascii="宋体" w:hAnsi="宋体" w:cs="宋体"/>
          <w:b/>
          <w:color w:val="auto"/>
          <w:sz w:val="36"/>
          <w:szCs w:val="20"/>
        </w:rPr>
      </w:pPr>
    </w:p>
    <w:p w14:paraId="5638F8B2">
      <w:pPr>
        <w:spacing w:line="360" w:lineRule="auto"/>
        <w:jc w:val="center"/>
        <w:outlineLvl w:val="0"/>
        <w:rPr>
          <w:rFonts w:ascii="宋体" w:hAnsi="宋体" w:cs="宋体"/>
          <w:b/>
          <w:color w:val="auto"/>
          <w:sz w:val="36"/>
          <w:szCs w:val="20"/>
        </w:rPr>
      </w:pPr>
    </w:p>
    <w:p w14:paraId="62A9A7A4">
      <w:pPr>
        <w:spacing w:line="360" w:lineRule="auto"/>
        <w:jc w:val="center"/>
        <w:outlineLvl w:val="0"/>
        <w:rPr>
          <w:rFonts w:ascii="宋体" w:hAnsi="宋体" w:cs="宋体"/>
          <w:b/>
          <w:color w:val="auto"/>
          <w:sz w:val="36"/>
          <w:szCs w:val="20"/>
        </w:rPr>
      </w:pPr>
    </w:p>
    <w:p w14:paraId="21913CC2">
      <w:pPr>
        <w:spacing w:line="360" w:lineRule="auto"/>
        <w:jc w:val="center"/>
        <w:outlineLvl w:val="0"/>
        <w:rPr>
          <w:rFonts w:ascii="宋体" w:hAnsi="宋体" w:cs="宋体"/>
          <w:b/>
          <w:color w:val="auto"/>
          <w:sz w:val="36"/>
          <w:szCs w:val="20"/>
        </w:rPr>
      </w:pPr>
    </w:p>
    <w:p w14:paraId="5BD4B3D2">
      <w:pPr>
        <w:spacing w:line="360" w:lineRule="auto"/>
        <w:jc w:val="center"/>
        <w:outlineLvl w:val="0"/>
        <w:rPr>
          <w:rFonts w:ascii="宋体" w:hAnsi="宋体" w:cs="宋体"/>
          <w:b/>
          <w:color w:val="auto"/>
          <w:sz w:val="36"/>
          <w:szCs w:val="20"/>
        </w:rPr>
      </w:pPr>
    </w:p>
    <w:p w14:paraId="0A0354DC">
      <w:pPr>
        <w:spacing w:line="360" w:lineRule="auto"/>
        <w:jc w:val="center"/>
        <w:outlineLvl w:val="0"/>
        <w:rPr>
          <w:rFonts w:ascii="宋体" w:hAnsi="宋体" w:cs="宋体"/>
          <w:b/>
          <w:color w:val="auto"/>
          <w:sz w:val="36"/>
          <w:szCs w:val="20"/>
        </w:rPr>
      </w:pPr>
    </w:p>
    <w:p w14:paraId="3CDB4008">
      <w:pPr>
        <w:spacing w:line="360" w:lineRule="auto"/>
        <w:jc w:val="center"/>
        <w:outlineLvl w:val="0"/>
        <w:rPr>
          <w:rFonts w:ascii="宋体" w:hAnsi="宋体" w:cs="宋体"/>
          <w:b/>
          <w:color w:val="auto"/>
          <w:sz w:val="36"/>
          <w:szCs w:val="20"/>
        </w:rPr>
      </w:pPr>
    </w:p>
    <w:p w14:paraId="42345104">
      <w:pPr>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第六部分</w:t>
      </w:r>
      <w:bookmarkEnd w:id="405"/>
      <w:r>
        <w:rPr>
          <w:rFonts w:hint="eastAsia" w:ascii="宋体" w:hAnsi="宋体" w:cs="宋体"/>
          <w:b/>
          <w:color w:val="auto"/>
          <w:sz w:val="36"/>
          <w:szCs w:val="20"/>
        </w:rPr>
        <w:t xml:space="preserve"> </w:t>
      </w:r>
      <w:bookmarkEnd w:id="406"/>
      <w:r>
        <w:rPr>
          <w:rFonts w:hint="eastAsia" w:ascii="宋体" w:hAnsi="宋体" w:cs="宋体"/>
          <w:b/>
          <w:color w:val="auto"/>
          <w:sz w:val="36"/>
          <w:szCs w:val="20"/>
        </w:rPr>
        <w:t>应提交的有关格式范例</w:t>
      </w:r>
      <w:bookmarkEnd w:id="516"/>
    </w:p>
    <w:p w14:paraId="6C14E5AF">
      <w:pPr>
        <w:spacing w:line="360" w:lineRule="auto"/>
        <w:jc w:val="center"/>
        <w:rPr>
          <w:rFonts w:ascii="宋体" w:hAnsi="宋体" w:cs="宋体"/>
          <w:b/>
          <w:color w:val="auto"/>
          <w:kern w:val="0"/>
          <w:sz w:val="36"/>
          <w:szCs w:val="36"/>
        </w:rPr>
      </w:pPr>
    </w:p>
    <w:p w14:paraId="78BC659A">
      <w:pPr>
        <w:spacing w:line="360" w:lineRule="auto"/>
        <w:jc w:val="center"/>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6E92CF09">
      <w:pPr>
        <w:spacing w:line="360" w:lineRule="auto"/>
        <w:jc w:val="center"/>
        <w:rPr>
          <w:rFonts w:ascii="宋体" w:hAnsi="宋体" w:cs="宋体"/>
          <w:b/>
          <w:color w:val="auto"/>
          <w:kern w:val="0"/>
          <w:sz w:val="36"/>
          <w:szCs w:val="36"/>
        </w:rPr>
      </w:pPr>
      <w:r>
        <w:rPr>
          <w:rFonts w:hint="eastAsia" w:ascii="宋体" w:hAnsi="宋体" w:cs="宋体"/>
          <w:b/>
          <w:color w:val="auto"/>
          <w:kern w:val="0"/>
          <w:sz w:val="36"/>
          <w:szCs w:val="36"/>
        </w:rPr>
        <w:t>目录</w:t>
      </w:r>
    </w:p>
    <w:p w14:paraId="111D837C">
      <w:pPr>
        <w:spacing w:line="360" w:lineRule="auto"/>
        <w:jc w:val="center"/>
        <w:rPr>
          <w:rFonts w:ascii="宋体" w:hAnsi="宋体" w:cs="宋体"/>
          <w:b/>
          <w:color w:val="auto"/>
          <w:kern w:val="0"/>
          <w:sz w:val="36"/>
          <w:szCs w:val="36"/>
        </w:rPr>
      </w:pPr>
    </w:p>
    <w:p w14:paraId="3449DF39">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14:paraId="110569DF">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17BB5386">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08800869">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32CF579F">
      <w:pPr>
        <w:snapToGrid w:val="0"/>
        <w:spacing w:line="360" w:lineRule="auto"/>
        <w:rPr>
          <w:rFonts w:ascii="宋体" w:hAnsi="宋体" w:cs="宋体"/>
          <w:color w:val="auto"/>
          <w:sz w:val="24"/>
        </w:rPr>
      </w:pPr>
      <w:r>
        <w:rPr>
          <w:rFonts w:hint="eastAsia" w:ascii="宋体" w:hAnsi="宋体" w:cs="宋体"/>
          <w:color w:val="auto"/>
          <w:sz w:val="24"/>
        </w:rPr>
        <w:t>（5）中小企业声明函………………………………………………………（页码）</w:t>
      </w:r>
    </w:p>
    <w:p w14:paraId="5761406F">
      <w:pPr>
        <w:snapToGrid w:val="0"/>
        <w:spacing w:line="360" w:lineRule="auto"/>
        <w:rPr>
          <w:rFonts w:ascii="宋体" w:hAnsi="宋体" w:cs="宋体"/>
          <w:color w:val="auto"/>
          <w:sz w:val="24"/>
        </w:rPr>
      </w:pPr>
      <w:r>
        <w:rPr>
          <w:rFonts w:hint="eastAsia" w:ascii="宋体" w:hAnsi="宋体" w:cs="宋体"/>
          <w:color w:val="auto"/>
          <w:sz w:val="24"/>
        </w:rPr>
        <w:t>（6）残疾人福利性单位声明函（如果有）………………………………（页码）</w:t>
      </w:r>
    </w:p>
    <w:p w14:paraId="48F1BBB7">
      <w:pPr>
        <w:snapToGrid w:val="0"/>
        <w:spacing w:line="360" w:lineRule="auto"/>
        <w:ind w:firstLine="480" w:firstLineChars="200"/>
        <w:rPr>
          <w:rFonts w:ascii="宋体" w:hAnsi="宋体" w:cs="宋体"/>
          <w:color w:val="auto"/>
          <w:sz w:val="24"/>
        </w:rPr>
      </w:pPr>
    </w:p>
    <w:p w14:paraId="7CBB29B4">
      <w:pPr>
        <w:spacing w:line="360" w:lineRule="auto"/>
        <w:ind w:firstLine="480" w:firstLineChars="200"/>
        <w:rPr>
          <w:rFonts w:ascii="宋体" w:hAnsi="宋体" w:cs="宋体"/>
          <w:color w:val="auto"/>
          <w:sz w:val="24"/>
        </w:rPr>
      </w:pPr>
    </w:p>
    <w:p w14:paraId="333BD082">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一、符合参加政府采购活动应当具备的一般条件的承诺函</w:t>
      </w:r>
    </w:p>
    <w:p w14:paraId="18BAD748">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52E1A6A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我方参与（项目名称）【招标编号：（采购编号）】政府采购活动，郑重承诺：</w:t>
      </w:r>
    </w:p>
    <w:p w14:paraId="35C2D857">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0EF257A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02185CB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7BA86AF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071C1A7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5C3103F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5F71799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1F534AF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596E96E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02A0F5B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1、单位负责人为同一人或者存在直接控股、管理关系的不同投标人参加同一合同项下的政府采购活动的；</w:t>
      </w:r>
    </w:p>
    <w:p w14:paraId="73FF2B5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1F2FB6B4">
      <w:pPr>
        <w:snapToGrid w:val="0"/>
        <w:spacing w:line="360" w:lineRule="auto"/>
        <w:ind w:firstLine="480" w:firstLineChars="200"/>
        <w:rPr>
          <w:rFonts w:ascii="宋体" w:hAnsi="宋体" w:cs="宋体"/>
          <w:color w:val="auto"/>
          <w:sz w:val="24"/>
        </w:rPr>
      </w:pPr>
    </w:p>
    <w:p w14:paraId="0480E40C">
      <w:pPr>
        <w:snapToGrid w:val="0"/>
        <w:spacing w:line="360" w:lineRule="auto"/>
        <w:ind w:firstLine="5520" w:firstLineChars="2300"/>
        <w:rPr>
          <w:rFonts w:ascii="宋体" w:hAnsi="宋体" w:cs="宋体"/>
          <w:color w:val="auto"/>
          <w:kern w:val="0"/>
          <w:sz w:val="24"/>
          <w:lang w:val="zh-CN"/>
        </w:rPr>
      </w:pPr>
    </w:p>
    <w:p w14:paraId="5FB94CDD">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62C6B671">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7C51E610">
      <w:pPr>
        <w:snapToGrid w:val="0"/>
        <w:spacing w:line="360" w:lineRule="auto"/>
        <w:ind w:right="480"/>
        <w:jc w:val="center"/>
        <w:rPr>
          <w:rFonts w:ascii="宋体" w:hAnsi="宋体" w:cs="宋体"/>
          <w:b/>
          <w:color w:val="auto"/>
          <w:kern w:val="0"/>
          <w:sz w:val="32"/>
          <w:szCs w:val="32"/>
        </w:rPr>
      </w:pPr>
    </w:p>
    <w:p w14:paraId="6CF3EBEC">
      <w:pPr>
        <w:snapToGrid w:val="0"/>
        <w:spacing w:line="360" w:lineRule="auto"/>
        <w:ind w:right="480"/>
        <w:jc w:val="center"/>
        <w:rPr>
          <w:rFonts w:ascii="宋体" w:hAnsi="宋体" w:cs="宋体"/>
          <w:b/>
          <w:color w:val="auto"/>
          <w:kern w:val="0"/>
          <w:sz w:val="32"/>
          <w:szCs w:val="32"/>
        </w:rPr>
      </w:pPr>
    </w:p>
    <w:p w14:paraId="64AE9D2A">
      <w:pPr>
        <w:snapToGrid w:val="0"/>
        <w:spacing w:line="360" w:lineRule="auto"/>
        <w:ind w:right="480"/>
        <w:jc w:val="center"/>
        <w:rPr>
          <w:rFonts w:ascii="宋体" w:hAnsi="宋体" w:cs="宋体"/>
          <w:b/>
          <w:color w:val="auto"/>
          <w:kern w:val="0"/>
          <w:sz w:val="32"/>
          <w:szCs w:val="32"/>
        </w:rPr>
      </w:pPr>
    </w:p>
    <w:p w14:paraId="19D04BC5">
      <w:pPr>
        <w:rPr>
          <w:rFonts w:ascii="宋体" w:hAnsi="宋体" w:cs="宋体"/>
          <w:color w:val="auto"/>
        </w:rPr>
      </w:pPr>
    </w:p>
    <w:p w14:paraId="66F7938A">
      <w:pPr>
        <w:snapToGrid w:val="0"/>
        <w:spacing w:line="360" w:lineRule="auto"/>
        <w:ind w:right="480"/>
        <w:jc w:val="center"/>
        <w:rPr>
          <w:rFonts w:ascii="宋体" w:hAnsi="宋体" w:cs="宋体"/>
          <w:b/>
          <w:color w:val="auto"/>
          <w:kern w:val="0"/>
          <w:sz w:val="32"/>
          <w:szCs w:val="32"/>
        </w:rPr>
      </w:pPr>
    </w:p>
    <w:p w14:paraId="42E40035">
      <w:pPr>
        <w:widowControl/>
        <w:spacing w:line="360" w:lineRule="auto"/>
        <w:ind w:firstLine="643" w:firstLineChars="200"/>
        <w:jc w:val="center"/>
        <w:rPr>
          <w:rFonts w:ascii="宋体" w:hAnsi="宋体" w:cs="宋体"/>
          <w:b/>
          <w:color w:val="auto"/>
          <w:kern w:val="0"/>
          <w:sz w:val="32"/>
          <w:szCs w:val="32"/>
        </w:rPr>
      </w:pPr>
    </w:p>
    <w:p w14:paraId="3FE8BA62">
      <w:pPr>
        <w:widowControl/>
        <w:spacing w:line="360" w:lineRule="auto"/>
        <w:ind w:firstLine="643" w:firstLineChars="200"/>
        <w:jc w:val="center"/>
        <w:rPr>
          <w:rFonts w:ascii="宋体" w:hAnsi="宋体" w:cs="宋体"/>
          <w:b/>
          <w:color w:val="auto"/>
          <w:kern w:val="0"/>
          <w:sz w:val="32"/>
          <w:szCs w:val="32"/>
        </w:rPr>
      </w:pPr>
    </w:p>
    <w:p w14:paraId="5E43263B">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511E7D19">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[以联合体形式投标的，提供联合协议（附件4）；本项目不接受联合体投标或者投标人不以联合体形式投标的，则不需要提供]</w:t>
      </w:r>
    </w:p>
    <w:p w14:paraId="19B215DB">
      <w:pPr>
        <w:snapToGrid w:val="0"/>
        <w:spacing w:line="360" w:lineRule="auto"/>
        <w:ind w:right="480"/>
        <w:jc w:val="center"/>
        <w:rPr>
          <w:rFonts w:ascii="宋体" w:hAnsi="宋体" w:cs="宋体"/>
          <w:b/>
          <w:color w:val="auto"/>
          <w:kern w:val="0"/>
          <w:sz w:val="32"/>
          <w:szCs w:val="32"/>
        </w:rPr>
      </w:pPr>
    </w:p>
    <w:p w14:paraId="5FFD2A01">
      <w:pPr>
        <w:snapToGrid w:val="0"/>
        <w:spacing w:line="360" w:lineRule="auto"/>
        <w:ind w:right="480"/>
        <w:jc w:val="center"/>
        <w:rPr>
          <w:rFonts w:ascii="宋体" w:hAnsi="宋体" w:cs="宋体"/>
          <w:b/>
          <w:color w:val="auto"/>
          <w:kern w:val="0"/>
          <w:sz w:val="32"/>
          <w:szCs w:val="32"/>
        </w:rPr>
      </w:pPr>
    </w:p>
    <w:p w14:paraId="0E415217">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7AF6FB24">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700D9C85">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 xml:space="preserve">.专门面向中小企业，货物全部由符合政策要求的中小企业（或小微企业）制造的，提供相应的中小企业声明函。 </w:t>
      </w:r>
    </w:p>
    <w:p w14:paraId="553A91AD">
      <w:pPr>
        <w:widowControl/>
        <w:spacing w:line="360" w:lineRule="auto"/>
        <w:ind w:firstLine="480"/>
        <w:jc w:val="left"/>
        <w:rPr>
          <w:rFonts w:ascii="宋体" w:hAnsi="宋体" w:cs="宋体"/>
          <w:color w:val="auto"/>
          <w:sz w:val="24"/>
        </w:rPr>
      </w:pPr>
    </w:p>
    <w:p w14:paraId="42F38153">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要求以联合体形式参加的，提供联合协议（附件4）和中小企业声明函（附件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），联合协议中中小企业合同金额应当达到招标公告载明的比例；如果投标人本身提供所有标的均由中小企业制造的，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12B52113">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49C29A29">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要求合同分包的，提供分包意向协议（附件5）和中小企业声明函，分包意向协议中中小企业合同金额应当达到招标公告载明的比例；如果投标人本身提供所有标的均由中小企业制造的，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49A102F1">
      <w:pPr>
        <w:widowControl/>
        <w:spacing w:line="360" w:lineRule="auto"/>
        <w:ind w:left="150"/>
        <w:jc w:val="center"/>
        <w:rPr>
          <w:rFonts w:ascii="宋体" w:hAnsi="宋体" w:cs="宋体"/>
          <w:b/>
          <w:color w:val="auto"/>
          <w:kern w:val="0"/>
          <w:sz w:val="32"/>
          <w:szCs w:val="32"/>
        </w:rPr>
      </w:pPr>
    </w:p>
    <w:p w14:paraId="40FAAE8B">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14:paraId="6C06DFE9">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5EC8F08B">
      <w:pPr>
        <w:rPr>
          <w:rFonts w:ascii="宋体" w:hAnsi="宋体" w:cs="宋体"/>
          <w:color w:val="auto"/>
        </w:rPr>
      </w:pPr>
    </w:p>
    <w:p w14:paraId="5DC0EAEC">
      <w:pPr>
        <w:spacing w:line="288" w:lineRule="auto"/>
        <w:jc w:val="center"/>
        <w:rPr>
          <w:rFonts w:ascii="宋体" w:hAnsi="宋体" w:cs="宋体"/>
          <w:b/>
          <w:color w:val="auto"/>
          <w:sz w:val="32"/>
          <w:szCs w:val="32"/>
        </w:rPr>
      </w:pPr>
      <w:r>
        <w:rPr>
          <w:rFonts w:ascii="宋体" w:hAnsi="宋体" w:cs="宋体"/>
          <w:b/>
          <w:color w:val="auto"/>
          <w:kern w:val="0"/>
          <w:sz w:val="32"/>
          <w:szCs w:val="32"/>
        </w:rPr>
        <w:br w:type="page"/>
      </w:r>
      <w:r>
        <w:rPr>
          <w:rFonts w:hint="eastAsia" w:ascii="宋体" w:hAnsi="宋体" w:cs="宋体"/>
          <w:b/>
          <w:color w:val="auto"/>
          <w:kern w:val="0"/>
          <w:sz w:val="32"/>
          <w:szCs w:val="32"/>
        </w:rPr>
        <w:t>五、</w:t>
      </w:r>
      <w:r>
        <w:rPr>
          <w:rFonts w:hint="eastAsia" w:ascii="宋体" w:hAnsi="宋体" w:cs="宋体"/>
          <w:b/>
          <w:color w:val="auto"/>
          <w:sz w:val="32"/>
          <w:szCs w:val="32"/>
        </w:rPr>
        <w:t>中小企业声明函</w:t>
      </w:r>
    </w:p>
    <w:p w14:paraId="4D014530">
      <w:pPr>
        <w:spacing w:line="288" w:lineRule="auto"/>
        <w:ind w:firstLine="480" w:firstLineChars="200"/>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 xml:space="preserve">的 </w:t>
      </w:r>
      <w:r>
        <w:rPr>
          <w:rFonts w:hint="eastAsia" w:ascii="宋体" w:hAnsi="宋体" w:cs="宋体"/>
          <w:color w:val="auto"/>
          <w:sz w:val="24"/>
          <w:u w:val="single"/>
        </w:rPr>
        <w:t>（项目名称）</w:t>
      </w:r>
      <w:r>
        <w:rPr>
          <w:rFonts w:hint="eastAsia" w:ascii="宋体" w:hAnsi="宋体" w:cs="宋体"/>
          <w:color w:val="auto"/>
          <w:sz w:val="24"/>
        </w:rPr>
        <w:t xml:space="preserve"> 采购活动，工程的施工单位全部为符合政策要求的中小企业（或者：服务全部由符合政策要求的中小企业承接）。相关企业（含联合体中的中小企业、签订分包意向协议的中小企业）的具体情况如下：</w:t>
      </w:r>
    </w:p>
    <w:p w14:paraId="44C81A07">
      <w:pPr>
        <w:spacing w:line="288"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（临床数据库科研平台建设）</w:t>
      </w:r>
      <w:r>
        <w:rPr>
          <w:rFonts w:hint="eastAsia" w:ascii="宋体" w:hAnsi="宋体" w:cs="宋体"/>
          <w:color w:val="auto"/>
          <w:sz w:val="24"/>
        </w:rPr>
        <w:t xml:space="preserve"> ，属于 </w:t>
      </w:r>
      <w:r>
        <w:rPr>
          <w:rFonts w:hint="eastAsia" w:ascii="宋体" w:hAnsi="宋体" w:cs="宋体"/>
          <w:color w:val="auto"/>
          <w:sz w:val="24"/>
          <w:u w:val="single"/>
        </w:rPr>
        <w:t>（软件和信息技术服务业）</w:t>
      </w:r>
      <w:r>
        <w:rPr>
          <w:rFonts w:hint="eastAsia" w:ascii="宋体" w:hAnsi="宋体" w:cs="宋体"/>
          <w:color w:val="auto"/>
          <w:sz w:val="24"/>
        </w:rPr>
        <w:t>行业 ；承建（承接）为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14:paraId="4B9B6558">
      <w:pPr>
        <w:spacing w:line="288" w:lineRule="auto"/>
        <w:ind w:firstLine="480" w:firstLineChars="200"/>
        <w:rPr>
          <w:rFonts w:ascii="宋体" w:hAnsi="宋体" w:cs="宋体"/>
          <w:color w:val="auto"/>
          <w:sz w:val="24"/>
        </w:rPr>
      </w:pPr>
      <w:r>
        <w:rPr>
          <w:rFonts w:hint="eastAsia" w:ascii="宋体" w:hAnsi="宋体" w:cs="宋体"/>
          <w:color w:val="auto"/>
          <w:sz w:val="24"/>
        </w:rPr>
        <w:t>……</w:t>
      </w:r>
    </w:p>
    <w:p w14:paraId="238BC2E7">
      <w:pPr>
        <w:spacing w:line="288" w:lineRule="auto"/>
        <w:ind w:firstLine="480" w:firstLineChars="200"/>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43C0DAE7">
      <w:pPr>
        <w:spacing w:line="288" w:lineRule="auto"/>
        <w:ind w:firstLine="480" w:firstLineChars="200"/>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589AB897">
      <w:pPr>
        <w:snapToGrid w:val="0"/>
        <w:spacing w:line="288" w:lineRule="auto"/>
        <w:ind w:firstLine="5160" w:firstLineChars="2150"/>
        <w:rPr>
          <w:rFonts w:ascii="宋体" w:hAnsi="宋体" w:cs="宋体"/>
          <w:color w:val="auto"/>
          <w:kern w:val="0"/>
          <w:sz w:val="24"/>
        </w:rPr>
      </w:pPr>
      <w:r>
        <w:rPr>
          <w:rFonts w:hint="eastAsia" w:ascii="宋体" w:hAnsi="宋体" w:cs="宋体"/>
          <w:color w:val="auto"/>
          <w:kern w:val="0"/>
          <w:sz w:val="24"/>
          <w:lang w:val="zh-CN"/>
        </w:rPr>
        <w:t>投标人名称(电子签名)：</w:t>
      </w:r>
    </w:p>
    <w:p w14:paraId="42A86F8B">
      <w:pPr>
        <w:snapToGrid w:val="0"/>
        <w:spacing w:line="288" w:lineRule="auto"/>
        <w:rPr>
          <w:rFonts w:ascii="宋体" w:hAnsi="宋体" w:cs="宋体"/>
          <w:color w:val="auto"/>
          <w:kern w:val="0"/>
          <w:sz w:val="24"/>
          <w:lang w:val="zh-CN"/>
        </w:rPr>
      </w:pPr>
      <w:r>
        <w:rPr>
          <w:rFonts w:hint="eastAsia" w:ascii="宋体" w:hAnsi="宋体" w:cs="宋体"/>
          <w:color w:val="auto"/>
          <w:kern w:val="0"/>
          <w:sz w:val="24"/>
          <w:lang w:val="zh-CN"/>
        </w:rPr>
        <w:t xml:space="preserve">                                           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52CBF68B">
      <w:pPr>
        <w:spacing w:line="288" w:lineRule="auto"/>
        <w:ind w:right="420" w:firstLine="480" w:firstLineChars="200"/>
        <w:rPr>
          <w:rFonts w:ascii="宋体" w:hAnsi="宋体" w:cs="宋体"/>
          <w:color w:val="auto"/>
          <w:sz w:val="24"/>
        </w:rPr>
      </w:pPr>
      <w:r>
        <w:rPr>
          <w:rFonts w:hint="eastAsia" w:ascii="宋体" w:hAnsi="宋体" w:cs="宋体"/>
          <w:color w:val="auto"/>
          <w:sz w:val="24"/>
        </w:rPr>
        <w:t>从业人员、营业收入、资产总额填报上一年度数据，无上一年度数据的新成立企业可不填报。</w:t>
      </w:r>
    </w:p>
    <w:p w14:paraId="75BE2489">
      <w:pPr>
        <w:spacing w:line="288" w:lineRule="auto"/>
        <w:ind w:right="420" w:firstLine="480" w:firstLineChars="200"/>
        <w:rPr>
          <w:rFonts w:ascii="宋体" w:hAnsi="宋体" w:cs="宋体"/>
          <w:color w:val="auto"/>
          <w:sz w:val="24"/>
        </w:rPr>
      </w:pPr>
      <w:r>
        <w:rPr>
          <w:rFonts w:hint="eastAsia" w:ascii="宋体" w:hAnsi="宋体" w:cs="宋体"/>
          <w:color w:val="auto"/>
          <w:sz w:val="24"/>
        </w:rPr>
        <w:t>注：1、填写要求：①“标的名称”、“招标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A8C8725">
      <w:pPr>
        <w:spacing w:line="288" w:lineRule="auto"/>
        <w:ind w:right="420" w:firstLine="480" w:firstLineChars="2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C295529">
      <w:pPr>
        <w:spacing w:line="288" w:lineRule="auto"/>
        <w:ind w:right="420" w:firstLine="480" w:firstLineChars="200"/>
        <w:rPr>
          <w:rFonts w:ascii="宋体" w:hAnsi="宋体" w:cs="宋体"/>
          <w:color w:val="auto"/>
          <w:sz w:val="24"/>
        </w:rPr>
      </w:pPr>
      <w:r>
        <w:rPr>
          <w:rFonts w:hint="eastAsia" w:ascii="宋体" w:hAnsi="宋体" w:cs="宋体"/>
          <w:color w:val="auto"/>
          <w:sz w:val="24"/>
        </w:rPr>
        <w:t>3、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8B4BAA4">
      <w:pPr>
        <w:spacing w:line="360" w:lineRule="auto"/>
        <w:ind w:right="420" w:firstLine="3614" w:firstLineChars="1000"/>
        <w:rPr>
          <w:rFonts w:ascii="宋体" w:hAnsi="宋体" w:cs="宋体"/>
          <w:b/>
          <w:color w:val="auto"/>
          <w:kern w:val="0"/>
          <w:sz w:val="36"/>
          <w:szCs w:val="36"/>
        </w:rPr>
      </w:pPr>
    </w:p>
    <w:p w14:paraId="486920FC">
      <w:pPr>
        <w:spacing w:line="360" w:lineRule="auto"/>
        <w:ind w:right="420" w:firstLine="3614" w:firstLineChars="1000"/>
        <w:rPr>
          <w:rFonts w:ascii="宋体" w:hAnsi="宋体" w:cs="宋体"/>
          <w:b/>
          <w:color w:val="auto"/>
          <w:kern w:val="0"/>
          <w:sz w:val="36"/>
          <w:szCs w:val="36"/>
        </w:rPr>
      </w:pPr>
    </w:p>
    <w:p w14:paraId="042343AF">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六、残疾人福利性单位声明函（如果有）</w:t>
      </w:r>
    </w:p>
    <w:p w14:paraId="57E845C6">
      <w:pPr>
        <w:spacing w:line="360" w:lineRule="auto"/>
        <w:rPr>
          <w:rFonts w:ascii="宋体" w:hAnsi="宋体" w:cs="宋体"/>
          <w:b/>
          <w:color w:val="auto"/>
          <w:spacing w:val="6"/>
          <w:sz w:val="30"/>
          <w:szCs w:val="30"/>
        </w:rPr>
      </w:pPr>
    </w:p>
    <w:p w14:paraId="04C9956D">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u w:val="single"/>
        </w:rPr>
        <w:t>（采购人）</w:t>
      </w:r>
      <w:r>
        <w:rPr>
          <w:rFonts w:hint="eastAsia" w:ascii="宋体" w:hAnsi="宋体" w:cs="宋体"/>
          <w:color w:val="auto"/>
          <w:sz w:val="24"/>
        </w:rPr>
        <w:t>单位的</w:t>
      </w:r>
      <w:r>
        <w:rPr>
          <w:rFonts w:hint="eastAsia" w:ascii="宋体" w:hAnsi="宋体" w:cs="宋体"/>
          <w:color w:val="auto"/>
          <w:sz w:val="24"/>
          <w:u w:val="single"/>
        </w:rPr>
        <w:t>（项目名称）</w:t>
      </w:r>
      <w:r>
        <w:rPr>
          <w:rFonts w:hint="eastAsia" w:ascii="宋体" w:hAnsi="宋体" w:cs="宋体"/>
          <w:color w:val="auto"/>
          <w:sz w:val="24"/>
        </w:rPr>
        <w:t>_项目采购活动提供本单位制造的货物（由本单位承担工程/提供服务），或者提供其他残疾人福利性单位制造的货物（不包括使用非残疾人福利性单位注册商标的货物）。</w:t>
      </w:r>
    </w:p>
    <w:p w14:paraId="44761791">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0172EC86">
      <w:pPr>
        <w:spacing w:line="360" w:lineRule="auto"/>
        <w:ind w:firstLine="480" w:firstLineChars="200"/>
        <w:rPr>
          <w:rFonts w:ascii="宋体" w:hAnsi="宋体" w:cs="宋体"/>
          <w:color w:val="auto"/>
          <w:sz w:val="24"/>
        </w:rPr>
      </w:pPr>
    </w:p>
    <w:p w14:paraId="30E871CD">
      <w:pPr>
        <w:spacing w:line="360" w:lineRule="auto"/>
        <w:ind w:firstLine="480" w:firstLineChars="200"/>
        <w:rPr>
          <w:rFonts w:ascii="宋体" w:hAnsi="宋体" w:cs="宋体"/>
          <w:color w:val="auto"/>
          <w:sz w:val="24"/>
        </w:rPr>
      </w:pPr>
    </w:p>
    <w:p w14:paraId="606283E3">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3E6A8C92">
      <w:pPr>
        <w:spacing w:line="360" w:lineRule="auto"/>
        <w:ind w:right="420" w:firstLine="2400" w:firstLineChars="1000"/>
        <w:rPr>
          <w:rFonts w:ascii="宋体" w:hAnsi="宋体" w:cs="宋体"/>
          <w:b/>
          <w:color w:val="auto"/>
          <w:kern w:val="0"/>
          <w:sz w:val="36"/>
          <w:szCs w:val="36"/>
        </w:rPr>
      </w:pPr>
      <w:r>
        <w:rPr>
          <w:rFonts w:hint="eastAsia" w:ascii="宋体" w:hAnsi="宋体" w:cs="宋体"/>
          <w:color w:val="auto"/>
          <w:sz w:val="24"/>
        </w:rPr>
        <w:t xml:space="preserve">        日  期：</w:t>
      </w:r>
    </w:p>
    <w:p w14:paraId="189F8AD1">
      <w:pPr>
        <w:spacing w:line="360" w:lineRule="auto"/>
        <w:ind w:right="420"/>
        <w:jc w:val="center"/>
        <w:rPr>
          <w:rFonts w:ascii="宋体" w:hAnsi="宋体" w:cs="宋体"/>
          <w:b/>
          <w:color w:val="auto"/>
          <w:kern w:val="0"/>
          <w:sz w:val="36"/>
          <w:szCs w:val="36"/>
        </w:rPr>
      </w:pPr>
    </w:p>
    <w:p w14:paraId="3B9D3C3B">
      <w:pPr>
        <w:spacing w:line="360" w:lineRule="auto"/>
        <w:ind w:right="420"/>
        <w:jc w:val="center"/>
        <w:rPr>
          <w:rFonts w:ascii="宋体" w:hAnsi="宋体" w:cs="宋体"/>
          <w:b/>
          <w:color w:val="auto"/>
          <w:kern w:val="0"/>
          <w:sz w:val="36"/>
          <w:szCs w:val="36"/>
        </w:rPr>
      </w:pPr>
    </w:p>
    <w:p w14:paraId="1A1C8824">
      <w:pPr>
        <w:spacing w:line="360" w:lineRule="auto"/>
        <w:ind w:right="420"/>
        <w:jc w:val="center"/>
        <w:rPr>
          <w:rFonts w:ascii="宋体" w:hAnsi="宋体" w:cs="宋体"/>
          <w:b/>
          <w:color w:val="auto"/>
          <w:kern w:val="0"/>
          <w:sz w:val="36"/>
          <w:szCs w:val="36"/>
        </w:rPr>
      </w:pPr>
    </w:p>
    <w:p w14:paraId="539F8559">
      <w:pPr>
        <w:spacing w:line="360" w:lineRule="auto"/>
        <w:ind w:right="420"/>
        <w:jc w:val="center"/>
        <w:rPr>
          <w:rFonts w:ascii="宋体" w:hAnsi="宋体" w:cs="宋体"/>
          <w:b/>
          <w:color w:val="auto"/>
          <w:kern w:val="0"/>
          <w:sz w:val="36"/>
          <w:szCs w:val="36"/>
        </w:rPr>
      </w:pPr>
    </w:p>
    <w:p w14:paraId="29CB90FC">
      <w:pPr>
        <w:spacing w:line="360" w:lineRule="auto"/>
        <w:ind w:right="420"/>
        <w:jc w:val="center"/>
        <w:rPr>
          <w:rFonts w:ascii="宋体" w:hAnsi="宋体" w:cs="宋体"/>
          <w:b/>
          <w:color w:val="auto"/>
          <w:kern w:val="0"/>
          <w:sz w:val="36"/>
          <w:szCs w:val="36"/>
        </w:rPr>
      </w:pPr>
    </w:p>
    <w:p w14:paraId="0185CB5F">
      <w:pPr>
        <w:spacing w:line="360" w:lineRule="auto"/>
        <w:ind w:right="420"/>
        <w:jc w:val="center"/>
        <w:rPr>
          <w:rFonts w:ascii="宋体" w:hAnsi="宋体" w:cs="宋体"/>
          <w:b/>
          <w:color w:val="auto"/>
          <w:kern w:val="0"/>
          <w:sz w:val="36"/>
          <w:szCs w:val="36"/>
        </w:rPr>
      </w:pPr>
    </w:p>
    <w:p w14:paraId="04D7BB5B">
      <w:pPr>
        <w:spacing w:line="360" w:lineRule="auto"/>
        <w:ind w:right="420"/>
        <w:jc w:val="center"/>
        <w:rPr>
          <w:rFonts w:ascii="宋体" w:hAnsi="宋体" w:cs="宋体"/>
          <w:b/>
          <w:color w:val="auto"/>
          <w:kern w:val="0"/>
          <w:sz w:val="36"/>
          <w:szCs w:val="36"/>
        </w:rPr>
      </w:pPr>
    </w:p>
    <w:p w14:paraId="633B3C3E">
      <w:pPr>
        <w:spacing w:line="360" w:lineRule="auto"/>
        <w:ind w:right="420"/>
        <w:jc w:val="center"/>
        <w:rPr>
          <w:rFonts w:ascii="宋体" w:hAnsi="宋体" w:cs="宋体"/>
          <w:b/>
          <w:color w:val="auto"/>
          <w:kern w:val="0"/>
          <w:sz w:val="36"/>
          <w:szCs w:val="36"/>
        </w:rPr>
      </w:pPr>
    </w:p>
    <w:p w14:paraId="728305F9">
      <w:pPr>
        <w:spacing w:line="360" w:lineRule="auto"/>
        <w:ind w:right="420"/>
        <w:jc w:val="center"/>
        <w:rPr>
          <w:rFonts w:ascii="宋体" w:hAnsi="宋体" w:cs="宋体"/>
          <w:b/>
          <w:color w:val="auto"/>
          <w:kern w:val="0"/>
          <w:sz w:val="36"/>
          <w:szCs w:val="36"/>
        </w:rPr>
      </w:pPr>
    </w:p>
    <w:p w14:paraId="27890E2E">
      <w:pPr>
        <w:spacing w:line="360" w:lineRule="auto"/>
        <w:ind w:right="420"/>
        <w:jc w:val="center"/>
        <w:rPr>
          <w:rFonts w:ascii="宋体" w:hAnsi="宋体" w:cs="宋体"/>
          <w:b/>
          <w:color w:val="auto"/>
          <w:kern w:val="0"/>
          <w:sz w:val="36"/>
          <w:szCs w:val="36"/>
        </w:rPr>
      </w:pPr>
    </w:p>
    <w:p w14:paraId="4FF1C3C4">
      <w:pPr>
        <w:spacing w:line="360" w:lineRule="auto"/>
        <w:ind w:right="420"/>
        <w:jc w:val="center"/>
        <w:rPr>
          <w:rFonts w:ascii="宋体" w:hAnsi="宋体" w:cs="宋体"/>
          <w:b/>
          <w:color w:val="auto"/>
          <w:kern w:val="0"/>
          <w:sz w:val="36"/>
          <w:szCs w:val="36"/>
        </w:rPr>
      </w:pPr>
    </w:p>
    <w:p w14:paraId="08F013DE">
      <w:pPr>
        <w:spacing w:line="360" w:lineRule="auto"/>
        <w:ind w:right="420"/>
        <w:jc w:val="center"/>
        <w:rPr>
          <w:rFonts w:ascii="宋体" w:hAnsi="宋体" w:cs="宋体"/>
          <w:b/>
          <w:color w:val="auto"/>
          <w:kern w:val="0"/>
          <w:sz w:val="36"/>
          <w:szCs w:val="36"/>
        </w:rPr>
      </w:pPr>
    </w:p>
    <w:p w14:paraId="7D36E112">
      <w:pPr>
        <w:spacing w:line="360" w:lineRule="auto"/>
        <w:ind w:right="420"/>
        <w:jc w:val="center"/>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3D655CEF">
      <w:pPr>
        <w:spacing w:line="360" w:lineRule="auto"/>
        <w:jc w:val="center"/>
        <w:rPr>
          <w:rFonts w:ascii="宋体" w:hAnsi="宋体" w:cs="宋体"/>
          <w:b/>
          <w:color w:val="auto"/>
          <w:kern w:val="0"/>
          <w:sz w:val="28"/>
          <w:szCs w:val="28"/>
        </w:rPr>
      </w:pPr>
      <w:r>
        <w:rPr>
          <w:rFonts w:hint="eastAsia" w:ascii="宋体" w:hAnsi="宋体" w:cs="宋体"/>
          <w:b/>
          <w:color w:val="auto"/>
          <w:kern w:val="0"/>
          <w:sz w:val="28"/>
          <w:szCs w:val="28"/>
        </w:rPr>
        <w:t>目录</w:t>
      </w:r>
    </w:p>
    <w:p w14:paraId="74AB1E27">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63B0BC7F">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0E3C3792">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372C90F0">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p>
    <w:p w14:paraId="43C12A2B">
      <w:pPr>
        <w:snapToGrid w:val="0"/>
        <w:spacing w:line="360" w:lineRule="auto"/>
        <w:ind w:left="479" w:leftChars="228" w:firstLine="480" w:firstLineChars="200"/>
        <w:rPr>
          <w:rFonts w:ascii="宋体" w:hAnsi="宋体" w:cs="宋体"/>
          <w:color w:val="auto"/>
          <w:sz w:val="24"/>
        </w:rPr>
      </w:pPr>
      <w:r>
        <w:rPr>
          <w:rFonts w:hint="eastAsia" w:ascii="宋体" w:hAnsi="宋体" w:cs="宋体"/>
          <w:color w:val="auto"/>
          <w:sz w:val="24"/>
        </w:rPr>
        <w:t>①对招标文件的技术响应；</w:t>
      </w:r>
    </w:p>
    <w:p w14:paraId="647B8B6F">
      <w:pPr>
        <w:snapToGrid w:val="0"/>
        <w:spacing w:line="360" w:lineRule="auto"/>
        <w:ind w:left="479" w:leftChars="228" w:firstLine="480" w:firstLineChars="200"/>
        <w:rPr>
          <w:rFonts w:ascii="宋体" w:hAnsi="宋体" w:cs="宋体"/>
          <w:color w:val="auto"/>
          <w:sz w:val="24"/>
        </w:rPr>
      </w:pPr>
      <w:r>
        <w:rPr>
          <w:rFonts w:hint="eastAsia" w:ascii="宋体" w:hAnsi="宋体" w:cs="宋体"/>
          <w:color w:val="auto"/>
          <w:sz w:val="24"/>
        </w:rPr>
        <w:t>②总体建设方案；</w:t>
      </w:r>
    </w:p>
    <w:p w14:paraId="72A11D07">
      <w:pPr>
        <w:snapToGrid w:val="0"/>
        <w:spacing w:line="360" w:lineRule="auto"/>
        <w:ind w:left="479" w:leftChars="228" w:firstLine="480" w:firstLineChars="200"/>
        <w:rPr>
          <w:rFonts w:ascii="宋体" w:hAnsi="宋体" w:cs="宋体"/>
          <w:color w:val="auto"/>
          <w:sz w:val="24"/>
        </w:rPr>
      </w:pPr>
      <w:r>
        <w:rPr>
          <w:rFonts w:hint="eastAsia" w:ascii="宋体" w:hAnsi="宋体" w:cs="宋体"/>
          <w:color w:val="auto"/>
          <w:sz w:val="24"/>
        </w:rPr>
        <w:t>③项目建设需求调研；</w:t>
      </w:r>
    </w:p>
    <w:p w14:paraId="29E3917A">
      <w:pPr>
        <w:snapToGrid w:val="0"/>
        <w:spacing w:line="360" w:lineRule="auto"/>
        <w:ind w:left="479" w:leftChars="228" w:firstLine="480" w:firstLineChars="200"/>
        <w:rPr>
          <w:rFonts w:ascii="宋体" w:hAnsi="宋体" w:cs="宋体"/>
          <w:color w:val="auto"/>
          <w:sz w:val="24"/>
        </w:rPr>
      </w:pPr>
      <w:r>
        <w:rPr>
          <w:rFonts w:hint="eastAsia" w:ascii="宋体" w:hAnsi="宋体" w:cs="宋体"/>
          <w:color w:val="auto"/>
          <w:sz w:val="24"/>
        </w:rPr>
        <w:t>④项目实施方案；</w:t>
      </w:r>
    </w:p>
    <w:p w14:paraId="1A50B995">
      <w:pPr>
        <w:snapToGrid w:val="0"/>
        <w:spacing w:line="360" w:lineRule="auto"/>
        <w:ind w:left="479" w:leftChars="228" w:firstLine="480" w:firstLineChars="200"/>
        <w:rPr>
          <w:rFonts w:ascii="宋体" w:hAnsi="宋体" w:cs="宋体"/>
          <w:color w:val="auto"/>
          <w:sz w:val="24"/>
        </w:rPr>
      </w:pPr>
      <w:r>
        <w:rPr>
          <w:rFonts w:hint="eastAsia" w:ascii="宋体" w:hAnsi="宋体" w:cs="宋体"/>
          <w:color w:val="auto"/>
          <w:sz w:val="24"/>
        </w:rPr>
        <w:t>⑤项目应急方案及措施；</w:t>
      </w:r>
    </w:p>
    <w:p w14:paraId="25EC4ED0">
      <w:pPr>
        <w:snapToGrid w:val="0"/>
        <w:spacing w:line="360" w:lineRule="auto"/>
        <w:ind w:left="479" w:leftChars="228" w:firstLine="480" w:firstLineChars="200"/>
        <w:rPr>
          <w:rFonts w:ascii="宋体" w:hAnsi="宋体" w:cs="宋体"/>
          <w:color w:val="auto"/>
          <w:sz w:val="24"/>
        </w:rPr>
      </w:pPr>
      <w:r>
        <w:rPr>
          <w:rFonts w:hint="eastAsia" w:ascii="宋体" w:hAnsi="宋体" w:cs="宋体"/>
          <w:color w:val="auto"/>
          <w:sz w:val="24"/>
        </w:rPr>
        <w:t>⑥项目实施培训方案；</w:t>
      </w:r>
    </w:p>
    <w:p w14:paraId="7598588D">
      <w:pPr>
        <w:snapToGrid w:val="0"/>
        <w:spacing w:line="360" w:lineRule="auto"/>
        <w:ind w:left="479" w:leftChars="228" w:firstLine="480" w:firstLineChars="200"/>
        <w:rPr>
          <w:rFonts w:ascii="宋体" w:hAnsi="宋体" w:cs="宋体"/>
          <w:color w:val="auto"/>
          <w:sz w:val="24"/>
        </w:rPr>
      </w:pPr>
      <w:r>
        <w:rPr>
          <w:rFonts w:hint="eastAsia" w:ascii="宋体" w:hAnsi="宋体" w:cs="宋体"/>
          <w:color w:val="auto"/>
          <w:sz w:val="24"/>
        </w:rPr>
        <w:t>⑦售后服务方案；</w:t>
      </w:r>
    </w:p>
    <w:p w14:paraId="708A1500">
      <w:pPr>
        <w:snapToGrid w:val="0"/>
        <w:spacing w:line="360" w:lineRule="auto"/>
        <w:ind w:left="479" w:leftChars="228" w:firstLine="480" w:firstLineChars="200"/>
        <w:rPr>
          <w:rFonts w:ascii="宋体" w:hAnsi="宋体" w:cs="宋体"/>
          <w:color w:val="auto"/>
          <w:sz w:val="24"/>
        </w:rPr>
      </w:pPr>
      <w:r>
        <w:rPr>
          <w:rFonts w:hint="eastAsia" w:ascii="宋体" w:hAnsi="宋体" w:cs="宋体"/>
          <w:color w:val="auto"/>
          <w:sz w:val="24"/>
        </w:rPr>
        <w:t>⑧科研服务方案；</w:t>
      </w:r>
    </w:p>
    <w:p w14:paraId="7C54A3E5">
      <w:pPr>
        <w:snapToGrid w:val="0"/>
        <w:spacing w:line="360" w:lineRule="auto"/>
        <w:ind w:left="479" w:leftChars="228" w:firstLine="480" w:firstLineChars="200"/>
        <w:rPr>
          <w:rFonts w:ascii="宋体" w:hAnsi="宋体" w:cs="宋体"/>
          <w:color w:val="auto"/>
          <w:sz w:val="24"/>
        </w:rPr>
      </w:pPr>
      <w:r>
        <w:rPr>
          <w:rFonts w:hint="eastAsia" w:ascii="宋体" w:hAnsi="宋体" w:cs="宋体"/>
          <w:color w:val="auto"/>
          <w:sz w:val="24"/>
        </w:rPr>
        <w:t>⑨人员配备；</w:t>
      </w:r>
    </w:p>
    <w:p w14:paraId="562094FB">
      <w:pPr>
        <w:snapToGrid w:val="0"/>
        <w:spacing w:line="360" w:lineRule="auto"/>
        <w:ind w:left="479" w:leftChars="228" w:firstLine="480" w:firstLineChars="200"/>
        <w:rPr>
          <w:rFonts w:ascii="宋体" w:hAnsi="宋体" w:cs="宋体"/>
          <w:color w:val="auto"/>
          <w:sz w:val="24"/>
        </w:rPr>
      </w:pPr>
      <w:r>
        <w:rPr>
          <w:rFonts w:hint="eastAsia" w:ascii="宋体" w:hAnsi="宋体" w:cs="宋体"/>
          <w:color w:val="auto"/>
          <w:sz w:val="24"/>
        </w:rPr>
        <w:t>⑩企业综合实力；</w:t>
      </w:r>
    </w:p>
    <w:p w14:paraId="3B0046B6">
      <w:pPr>
        <w:snapToGrid w:val="0"/>
        <w:spacing w:line="360" w:lineRule="auto"/>
        <w:ind w:left="479" w:leftChars="228" w:firstLine="480" w:firstLineChars="200"/>
        <w:rPr>
          <w:rFonts w:ascii="宋体" w:hAnsi="宋体" w:cs="宋体"/>
          <w:color w:val="auto"/>
          <w:sz w:val="24"/>
        </w:rPr>
      </w:pPr>
      <w:r>
        <w:rPr>
          <w:rFonts w:hint="eastAsia" w:ascii="宋体" w:hAnsi="宋体" w:cs="宋体"/>
          <w:color w:val="auto"/>
          <w:sz w:val="24"/>
        </w:rPr>
        <w:t>⑪业绩；</w:t>
      </w:r>
    </w:p>
    <w:p w14:paraId="14A592AE">
      <w:pPr>
        <w:snapToGrid w:val="0"/>
        <w:spacing w:line="360" w:lineRule="auto"/>
        <w:ind w:left="479" w:leftChars="228" w:firstLine="480" w:firstLineChars="200"/>
        <w:rPr>
          <w:rFonts w:ascii="宋体" w:hAnsi="宋体" w:cs="宋体"/>
          <w:color w:val="auto"/>
          <w:sz w:val="24"/>
        </w:rPr>
      </w:pPr>
      <w:r>
        <w:rPr>
          <w:rFonts w:hint="eastAsia" w:ascii="宋体" w:hAnsi="宋体" w:cs="宋体"/>
          <w:color w:val="auto"/>
          <w:sz w:val="24"/>
        </w:rPr>
        <w:t>⑫评分标准中要求提供的其他资料；</w:t>
      </w:r>
    </w:p>
    <w:p w14:paraId="2EF8D988">
      <w:pPr>
        <w:snapToGrid w:val="0"/>
        <w:spacing w:line="360" w:lineRule="auto"/>
        <w:ind w:left="479" w:leftChars="228" w:firstLine="480" w:firstLineChars="200"/>
        <w:rPr>
          <w:rFonts w:ascii="宋体" w:hAnsi="宋体" w:cs="宋体"/>
          <w:color w:val="auto"/>
          <w:sz w:val="24"/>
        </w:rPr>
      </w:pPr>
      <w:r>
        <w:rPr>
          <w:rFonts w:hint="eastAsia" w:ascii="宋体" w:hAnsi="宋体" w:cs="宋体"/>
          <w:color w:val="auto"/>
          <w:sz w:val="24"/>
        </w:rPr>
        <w:t>⑬投标人认为需要提供的其他资料。</w:t>
      </w:r>
    </w:p>
    <w:p w14:paraId="1BBDF25A">
      <w:pPr>
        <w:snapToGrid w:val="0"/>
        <w:spacing w:line="360" w:lineRule="auto"/>
        <w:ind w:left="479" w:leftChars="228"/>
        <w:rPr>
          <w:rFonts w:ascii="宋体" w:hAnsi="宋体" w:cs="宋体"/>
          <w:color w:val="auto"/>
        </w:rPr>
      </w:pPr>
      <w:r>
        <w:rPr>
          <w:rFonts w:hint="eastAsia" w:ascii="宋体" w:hAnsi="宋体" w:cs="宋体"/>
          <w:color w:val="auto"/>
          <w:sz w:val="24"/>
        </w:rPr>
        <w:t>（6）商务技术偏离表</w:t>
      </w:r>
      <w:r>
        <w:rPr>
          <w:rFonts w:hint="eastAsia" w:ascii="宋体" w:hAnsi="宋体" w:cs="宋体"/>
          <w:color w:val="auto"/>
        </w:rPr>
        <w:t>………………………………………………………………………（页码）</w:t>
      </w:r>
    </w:p>
    <w:p w14:paraId="61072628">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hint="eastAsia" w:ascii="宋体" w:hAnsi="宋体" w:cs="宋体"/>
          <w:color w:val="auto"/>
          <w:sz w:val="24"/>
        </w:rPr>
        <w:t>7</w:t>
      </w:r>
      <w:r>
        <w:rPr>
          <w:rFonts w:hint="eastAsia" w:ascii="宋体" w:hAnsi="宋体" w:cs="宋体"/>
          <w:color w:val="auto"/>
          <w:sz w:val="24"/>
          <w:lang w:val="zh-CN"/>
        </w:rPr>
        <w:t>）政府采购投标人廉洁自律承诺书</w:t>
      </w:r>
      <w:r>
        <w:rPr>
          <w:rFonts w:hint="eastAsia" w:ascii="宋体" w:hAnsi="宋体" w:cs="宋体"/>
          <w:color w:val="auto"/>
        </w:rPr>
        <w:t>…………………………………………………（页码）</w:t>
      </w:r>
    </w:p>
    <w:p w14:paraId="6A4FC6F6">
      <w:pPr>
        <w:snapToGrid w:val="0"/>
        <w:spacing w:line="360" w:lineRule="auto"/>
        <w:jc w:val="center"/>
        <w:rPr>
          <w:rFonts w:ascii="宋体" w:hAnsi="宋体" w:cs="宋体"/>
          <w:b/>
          <w:color w:val="auto"/>
          <w:kern w:val="0"/>
          <w:sz w:val="32"/>
          <w:szCs w:val="32"/>
          <w:lang w:val="zh-CN"/>
        </w:rPr>
      </w:pPr>
    </w:p>
    <w:p w14:paraId="1190C3EE">
      <w:pPr>
        <w:snapToGrid w:val="0"/>
        <w:spacing w:line="360" w:lineRule="auto"/>
        <w:jc w:val="center"/>
        <w:rPr>
          <w:rFonts w:ascii="宋体" w:hAnsi="宋体" w:cs="宋体"/>
          <w:b/>
          <w:color w:val="auto"/>
          <w:kern w:val="0"/>
          <w:sz w:val="32"/>
          <w:szCs w:val="32"/>
          <w:lang w:val="zh-CN"/>
        </w:rPr>
      </w:pPr>
    </w:p>
    <w:p w14:paraId="79B93EE6">
      <w:pPr>
        <w:snapToGrid w:val="0"/>
        <w:spacing w:line="360" w:lineRule="auto"/>
        <w:jc w:val="center"/>
        <w:rPr>
          <w:rFonts w:ascii="宋体" w:hAnsi="宋体" w:cs="宋体"/>
          <w:b/>
          <w:color w:val="auto"/>
          <w:kern w:val="0"/>
          <w:sz w:val="32"/>
          <w:szCs w:val="32"/>
          <w:lang w:val="zh-CN"/>
        </w:rPr>
      </w:pPr>
    </w:p>
    <w:p w14:paraId="52AEFBA8">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1DF950D9">
      <w:pPr>
        <w:snapToGrid w:val="0"/>
        <w:spacing w:line="360" w:lineRule="auto"/>
        <w:ind w:firstLine="3855" w:firstLineChars="120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009F4F21">
      <w:pPr>
        <w:snapToGrid w:val="0"/>
        <w:spacing w:line="300" w:lineRule="auto"/>
        <w:rPr>
          <w:rFonts w:ascii="宋体" w:hAnsi="宋体" w:cs="宋体"/>
          <w:color w:val="auto"/>
          <w:sz w:val="24"/>
        </w:rPr>
      </w:pPr>
      <w:r>
        <w:rPr>
          <w:rFonts w:hint="eastAsia" w:ascii="宋体" w:hAnsi="宋体" w:cs="宋体"/>
          <w:color w:val="auto"/>
          <w:sz w:val="24"/>
        </w:rPr>
        <w:t>（采购人）、（采购代理机构）：</w:t>
      </w:r>
    </w:p>
    <w:p w14:paraId="7AAB6499">
      <w:pPr>
        <w:snapToGrid w:val="0"/>
        <w:spacing w:line="300"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14:paraId="1C3F49F5">
      <w:pPr>
        <w:snapToGrid w:val="0"/>
        <w:spacing w:line="30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4304EB22">
      <w:pPr>
        <w:snapToGrid w:val="0"/>
        <w:spacing w:line="30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2EBD5ADC">
      <w:pPr>
        <w:snapToGrid w:val="0"/>
        <w:spacing w:line="30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315365CA">
      <w:pPr>
        <w:snapToGrid w:val="0"/>
        <w:spacing w:line="30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6774D53D">
      <w:pPr>
        <w:snapToGrid w:val="0"/>
        <w:spacing w:line="30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联合协议（如果有)；</w:t>
      </w:r>
    </w:p>
    <w:p w14:paraId="082583B8">
      <w:pPr>
        <w:snapToGrid w:val="0"/>
        <w:spacing w:line="30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223AD54E">
      <w:pPr>
        <w:snapToGrid w:val="0"/>
        <w:spacing w:line="30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4615D24C">
      <w:pPr>
        <w:snapToGrid w:val="0"/>
        <w:spacing w:line="300" w:lineRule="auto"/>
        <w:ind w:left="420" w:leftChars="200" w:firstLine="480" w:firstLineChars="200"/>
        <w:rPr>
          <w:rFonts w:ascii="宋体" w:hAnsi="宋体" w:cs="宋体"/>
          <w:color w:val="auto"/>
          <w:sz w:val="24"/>
        </w:rPr>
      </w:pPr>
      <w:r>
        <w:rPr>
          <w:rFonts w:hint="eastAsia" w:ascii="宋体" w:hAnsi="宋体" w:cs="宋体"/>
          <w:color w:val="auto"/>
          <w:sz w:val="24"/>
        </w:rPr>
        <w:t>2.1.5中小企业声明函；</w:t>
      </w:r>
    </w:p>
    <w:p w14:paraId="4E3199F5">
      <w:pPr>
        <w:snapToGrid w:val="0"/>
        <w:spacing w:line="300" w:lineRule="auto"/>
        <w:ind w:left="420" w:leftChars="200" w:firstLine="480" w:firstLineChars="200"/>
        <w:rPr>
          <w:rFonts w:ascii="宋体" w:hAnsi="宋体" w:cs="宋体"/>
          <w:color w:val="auto"/>
          <w:sz w:val="24"/>
        </w:rPr>
      </w:pPr>
      <w:r>
        <w:rPr>
          <w:rFonts w:hint="eastAsia" w:ascii="宋体" w:hAnsi="宋体" w:cs="宋体"/>
          <w:color w:val="auto"/>
          <w:sz w:val="24"/>
        </w:rPr>
        <w:t>2.1.6残疾人福利性单位声明函（如果有）。</w:t>
      </w:r>
    </w:p>
    <w:p w14:paraId="5FEC1881">
      <w:pPr>
        <w:snapToGrid w:val="0"/>
        <w:spacing w:line="30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7F74F828">
      <w:pPr>
        <w:snapToGrid w:val="0"/>
        <w:spacing w:line="30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45611AEE">
      <w:pPr>
        <w:snapToGrid w:val="0"/>
        <w:spacing w:line="30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3952F4CD">
      <w:pPr>
        <w:snapToGrid w:val="0"/>
        <w:spacing w:line="30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3E863C3B">
      <w:pPr>
        <w:snapToGrid w:val="0"/>
        <w:spacing w:line="30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3EC18285">
      <w:pPr>
        <w:snapToGrid w:val="0"/>
        <w:spacing w:line="30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20B8EF0D">
      <w:pPr>
        <w:snapToGrid w:val="0"/>
        <w:spacing w:line="300" w:lineRule="auto"/>
        <w:ind w:left="420" w:leftChars="200" w:firstLine="480" w:firstLineChars="200"/>
        <w:rPr>
          <w:rFonts w:ascii="宋体" w:hAnsi="宋体" w:cs="宋体"/>
          <w:color w:val="auto"/>
          <w:sz w:val="24"/>
        </w:rPr>
      </w:pPr>
      <w:r>
        <w:rPr>
          <w:rFonts w:hint="eastAsia" w:ascii="宋体" w:hAnsi="宋体" w:cs="宋体"/>
          <w:color w:val="auto"/>
          <w:sz w:val="24"/>
        </w:rPr>
        <w:t>2.2.6商务技术偏离表；</w:t>
      </w:r>
    </w:p>
    <w:p w14:paraId="71B78B2E">
      <w:pPr>
        <w:snapToGrid w:val="0"/>
        <w:spacing w:line="30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7</w:t>
      </w:r>
      <w:r>
        <w:rPr>
          <w:rFonts w:hint="eastAsia" w:ascii="宋体" w:hAnsi="宋体" w:cs="宋体"/>
          <w:color w:val="auto"/>
          <w:sz w:val="24"/>
          <w:lang w:val="zh-CN"/>
        </w:rPr>
        <w:t>政府采购投标人廉洁自律承诺书；</w:t>
      </w:r>
    </w:p>
    <w:p w14:paraId="29634C2A">
      <w:pPr>
        <w:snapToGrid w:val="0"/>
        <w:spacing w:line="30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616DA2D3">
      <w:pPr>
        <w:snapToGrid w:val="0"/>
        <w:spacing w:line="30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14:paraId="460C6200">
      <w:pPr>
        <w:snapToGrid w:val="0"/>
        <w:spacing w:line="300" w:lineRule="auto"/>
        <w:ind w:left="420" w:leftChars="200" w:firstLine="480" w:firstLineChars="200"/>
        <w:rPr>
          <w:rFonts w:ascii="宋体" w:hAnsi="宋体" w:cs="宋体"/>
          <w:color w:val="auto"/>
          <w:sz w:val="24"/>
        </w:rPr>
      </w:pPr>
      <w:r>
        <w:rPr>
          <w:rFonts w:hint="eastAsia" w:ascii="宋体" w:hAnsi="宋体" w:cs="宋体"/>
          <w:color w:val="auto"/>
          <w:sz w:val="24"/>
        </w:rPr>
        <w:t>2.3.2分项报价表。</w:t>
      </w:r>
    </w:p>
    <w:p w14:paraId="641882AC">
      <w:pPr>
        <w:snapToGrid w:val="0"/>
        <w:spacing w:line="30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w:t>
      </w:r>
    </w:p>
    <w:p w14:paraId="1B59F72C">
      <w:pPr>
        <w:snapToGrid w:val="0"/>
        <w:spacing w:line="30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656C2208">
      <w:pPr>
        <w:snapToGrid w:val="0"/>
        <w:spacing w:line="30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00627EF4">
      <w:pPr>
        <w:snapToGrid w:val="0"/>
        <w:spacing w:line="30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5DACF549">
      <w:pPr>
        <w:snapToGrid w:val="0"/>
        <w:spacing w:line="300" w:lineRule="auto"/>
        <w:ind w:left="210" w:leftChars="100" w:firstLine="480" w:firstLineChars="200"/>
        <w:rPr>
          <w:rFonts w:ascii="宋体" w:hAnsi="宋体" w:cs="宋体"/>
          <w:color w:val="auto"/>
          <w:sz w:val="24"/>
        </w:rPr>
      </w:pPr>
      <w:r>
        <w:rPr>
          <w:rFonts w:hint="eastAsia" w:ascii="宋体" w:hAnsi="宋体" w:cs="宋体"/>
          <w:color w:val="auto"/>
          <w:sz w:val="24"/>
        </w:rPr>
        <w:t>4.3在合同约定的期限内完成合同规定的全部义务。</w:t>
      </w:r>
    </w:p>
    <w:p w14:paraId="4F4AD686">
      <w:pPr>
        <w:snapToGrid w:val="0"/>
        <w:spacing w:line="300" w:lineRule="auto"/>
        <w:ind w:left="210" w:leftChars="100" w:firstLine="480" w:firstLineChars="200"/>
        <w:rPr>
          <w:rFonts w:ascii="宋体" w:hAnsi="宋体" w:cs="宋体"/>
          <w:color w:val="auto"/>
          <w:sz w:val="24"/>
        </w:rPr>
      </w:pPr>
      <w:r>
        <w:rPr>
          <w:rFonts w:hint="eastAsia" w:ascii="宋体" w:hAnsi="宋体" w:cs="宋体"/>
          <w:color w:val="auto"/>
          <w:sz w:val="24"/>
        </w:rPr>
        <w:t>4.4</w:t>
      </w:r>
      <w:r>
        <w:rPr>
          <w:rFonts w:hint="eastAsia" w:cs="宋体" w:asciiTheme="minorEastAsia" w:hAnsiTheme="minorEastAsia" w:eastAsiaTheme="minorEastAsia"/>
          <w:color w:val="auto"/>
          <w:sz w:val="24"/>
        </w:rPr>
        <w:t>按照招标文件的规定，在中标后向采购代理机构一次性支付招标代理服务费。</w:t>
      </w:r>
      <w:r>
        <w:rPr>
          <w:rFonts w:hint="eastAsia" w:ascii="宋体" w:hAnsi="宋体" w:cs="宋体"/>
          <w:color w:val="auto"/>
          <w:sz w:val="24"/>
        </w:rPr>
        <w:t xml:space="preserve"> </w:t>
      </w:r>
    </w:p>
    <w:p w14:paraId="0514B537">
      <w:pPr>
        <w:snapToGrid w:val="0"/>
        <w:spacing w:line="30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0678ACFE">
      <w:pPr>
        <w:spacing w:line="30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5E912D9D">
      <w:pPr>
        <w:spacing w:line="300" w:lineRule="auto"/>
        <w:jc w:val="center"/>
        <w:rPr>
          <w:rFonts w:ascii="宋体" w:hAnsi="宋体" w:cs="宋体"/>
          <w:color w:val="auto"/>
          <w:sz w:val="24"/>
        </w:rPr>
      </w:pPr>
      <w:r>
        <w:rPr>
          <w:rFonts w:hint="eastAsia" w:ascii="宋体" w:hAnsi="宋体" w:cs="宋体"/>
          <w:color w:val="auto"/>
          <w:sz w:val="24"/>
        </w:rPr>
        <w:t xml:space="preserve">     日期：  年   月   日</w:t>
      </w:r>
    </w:p>
    <w:p w14:paraId="028FD9B9">
      <w:pPr>
        <w:widowControl/>
        <w:adjustRightInd/>
        <w:spacing w:line="300" w:lineRule="auto"/>
        <w:jc w:val="left"/>
        <w:rPr>
          <w:rFonts w:ascii="宋体" w:hAnsi="宋体" w:cs="宋体"/>
          <w:b/>
          <w:color w:val="auto"/>
          <w:kern w:val="0"/>
          <w:sz w:val="32"/>
          <w:szCs w:val="32"/>
        </w:rPr>
      </w:pPr>
      <w:r>
        <w:rPr>
          <w:rFonts w:hint="eastAsia" w:ascii="宋体" w:hAnsi="宋体" w:cs="宋体"/>
          <w:color w:val="auto"/>
          <w:sz w:val="24"/>
        </w:rPr>
        <w:t>注：按本格式和要求提供。</w:t>
      </w:r>
      <w:r>
        <w:rPr>
          <w:rFonts w:ascii="宋体" w:hAnsi="宋体" w:cs="宋体"/>
          <w:b/>
          <w:color w:val="auto"/>
          <w:kern w:val="0"/>
          <w:sz w:val="32"/>
          <w:szCs w:val="32"/>
        </w:rPr>
        <w:br w:type="page"/>
      </w:r>
    </w:p>
    <w:p w14:paraId="63A04115">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15EDA949">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59841A27">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3BEC32B2">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6F61990C">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0E395F04">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49FEE775">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53024686">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19586669">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6F5D9AEA">
      <w:pPr>
        <w:snapToGrid w:val="0"/>
        <w:spacing w:line="360" w:lineRule="auto"/>
        <w:rPr>
          <w:rFonts w:ascii="宋体" w:hAnsi="宋体" w:cs="宋体"/>
          <w:color w:val="auto"/>
          <w:sz w:val="24"/>
        </w:rPr>
      </w:pPr>
    </w:p>
    <w:p w14:paraId="750CFBDD">
      <w:pPr>
        <w:snapToGrid w:val="0"/>
        <w:spacing w:line="360" w:lineRule="auto"/>
        <w:rPr>
          <w:rFonts w:ascii="宋体" w:hAnsi="宋体" w:cs="宋体"/>
          <w:color w:val="auto"/>
          <w:sz w:val="24"/>
        </w:rPr>
      </w:pPr>
    </w:p>
    <w:p w14:paraId="0E274D0B">
      <w:pPr>
        <w:snapToGrid w:val="0"/>
        <w:spacing w:line="360" w:lineRule="auto"/>
        <w:rPr>
          <w:rFonts w:ascii="宋体" w:hAnsi="宋体" w:cs="宋体"/>
          <w:color w:val="auto"/>
          <w:sz w:val="24"/>
        </w:rPr>
      </w:pPr>
    </w:p>
    <w:p w14:paraId="14C346F0">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2285118C">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65FEEFB7">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003F20BE">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10D7C3A9">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4079EB6F">
      <w:pPr>
        <w:jc w:val="center"/>
        <w:rPr>
          <w:rFonts w:ascii="宋体" w:hAnsi="宋体" w:cs="宋体"/>
          <w:b/>
          <w:color w:val="auto"/>
          <w:kern w:val="0"/>
          <w:sz w:val="32"/>
          <w:szCs w:val="32"/>
        </w:rPr>
      </w:pPr>
    </w:p>
    <w:p w14:paraId="2049DCA5">
      <w:pPr>
        <w:jc w:val="center"/>
        <w:rPr>
          <w:rFonts w:ascii="宋体" w:hAnsi="宋体" w:cs="宋体"/>
          <w:b/>
          <w:color w:val="auto"/>
          <w:kern w:val="0"/>
          <w:sz w:val="32"/>
          <w:szCs w:val="32"/>
        </w:rPr>
      </w:pPr>
    </w:p>
    <w:p w14:paraId="4CA27165">
      <w:pPr>
        <w:jc w:val="center"/>
        <w:rPr>
          <w:rFonts w:ascii="宋体" w:hAnsi="宋体" w:cs="宋体"/>
          <w:b/>
          <w:color w:val="auto"/>
          <w:kern w:val="0"/>
          <w:sz w:val="32"/>
          <w:szCs w:val="32"/>
        </w:rPr>
      </w:pPr>
    </w:p>
    <w:p w14:paraId="0EE50629">
      <w:pPr>
        <w:rPr>
          <w:rFonts w:ascii="宋体" w:hAnsi="宋体" w:cs="宋体"/>
          <w:color w:val="auto"/>
        </w:rPr>
      </w:pPr>
    </w:p>
    <w:p w14:paraId="032A1DE7">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01C9D394">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36C69223">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7AE10A1F">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264E2F6A">
      <w:pPr>
        <w:autoSpaceDE w:val="0"/>
        <w:autoSpaceDN w:val="0"/>
        <w:spacing w:line="360" w:lineRule="auto"/>
        <w:jc w:val="center"/>
        <w:rPr>
          <w:rFonts w:ascii="宋体" w:hAnsi="宋体" w:cs="宋体"/>
          <w:b/>
          <w:color w:val="auto"/>
          <w:kern w:val="0"/>
          <w:sz w:val="32"/>
          <w:szCs w:val="32"/>
          <w:lang w:val="zh-CN"/>
        </w:rPr>
      </w:pPr>
    </w:p>
    <w:p w14:paraId="207DBB91">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12917D26">
      <w:pPr>
        <w:pStyle w:val="150"/>
        <w:spacing w:line="360" w:lineRule="auto"/>
        <w:rPr>
          <w:rFonts w:hAnsi="宋体" w:cs="宋体"/>
          <w:bCs/>
          <w:color w:val="auto"/>
          <w:sz w:val="24"/>
        </w:rPr>
      </w:pPr>
      <w:r>
        <w:rPr>
          <w:rFonts w:hint="eastAsia" w:hAnsi="宋体" w:cs="宋体"/>
          <w:bCs/>
          <w:color w:val="auto"/>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F394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727ADB9D">
            <w:pPr>
              <w:pStyle w:val="150"/>
              <w:adjustRightInd w:val="0"/>
              <w:spacing w:line="360" w:lineRule="auto"/>
              <w:rPr>
                <w:rFonts w:hAnsi="宋体" w:cs="宋体"/>
                <w:bCs/>
                <w:color w:val="auto"/>
                <w:sz w:val="24"/>
              </w:rPr>
            </w:pPr>
            <w:r>
              <w:rPr>
                <w:rFonts w:hint="eastAsia" w:hAnsi="宋体" w:cs="宋体"/>
                <w:bCs/>
                <w:color w:val="auto"/>
                <w:sz w:val="24"/>
              </w:rPr>
              <w:t>正面：                                 反面：</w:t>
            </w:r>
          </w:p>
          <w:p w14:paraId="6E481ACE">
            <w:pPr>
              <w:pStyle w:val="150"/>
              <w:adjustRightInd w:val="0"/>
              <w:spacing w:line="360" w:lineRule="auto"/>
              <w:rPr>
                <w:rFonts w:hAnsi="宋体" w:cs="宋体"/>
                <w:bCs/>
                <w:color w:val="auto"/>
                <w:sz w:val="24"/>
              </w:rPr>
            </w:pPr>
          </w:p>
        </w:tc>
      </w:tr>
    </w:tbl>
    <w:p w14:paraId="3423472D">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486E4F08">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4ADABCE6">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448D98F9">
      <w:pPr>
        <w:jc w:val="center"/>
        <w:rPr>
          <w:rFonts w:ascii="宋体" w:hAnsi="宋体" w:cs="宋体"/>
          <w:b/>
          <w:color w:val="auto"/>
          <w:kern w:val="0"/>
          <w:sz w:val="32"/>
          <w:szCs w:val="32"/>
        </w:rPr>
      </w:pPr>
    </w:p>
    <w:p w14:paraId="073264FF">
      <w:pPr>
        <w:jc w:val="center"/>
        <w:rPr>
          <w:rFonts w:ascii="宋体" w:hAnsi="宋体" w:cs="宋体"/>
          <w:b/>
          <w:color w:val="auto"/>
          <w:kern w:val="0"/>
          <w:sz w:val="32"/>
          <w:szCs w:val="32"/>
        </w:rPr>
      </w:pPr>
    </w:p>
    <w:p w14:paraId="33594AA0">
      <w:pPr>
        <w:jc w:val="center"/>
        <w:rPr>
          <w:rFonts w:ascii="宋体" w:hAnsi="宋体" w:cs="宋体"/>
          <w:b/>
          <w:color w:val="auto"/>
          <w:kern w:val="0"/>
          <w:sz w:val="32"/>
          <w:szCs w:val="32"/>
        </w:rPr>
      </w:pPr>
    </w:p>
    <w:p w14:paraId="0390BA9D">
      <w:pPr>
        <w:jc w:val="center"/>
        <w:rPr>
          <w:rFonts w:ascii="宋体" w:hAnsi="宋体" w:cs="宋体"/>
          <w:b/>
          <w:color w:val="auto"/>
          <w:kern w:val="0"/>
          <w:sz w:val="32"/>
          <w:szCs w:val="32"/>
        </w:rPr>
      </w:pPr>
    </w:p>
    <w:p w14:paraId="6253CE62">
      <w:pPr>
        <w:jc w:val="center"/>
        <w:rPr>
          <w:rFonts w:ascii="宋体" w:hAnsi="宋体" w:cs="宋体"/>
          <w:b/>
          <w:color w:val="auto"/>
          <w:kern w:val="0"/>
          <w:sz w:val="32"/>
          <w:szCs w:val="32"/>
        </w:rPr>
      </w:pPr>
    </w:p>
    <w:p w14:paraId="44216C07">
      <w:pPr>
        <w:jc w:val="center"/>
        <w:rPr>
          <w:rFonts w:ascii="宋体" w:hAnsi="宋体" w:cs="宋体"/>
          <w:b/>
          <w:color w:val="auto"/>
          <w:kern w:val="0"/>
          <w:sz w:val="32"/>
          <w:szCs w:val="32"/>
        </w:rPr>
      </w:pPr>
    </w:p>
    <w:p w14:paraId="513A2DFF">
      <w:pPr>
        <w:jc w:val="center"/>
        <w:rPr>
          <w:rFonts w:ascii="宋体" w:hAnsi="宋体" w:cs="宋体"/>
          <w:b/>
          <w:color w:val="auto"/>
          <w:kern w:val="0"/>
          <w:sz w:val="32"/>
          <w:szCs w:val="32"/>
        </w:rPr>
      </w:pPr>
    </w:p>
    <w:p w14:paraId="4003673A">
      <w:pPr>
        <w:jc w:val="center"/>
        <w:rPr>
          <w:rFonts w:ascii="宋体" w:hAnsi="宋体" w:cs="宋体"/>
          <w:b/>
          <w:color w:val="auto"/>
          <w:kern w:val="0"/>
          <w:sz w:val="32"/>
          <w:szCs w:val="32"/>
        </w:rPr>
      </w:pPr>
    </w:p>
    <w:p w14:paraId="5D9C02DF">
      <w:pPr>
        <w:jc w:val="center"/>
        <w:rPr>
          <w:rFonts w:ascii="宋体" w:hAnsi="宋体" w:cs="宋体"/>
          <w:b/>
          <w:color w:val="auto"/>
          <w:kern w:val="0"/>
          <w:sz w:val="32"/>
          <w:szCs w:val="32"/>
        </w:rPr>
      </w:pPr>
    </w:p>
    <w:p w14:paraId="452706F1">
      <w:pPr>
        <w:jc w:val="center"/>
        <w:rPr>
          <w:rFonts w:ascii="宋体" w:hAnsi="宋体" w:cs="宋体"/>
          <w:b/>
          <w:color w:val="auto"/>
          <w:kern w:val="0"/>
          <w:sz w:val="32"/>
          <w:szCs w:val="32"/>
        </w:rPr>
      </w:pPr>
    </w:p>
    <w:p w14:paraId="02AC064A">
      <w:pPr>
        <w:snapToGrid w:val="0"/>
        <w:spacing w:line="360" w:lineRule="auto"/>
        <w:ind w:right="480"/>
        <w:rPr>
          <w:rFonts w:ascii="宋体" w:hAnsi="宋体" w:cs="宋体"/>
          <w:b/>
          <w:color w:val="auto"/>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57F4443A">
      <w:pPr>
        <w:snapToGrid w:val="0"/>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50EA5BC2">
      <w:pPr>
        <w:widowControl/>
        <w:spacing w:line="360" w:lineRule="auto"/>
        <w:ind w:firstLine="120" w:firstLineChars="50"/>
        <w:jc w:val="left"/>
        <w:rPr>
          <w:rFonts w:ascii="宋体" w:hAnsi="宋体" w:cs="宋体"/>
          <w:color w:val="auto"/>
          <w:sz w:val="24"/>
        </w:rPr>
      </w:pPr>
      <w:bookmarkStart w:id="517" w:name="_Hlk101169080"/>
      <w:r>
        <w:rPr>
          <w:rFonts w:hint="eastAsia" w:ascii="宋体" w:hAnsi="宋体" w:cs="宋体"/>
          <w:color w:val="auto"/>
          <w:sz w:val="24"/>
        </w:rPr>
        <w:t>[</w:t>
      </w:r>
      <w:r>
        <w:rPr>
          <w:rFonts w:hint="eastAsia" w:ascii="宋体" w:hAnsi="宋体" w:cs="宋体"/>
          <w:b/>
          <w:color w:val="auto"/>
          <w:sz w:val="24"/>
        </w:rPr>
        <w:t>中标后以分包方式履行合同的，提供分包意向协议(附件5</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bookmarkEnd w:id="517"/>
    <w:p w14:paraId="49CEF087">
      <w:pPr>
        <w:snapToGrid w:val="0"/>
        <w:spacing w:line="360" w:lineRule="auto"/>
        <w:rPr>
          <w:rFonts w:ascii="宋体" w:hAnsi="宋体" w:cs="宋体"/>
          <w:color w:val="auto"/>
          <w:kern w:val="0"/>
          <w:sz w:val="24"/>
        </w:rPr>
      </w:pPr>
    </w:p>
    <w:p w14:paraId="22EE36B9">
      <w:pPr>
        <w:jc w:val="center"/>
        <w:rPr>
          <w:rFonts w:ascii="宋体" w:hAnsi="宋体" w:cs="宋体"/>
          <w:b/>
          <w:color w:val="auto"/>
          <w:kern w:val="0"/>
          <w:sz w:val="32"/>
          <w:szCs w:val="32"/>
        </w:rPr>
      </w:pPr>
    </w:p>
    <w:p w14:paraId="27B61C38">
      <w:pPr>
        <w:tabs>
          <w:tab w:val="left" w:pos="432"/>
        </w:tabs>
        <w:rPr>
          <w:color w:val="auto"/>
        </w:rPr>
      </w:pPr>
    </w:p>
    <w:p w14:paraId="10654EFD">
      <w:pPr>
        <w:rPr>
          <w:color w:val="auto"/>
        </w:rPr>
      </w:pPr>
    </w:p>
    <w:p w14:paraId="1993EDB2">
      <w:pPr>
        <w:tabs>
          <w:tab w:val="left" w:pos="432"/>
        </w:tabs>
        <w:rPr>
          <w:color w:val="auto"/>
        </w:rPr>
      </w:pPr>
    </w:p>
    <w:p w14:paraId="5B127877">
      <w:pPr>
        <w:jc w:val="center"/>
        <w:rPr>
          <w:rFonts w:ascii="宋体" w:hAnsi="宋体" w:cs="宋体"/>
          <w:b/>
          <w:color w:val="auto"/>
          <w:kern w:val="0"/>
          <w:sz w:val="32"/>
          <w:szCs w:val="32"/>
        </w:rPr>
      </w:pPr>
    </w:p>
    <w:p w14:paraId="6EA44CE9">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30278520">
      <w:pPr>
        <w:jc w:val="center"/>
        <w:rPr>
          <w:rFonts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440"/>
        <w:gridCol w:w="3102"/>
        <w:gridCol w:w="1418"/>
      </w:tblGrid>
      <w:tr w14:paraId="6FB7E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72AE77A">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440" w:type="dxa"/>
            <w:vAlign w:val="center"/>
          </w:tcPr>
          <w:p w14:paraId="43FF1EC5">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3102" w:type="dxa"/>
            <w:vAlign w:val="center"/>
          </w:tcPr>
          <w:p w14:paraId="2D4C3153">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5F0D1B1C">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14:paraId="14D5F8D6">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14:paraId="46DD1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C2459B6">
            <w:pPr>
              <w:jc w:val="center"/>
              <w:rPr>
                <w:rFonts w:ascii="宋体" w:hAnsi="宋体" w:cs="宋体"/>
                <w:color w:val="auto"/>
                <w:sz w:val="24"/>
              </w:rPr>
            </w:pPr>
            <w:r>
              <w:rPr>
                <w:rFonts w:hint="eastAsia" w:ascii="宋体" w:hAnsi="宋体" w:cs="宋体"/>
                <w:color w:val="auto"/>
                <w:sz w:val="24"/>
              </w:rPr>
              <w:t>1</w:t>
            </w:r>
          </w:p>
        </w:tc>
        <w:tc>
          <w:tcPr>
            <w:tcW w:w="4440" w:type="dxa"/>
            <w:vAlign w:val="center"/>
          </w:tcPr>
          <w:p w14:paraId="19928B70">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3102" w:type="dxa"/>
            <w:vAlign w:val="center"/>
          </w:tcPr>
          <w:p w14:paraId="25FC05F4">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vAlign w:val="center"/>
          </w:tcPr>
          <w:p w14:paraId="507D394E">
            <w:pPr>
              <w:rPr>
                <w:rFonts w:ascii="宋体" w:hAnsi="宋体" w:cs="宋体"/>
                <w:color w:val="auto"/>
                <w:sz w:val="24"/>
              </w:rPr>
            </w:pPr>
            <w:r>
              <w:rPr>
                <w:rFonts w:hint="eastAsia" w:ascii="宋体" w:hAnsi="宋体" w:cs="宋体"/>
                <w:color w:val="auto"/>
                <w:sz w:val="24"/>
              </w:rPr>
              <w:t>见投标文件</w:t>
            </w:r>
          </w:p>
          <w:p w14:paraId="6F0C531A">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094A6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9D36720">
            <w:pPr>
              <w:jc w:val="center"/>
              <w:rPr>
                <w:rFonts w:ascii="宋体" w:hAnsi="宋体" w:cs="宋体"/>
                <w:color w:val="auto"/>
                <w:sz w:val="24"/>
              </w:rPr>
            </w:pPr>
            <w:r>
              <w:rPr>
                <w:rFonts w:hint="eastAsia" w:ascii="宋体" w:hAnsi="宋体" w:cs="宋体"/>
                <w:color w:val="auto"/>
                <w:sz w:val="24"/>
              </w:rPr>
              <w:t>2</w:t>
            </w:r>
          </w:p>
        </w:tc>
        <w:tc>
          <w:tcPr>
            <w:tcW w:w="4440" w:type="dxa"/>
            <w:vAlign w:val="center"/>
          </w:tcPr>
          <w:p w14:paraId="2E27F56B">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3102" w:type="dxa"/>
            <w:vAlign w:val="center"/>
          </w:tcPr>
          <w:p w14:paraId="4DFEC597">
            <w:pPr>
              <w:rPr>
                <w:rFonts w:ascii="宋体" w:hAnsi="宋体" w:cs="宋体"/>
                <w:color w:val="auto"/>
                <w:sz w:val="24"/>
              </w:rPr>
            </w:pPr>
            <w:r>
              <w:rPr>
                <w:rFonts w:hint="eastAsia" w:ascii="宋体" w:hAnsi="宋体" w:cs="宋体"/>
                <w:color w:val="auto"/>
                <w:sz w:val="24"/>
              </w:rPr>
              <w:t>投标函</w:t>
            </w:r>
          </w:p>
        </w:tc>
        <w:tc>
          <w:tcPr>
            <w:tcW w:w="1418" w:type="dxa"/>
            <w:vAlign w:val="center"/>
          </w:tcPr>
          <w:p w14:paraId="41EF02C7">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0A807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739ECA6">
            <w:pPr>
              <w:jc w:val="center"/>
              <w:rPr>
                <w:rFonts w:ascii="宋体" w:hAnsi="宋体" w:cs="宋体"/>
                <w:color w:val="auto"/>
                <w:sz w:val="24"/>
              </w:rPr>
            </w:pPr>
            <w:r>
              <w:rPr>
                <w:rFonts w:hint="eastAsia" w:ascii="宋体" w:hAnsi="宋体" w:cs="宋体"/>
                <w:color w:val="auto"/>
                <w:sz w:val="24"/>
              </w:rPr>
              <w:t>3</w:t>
            </w:r>
          </w:p>
        </w:tc>
        <w:tc>
          <w:tcPr>
            <w:tcW w:w="4440" w:type="dxa"/>
            <w:vAlign w:val="center"/>
          </w:tcPr>
          <w:p w14:paraId="54383DF2">
            <w:pPr>
              <w:spacing w:line="360" w:lineRule="auto"/>
              <w:rPr>
                <w:rFonts w:ascii="宋体" w:hAnsi="宋体" w:cs="宋体"/>
                <w:color w:val="auto"/>
                <w:sz w:val="24"/>
              </w:rPr>
            </w:pPr>
            <w:r>
              <w:rPr>
                <w:rFonts w:hint="eastAsia" w:ascii="宋体" w:hAnsi="宋体" w:cs="宋体"/>
                <w:color w:val="auto"/>
                <w:sz w:val="24"/>
              </w:rPr>
              <w:t>投标文件满足招标文件的其它实质性要求。</w:t>
            </w:r>
          </w:p>
        </w:tc>
        <w:tc>
          <w:tcPr>
            <w:tcW w:w="3102" w:type="dxa"/>
            <w:vAlign w:val="center"/>
          </w:tcPr>
          <w:p w14:paraId="0CAD5C1C">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vAlign w:val="center"/>
          </w:tcPr>
          <w:p w14:paraId="71B366ED">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14:paraId="7DDEAF4E">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62F83D2B">
      <w:pPr>
        <w:jc w:val="center"/>
        <w:rPr>
          <w:rFonts w:ascii="宋体" w:hAnsi="宋体" w:cs="宋体"/>
          <w:b/>
          <w:color w:val="auto"/>
          <w:kern w:val="0"/>
          <w:sz w:val="32"/>
          <w:szCs w:val="32"/>
        </w:rPr>
      </w:pPr>
    </w:p>
    <w:p w14:paraId="684F81F2">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4D390D43">
      <w:pPr>
        <w:jc w:val="center"/>
        <w:rPr>
          <w:rFonts w:ascii="宋体" w:hAnsi="宋体" w:cs="宋体"/>
          <w:b/>
          <w:color w:val="auto"/>
          <w:kern w:val="0"/>
          <w:sz w:val="32"/>
          <w:szCs w:val="32"/>
        </w:rPr>
      </w:pPr>
    </w:p>
    <w:p w14:paraId="20BE8FD8">
      <w:pPr>
        <w:jc w:val="center"/>
        <w:rPr>
          <w:rFonts w:ascii="宋体" w:hAnsi="宋体" w:cs="宋体"/>
          <w:b/>
          <w:color w:val="auto"/>
          <w:kern w:val="0"/>
          <w:sz w:val="32"/>
          <w:szCs w:val="32"/>
        </w:rPr>
      </w:pPr>
    </w:p>
    <w:p w14:paraId="49A11667">
      <w:pPr>
        <w:jc w:val="center"/>
        <w:rPr>
          <w:rFonts w:ascii="宋体" w:hAnsi="宋体" w:cs="宋体"/>
          <w:b/>
          <w:color w:val="auto"/>
          <w:kern w:val="0"/>
          <w:sz w:val="32"/>
          <w:szCs w:val="32"/>
        </w:rPr>
      </w:pPr>
    </w:p>
    <w:p w14:paraId="43E54B74">
      <w:pPr>
        <w:jc w:val="center"/>
        <w:rPr>
          <w:rFonts w:ascii="宋体" w:hAnsi="宋体" w:cs="宋体"/>
          <w:b/>
          <w:color w:val="auto"/>
          <w:kern w:val="0"/>
          <w:sz w:val="32"/>
          <w:szCs w:val="32"/>
        </w:rPr>
      </w:pPr>
    </w:p>
    <w:p w14:paraId="4E8C7968">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7E1A6391">
      <w:pPr>
        <w:jc w:val="center"/>
        <w:rPr>
          <w:rFonts w:ascii="宋体" w:hAnsi="宋体" w:cs="宋体"/>
          <w:color w:val="auto"/>
        </w:rPr>
      </w:pPr>
      <w:r>
        <w:rPr>
          <w:rFonts w:hint="eastAsia" w:ascii="宋体" w:hAnsi="宋体" w:cs="宋体"/>
          <w:b/>
          <w:color w:val="auto"/>
          <w:kern w:val="0"/>
          <w:sz w:val="32"/>
          <w:szCs w:val="32"/>
        </w:rPr>
        <w:t>五、评标标准相应的商务技术资料</w:t>
      </w:r>
    </w:p>
    <w:p w14:paraId="556ABB3E">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14:paraId="7A9E263E">
      <w:pPr>
        <w:jc w:val="center"/>
        <w:rPr>
          <w:rFonts w:ascii="宋体" w:hAnsi="宋体" w:cs="宋体"/>
          <w:b/>
          <w:color w:val="auto"/>
          <w:kern w:val="0"/>
          <w:sz w:val="32"/>
          <w:szCs w:val="32"/>
        </w:rPr>
      </w:pPr>
    </w:p>
    <w:p w14:paraId="202E07DF">
      <w:pPr>
        <w:jc w:val="center"/>
        <w:rPr>
          <w:rFonts w:ascii="宋体" w:hAnsi="宋体" w:cs="宋体"/>
          <w:b/>
          <w:color w:val="auto"/>
          <w:kern w:val="0"/>
          <w:sz w:val="32"/>
          <w:szCs w:val="32"/>
        </w:rPr>
      </w:pPr>
    </w:p>
    <w:p w14:paraId="20F0A67E">
      <w:pPr>
        <w:jc w:val="center"/>
        <w:rPr>
          <w:rFonts w:ascii="宋体" w:hAnsi="宋体" w:cs="宋体"/>
          <w:b/>
          <w:color w:val="auto"/>
          <w:kern w:val="0"/>
          <w:sz w:val="32"/>
          <w:szCs w:val="32"/>
        </w:rPr>
      </w:pPr>
    </w:p>
    <w:p w14:paraId="4B2FF741">
      <w:pPr>
        <w:jc w:val="center"/>
        <w:rPr>
          <w:rFonts w:ascii="宋体" w:hAnsi="宋体" w:cs="宋体"/>
          <w:b/>
          <w:color w:val="auto"/>
          <w:kern w:val="0"/>
          <w:sz w:val="32"/>
          <w:szCs w:val="32"/>
        </w:rPr>
      </w:pPr>
      <w:r>
        <w:rPr>
          <w:rFonts w:hint="eastAsia" w:ascii="宋体" w:hAnsi="宋体" w:cs="宋体"/>
          <w:b/>
          <w:color w:val="auto"/>
          <w:kern w:val="0"/>
          <w:sz w:val="32"/>
          <w:szCs w:val="32"/>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5BBC1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A2D5D65">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14:paraId="0964AAEF">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14:paraId="75FE51FC">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14:paraId="389C3578">
            <w:pPr>
              <w:jc w:val="center"/>
              <w:rPr>
                <w:rFonts w:ascii="宋体" w:hAnsi="宋体" w:cs="宋体"/>
                <w:b/>
                <w:bCs/>
                <w:color w:val="auto"/>
                <w:sz w:val="24"/>
              </w:rPr>
            </w:pPr>
            <w:r>
              <w:rPr>
                <w:rFonts w:hint="eastAsia" w:ascii="宋体" w:hAnsi="宋体" w:cs="宋体"/>
                <w:b/>
                <w:bCs/>
                <w:color w:val="auto"/>
                <w:sz w:val="24"/>
              </w:rPr>
              <w:t>偏离说明</w:t>
            </w:r>
          </w:p>
        </w:tc>
      </w:tr>
      <w:tr w14:paraId="49579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0E627A">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14:paraId="51E4BFE8">
            <w:pPr>
              <w:jc w:val="center"/>
              <w:rPr>
                <w:rFonts w:ascii="宋体" w:hAnsi="宋体" w:cs="宋体"/>
                <w:b/>
                <w:color w:val="auto"/>
                <w:kern w:val="0"/>
                <w:sz w:val="32"/>
                <w:szCs w:val="32"/>
              </w:rPr>
            </w:pPr>
          </w:p>
        </w:tc>
        <w:tc>
          <w:tcPr>
            <w:tcW w:w="3546" w:type="dxa"/>
          </w:tcPr>
          <w:p w14:paraId="4FA2FC19">
            <w:pPr>
              <w:jc w:val="center"/>
              <w:rPr>
                <w:rFonts w:ascii="宋体" w:hAnsi="宋体" w:cs="宋体"/>
                <w:b/>
                <w:color w:val="auto"/>
                <w:kern w:val="0"/>
                <w:sz w:val="32"/>
                <w:szCs w:val="32"/>
              </w:rPr>
            </w:pPr>
          </w:p>
        </w:tc>
        <w:tc>
          <w:tcPr>
            <w:tcW w:w="1276" w:type="dxa"/>
          </w:tcPr>
          <w:p w14:paraId="3AAE3C99">
            <w:pPr>
              <w:jc w:val="center"/>
              <w:rPr>
                <w:rFonts w:ascii="宋体" w:hAnsi="宋体" w:cs="宋体"/>
                <w:b/>
                <w:color w:val="auto"/>
                <w:kern w:val="0"/>
                <w:sz w:val="32"/>
                <w:szCs w:val="32"/>
              </w:rPr>
            </w:pPr>
          </w:p>
        </w:tc>
      </w:tr>
      <w:tr w14:paraId="110D9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0D07B9F">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14:paraId="19235449">
            <w:pPr>
              <w:jc w:val="center"/>
              <w:rPr>
                <w:rFonts w:ascii="宋体" w:hAnsi="宋体" w:cs="宋体"/>
                <w:b/>
                <w:color w:val="auto"/>
                <w:kern w:val="0"/>
                <w:sz w:val="32"/>
                <w:szCs w:val="32"/>
              </w:rPr>
            </w:pPr>
          </w:p>
        </w:tc>
        <w:tc>
          <w:tcPr>
            <w:tcW w:w="3546" w:type="dxa"/>
          </w:tcPr>
          <w:p w14:paraId="7B653FF8">
            <w:pPr>
              <w:jc w:val="center"/>
              <w:rPr>
                <w:rFonts w:ascii="宋体" w:hAnsi="宋体" w:cs="宋体"/>
                <w:b/>
                <w:color w:val="auto"/>
                <w:kern w:val="0"/>
                <w:sz w:val="32"/>
                <w:szCs w:val="32"/>
              </w:rPr>
            </w:pPr>
          </w:p>
        </w:tc>
        <w:tc>
          <w:tcPr>
            <w:tcW w:w="1276" w:type="dxa"/>
          </w:tcPr>
          <w:p w14:paraId="765409EC">
            <w:pPr>
              <w:jc w:val="center"/>
              <w:rPr>
                <w:rFonts w:ascii="宋体" w:hAnsi="宋体" w:cs="宋体"/>
                <w:b/>
                <w:color w:val="auto"/>
                <w:kern w:val="0"/>
                <w:sz w:val="32"/>
                <w:szCs w:val="32"/>
              </w:rPr>
            </w:pPr>
          </w:p>
        </w:tc>
      </w:tr>
      <w:tr w14:paraId="7219A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0FD3C48">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14:paraId="1DFE789D">
            <w:pPr>
              <w:jc w:val="center"/>
              <w:rPr>
                <w:rFonts w:ascii="宋体" w:hAnsi="宋体" w:cs="宋体"/>
                <w:b/>
                <w:color w:val="auto"/>
                <w:kern w:val="0"/>
                <w:sz w:val="32"/>
                <w:szCs w:val="32"/>
              </w:rPr>
            </w:pPr>
          </w:p>
        </w:tc>
        <w:tc>
          <w:tcPr>
            <w:tcW w:w="3546" w:type="dxa"/>
          </w:tcPr>
          <w:p w14:paraId="4665EC70">
            <w:pPr>
              <w:jc w:val="center"/>
              <w:rPr>
                <w:rFonts w:ascii="宋体" w:hAnsi="宋体" w:cs="宋体"/>
                <w:b/>
                <w:color w:val="auto"/>
                <w:kern w:val="0"/>
                <w:sz w:val="32"/>
                <w:szCs w:val="32"/>
              </w:rPr>
            </w:pPr>
          </w:p>
        </w:tc>
        <w:tc>
          <w:tcPr>
            <w:tcW w:w="1276" w:type="dxa"/>
          </w:tcPr>
          <w:p w14:paraId="4F2C5084">
            <w:pPr>
              <w:jc w:val="center"/>
              <w:rPr>
                <w:rFonts w:ascii="宋体" w:hAnsi="宋体" w:cs="宋体"/>
                <w:b/>
                <w:color w:val="auto"/>
                <w:kern w:val="0"/>
                <w:sz w:val="32"/>
                <w:szCs w:val="32"/>
              </w:rPr>
            </w:pPr>
          </w:p>
        </w:tc>
      </w:tr>
    </w:tbl>
    <w:p w14:paraId="5DBE1650">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14:paraId="606AF678">
      <w:pPr>
        <w:jc w:val="center"/>
        <w:rPr>
          <w:rFonts w:ascii="宋体" w:hAnsi="宋体" w:cs="宋体"/>
          <w:b/>
          <w:color w:val="auto"/>
          <w:kern w:val="0"/>
          <w:sz w:val="32"/>
          <w:szCs w:val="32"/>
        </w:rPr>
      </w:pPr>
    </w:p>
    <w:p w14:paraId="027E39A8">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3F769043">
      <w:pPr>
        <w:ind w:firstLine="1911" w:firstLineChars="595"/>
        <w:rPr>
          <w:rFonts w:ascii="宋体" w:hAnsi="宋体" w:cs="宋体"/>
          <w:b/>
          <w:bCs/>
          <w:color w:val="auto"/>
          <w:sz w:val="32"/>
          <w:szCs w:val="32"/>
        </w:rPr>
      </w:pPr>
    </w:p>
    <w:p w14:paraId="428936F4">
      <w:pPr>
        <w:ind w:firstLine="1911" w:firstLineChars="595"/>
        <w:rPr>
          <w:rFonts w:ascii="宋体" w:hAnsi="宋体" w:cs="宋体"/>
          <w:b/>
          <w:bCs/>
          <w:color w:val="auto"/>
          <w:sz w:val="32"/>
          <w:szCs w:val="32"/>
        </w:rPr>
      </w:pPr>
    </w:p>
    <w:p w14:paraId="250E0C9A">
      <w:pPr>
        <w:ind w:firstLine="1911" w:firstLineChars="595"/>
        <w:rPr>
          <w:rFonts w:ascii="宋体" w:hAnsi="宋体" w:cs="宋体"/>
          <w:b/>
          <w:bCs/>
          <w:color w:val="auto"/>
          <w:sz w:val="32"/>
          <w:szCs w:val="32"/>
        </w:rPr>
      </w:pPr>
    </w:p>
    <w:p w14:paraId="2706413F">
      <w:pPr>
        <w:ind w:firstLine="1911" w:firstLineChars="595"/>
        <w:rPr>
          <w:rFonts w:ascii="宋体" w:hAnsi="宋体" w:cs="宋体"/>
          <w:b/>
          <w:bCs/>
          <w:color w:val="auto"/>
          <w:sz w:val="32"/>
          <w:szCs w:val="32"/>
        </w:rPr>
      </w:pPr>
    </w:p>
    <w:p w14:paraId="3601C46F">
      <w:pPr>
        <w:ind w:firstLine="1911" w:firstLineChars="595"/>
        <w:rPr>
          <w:rFonts w:ascii="宋体" w:hAnsi="宋体" w:cs="宋体"/>
          <w:b/>
          <w:bCs/>
          <w:color w:val="auto"/>
          <w:sz w:val="32"/>
          <w:szCs w:val="32"/>
        </w:rPr>
      </w:pPr>
    </w:p>
    <w:p w14:paraId="7CD9B927">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14:paraId="47A0FD69">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七</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政府采购投标人廉洁自律承诺书</w:t>
      </w:r>
    </w:p>
    <w:p w14:paraId="062682E2">
      <w:pPr>
        <w:snapToGrid w:val="0"/>
        <w:spacing w:line="360" w:lineRule="auto"/>
        <w:rPr>
          <w:rFonts w:ascii="宋体" w:hAnsi="宋体" w:cs="宋体"/>
          <w:color w:val="auto"/>
          <w:sz w:val="24"/>
        </w:rPr>
      </w:pPr>
    </w:p>
    <w:p w14:paraId="0E77D47F">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261FCF0D">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2D56E111">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79051D9E">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544E2B6F">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55E53709">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557D3BD2">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406CC22D">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27621EDA">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7A465740">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778E2C15">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243E08F5">
      <w:pPr>
        <w:autoSpaceDE w:val="0"/>
        <w:autoSpaceDN w:val="0"/>
        <w:spacing w:line="360" w:lineRule="auto"/>
        <w:ind w:left="2"/>
        <w:jc w:val="left"/>
        <w:rPr>
          <w:rFonts w:ascii="宋体" w:hAnsi="宋体" w:cs="宋体"/>
          <w:color w:val="auto"/>
          <w:kern w:val="0"/>
          <w:sz w:val="24"/>
          <w:lang w:val="zh-CN"/>
        </w:rPr>
      </w:pPr>
    </w:p>
    <w:p w14:paraId="7AEA650F">
      <w:pPr>
        <w:autoSpaceDE w:val="0"/>
        <w:autoSpaceDN w:val="0"/>
        <w:spacing w:line="360" w:lineRule="auto"/>
        <w:ind w:left="2"/>
        <w:jc w:val="left"/>
        <w:rPr>
          <w:rFonts w:ascii="宋体" w:hAnsi="宋体" w:cs="宋体"/>
          <w:color w:val="auto"/>
          <w:kern w:val="0"/>
          <w:sz w:val="24"/>
          <w:lang w:val="zh-CN"/>
        </w:rPr>
      </w:pPr>
    </w:p>
    <w:p w14:paraId="0D33EA49">
      <w:pPr>
        <w:autoSpaceDE w:val="0"/>
        <w:autoSpaceDN w:val="0"/>
        <w:spacing w:line="360" w:lineRule="auto"/>
        <w:ind w:left="2"/>
        <w:jc w:val="left"/>
        <w:rPr>
          <w:rFonts w:ascii="宋体" w:hAnsi="宋体" w:cs="宋体"/>
          <w:color w:val="auto"/>
          <w:kern w:val="0"/>
          <w:sz w:val="24"/>
          <w:lang w:val="zh-CN"/>
        </w:rPr>
      </w:pPr>
    </w:p>
    <w:p w14:paraId="1BAFB37C">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3E856208">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1E0E9969">
      <w:pPr>
        <w:spacing w:line="360" w:lineRule="auto"/>
        <w:jc w:val="center"/>
        <w:rPr>
          <w:rFonts w:ascii="宋体" w:hAnsi="宋体" w:cs="宋体"/>
          <w:b/>
          <w:bCs/>
          <w:color w:val="auto"/>
          <w:sz w:val="24"/>
        </w:rPr>
      </w:pPr>
    </w:p>
    <w:p w14:paraId="31201614">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5F679F01">
      <w:pPr>
        <w:spacing w:line="360" w:lineRule="auto"/>
        <w:jc w:val="center"/>
        <w:rPr>
          <w:rFonts w:ascii="宋体" w:hAnsi="宋体" w:cs="宋体"/>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7718F13C">
      <w:pPr>
        <w:spacing w:line="360" w:lineRule="auto"/>
        <w:jc w:val="center"/>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12EB89F4">
      <w:pPr>
        <w:spacing w:line="360" w:lineRule="auto"/>
        <w:jc w:val="center"/>
        <w:rPr>
          <w:rFonts w:ascii="宋体" w:hAnsi="宋体" w:cs="宋体"/>
          <w:b/>
          <w:color w:val="auto"/>
          <w:kern w:val="0"/>
          <w:sz w:val="36"/>
          <w:szCs w:val="36"/>
        </w:rPr>
      </w:pPr>
      <w:r>
        <w:rPr>
          <w:rFonts w:hint="eastAsia" w:ascii="宋体" w:hAnsi="宋体" w:cs="宋体"/>
          <w:b/>
          <w:color w:val="auto"/>
          <w:kern w:val="0"/>
          <w:sz w:val="36"/>
          <w:szCs w:val="36"/>
        </w:rPr>
        <w:t>目录</w:t>
      </w:r>
    </w:p>
    <w:p w14:paraId="7118128E">
      <w:pPr>
        <w:spacing w:line="360" w:lineRule="auto"/>
        <w:jc w:val="center"/>
        <w:rPr>
          <w:rFonts w:ascii="宋体" w:hAnsi="宋体" w:cs="宋体"/>
          <w:b/>
          <w:color w:val="auto"/>
          <w:kern w:val="0"/>
          <w:sz w:val="36"/>
          <w:szCs w:val="36"/>
        </w:rPr>
      </w:pPr>
    </w:p>
    <w:p w14:paraId="438CC546">
      <w:pPr>
        <w:snapToGrid w:val="0"/>
        <w:spacing w:line="360" w:lineRule="auto"/>
        <w:rPr>
          <w:rFonts w:ascii="宋体" w:hAnsi="宋体" w:cs="宋体"/>
          <w:color w:val="auto"/>
          <w:sz w:val="24"/>
        </w:rPr>
      </w:pPr>
      <w:r>
        <w:rPr>
          <w:rFonts w:hint="eastAsia" w:ascii="宋体" w:hAnsi="宋体" w:cs="宋体"/>
          <w:color w:val="auto"/>
          <w:sz w:val="24"/>
        </w:rPr>
        <w:t>（1）开标一览表（报价表）………………………………………………………（页码）</w:t>
      </w:r>
    </w:p>
    <w:p w14:paraId="0A78F9A8">
      <w:pPr>
        <w:snapToGrid w:val="0"/>
        <w:spacing w:line="360" w:lineRule="auto"/>
        <w:rPr>
          <w:rFonts w:ascii="宋体" w:hAnsi="宋体" w:cs="宋体"/>
          <w:color w:val="auto"/>
          <w:sz w:val="24"/>
        </w:rPr>
      </w:pPr>
      <w:r>
        <w:rPr>
          <w:rFonts w:hint="eastAsia" w:ascii="宋体" w:hAnsi="宋体" w:cs="宋体"/>
          <w:color w:val="auto"/>
          <w:sz w:val="24"/>
        </w:rPr>
        <w:t>（2）分项报价表……………………………………………………………………（页码）</w:t>
      </w:r>
    </w:p>
    <w:p w14:paraId="5E0E52BC">
      <w:pPr>
        <w:snapToGrid w:val="0"/>
        <w:spacing w:line="360" w:lineRule="auto"/>
        <w:ind w:right="480"/>
        <w:jc w:val="center"/>
        <w:rPr>
          <w:rFonts w:ascii="宋体" w:hAnsi="宋体" w:cs="宋体"/>
          <w:b/>
          <w:color w:val="auto"/>
          <w:kern w:val="0"/>
          <w:sz w:val="32"/>
          <w:szCs w:val="32"/>
        </w:rPr>
      </w:pPr>
    </w:p>
    <w:p w14:paraId="6688D2AE">
      <w:pPr>
        <w:snapToGrid w:val="0"/>
        <w:spacing w:line="360" w:lineRule="auto"/>
        <w:ind w:right="480"/>
        <w:jc w:val="center"/>
        <w:rPr>
          <w:rFonts w:ascii="宋体" w:hAnsi="宋体" w:cs="宋体"/>
          <w:b/>
          <w:color w:val="auto"/>
          <w:kern w:val="0"/>
          <w:sz w:val="32"/>
          <w:szCs w:val="32"/>
        </w:rPr>
      </w:pPr>
    </w:p>
    <w:p w14:paraId="2A075BFE">
      <w:pPr>
        <w:snapToGrid w:val="0"/>
        <w:spacing w:line="360" w:lineRule="auto"/>
        <w:ind w:right="480"/>
        <w:jc w:val="center"/>
        <w:rPr>
          <w:rFonts w:ascii="宋体" w:hAnsi="宋体" w:cs="宋体"/>
          <w:b/>
          <w:color w:val="auto"/>
          <w:kern w:val="0"/>
          <w:sz w:val="32"/>
          <w:szCs w:val="32"/>
        </w:rPr>
      </w:pPr>
    </w:p>
    <w:p w14:paraId="7760DFA2">
      <w:pPr>
        <w:snapToGrid w:val="0"/>
        <w:spacing w:line="360" w:lineRule="auto"/>
        <w:ind w:right="480"/>
        <w:jc w:val="center"/>
        <w:rPr>
          <w:rFonts w:ascii="宋体" w:hAnsi="宋体" w:cs="宋体"/>
          <w:b/>
          <w:color w:val="auto"/>
          <w:kern w:val="0"/>
          <w:sz w:val="32"/>
          <w:szCs w:val="32"/>
        </w:rPr>
      </w:pPr>
    </w:p>
    <w:p w14:paraId="5A704B2D">
      <w:pPr>
        <w:snapToGrid w:val="0"/>
        <w:spacing w:line="360" w:lineRule="auto"/>
        <w:ind w:right="480"/>
        <w:jc w:val="center"/>
        <w:rPr>
          <w:rFonts w:ascii="宋体" w:hAnsi="宋体" w:cs="宋体"/>
          <w:b/>
          <w:color w:val="auto"/>
          <w:kern w:val="0"/>
          <w:sz w:val="32"/>
          <w:szCs w:val="32"/>
        </w:rPr>
      </w:pPr>
    </w:p>
    <w:p w14:paraId="2100EAF8">
      <w:pPr>
        <w:snapToGrid w:val="0"/>
        <w:spacing w:line="360" w:lineRule="auto"/>
        <w:ind w:right="480"/>
        <w:jc w:val="center"/>
        <w:rPr>
          <w:rFonts w:ascii="宋体" w:hAnsi="宋体" w:cs="宋体"/>
          <w:b/>
          <w:color w:val="auto"/>
          <w:kern w:val="0"/>
          <w:sz w:val="32"/>
          <w:szCs w:val="32"/>
        </w:rPr>
      </w:pPr>
    </w:p>
    <w:p w14:paraId="3B42FBF8">
      <w:pPr>
        <w:snapToGrid w:val="0"/>
        <w:spacing w:line="360" w:lineRule="auto"/>
        <w:ind w:right="480"/>
        <w:jc w:val="center"/>
        <w:rPr>
          <w:rFonts w:ascii="宋体" w:hAnsi="宋体" w:cs="宋体"/>
          <w:b/>
          <w:color w:val="auto"/>
          <w:kern w:val="0"/>
          <w:sz w:val="32"/>
          <w:szCs w:val="32"/>
        </w:rPr>
      </w:pPr>
    </w:p>
    <w:p w14:paraId="13C924B3">
      <w:pPr>
        <w:snapToGrid w:val="0"/>
        <w:spacing w:line="360" w:lineRule="auto"/>
        <w:ind w:right="480"/>
        <w:jc w:val="center"/>
        <w:rPr>
          <w:rFonts w:ascii="宋体" w:hAnsi="宋体" w:cs="宋体"/>
          <w:b/>
          <w:color w:val="auto"/>
          <w:kern w:val="0"/>
          <w:sz w:val="32"/>
          <w:szCs w:val="32"/>
        </w:rPr>
      </w:pPr>
    </w:p>
    <w:p w14:paraId="2691A512">
      <w:pPr>
        <w:snapToGrid w:val="0"/>
        <w:spacing w:line="360" w:lineRule="auto"/>
        <w:ind w:right="480"/>
        <w:jc w:val="center"/>
        <w:rPr>
          <w:rFonts w:ascii="宋体" w:hAnsi="宋体" w:cs="宋体"/>
          <w:b/>
          <w:color w:val="auto"/>
          <w:kern w:val="0"/>
          <w:sz w:val="32"/>
          <w:szCs w:val="32"/>
        </w:rPr>
      </w:pPr>
    </w:p>
    <w:p w14:paraId="3C76664D">
      <w:pPr>
        <w:snapToGrid w:val="0"/>
        <w:spacing w:line="360" w:lineRule="auto"/>
        <w:ind w:right="480"/>
        <w:jc w:val="center"/>
        <w:rPr>
          <w:rFonts w:ascii="宋体" w:hAnsi="宋体" w:cs="宋体"/>
          <w:b/>
          <w:color w:val="auto"/>
          <w:kern w:val="0"/>
          <w:sz w:val="32"/>
          <w:szCs w:val="32"/>
        </w:rPr>
      </w:pPr>
    </w:p>
    <w:p w14:paraId="253F6BBF">
      <w:pPr>
        <w:snapToGrid w:val="0"/>
        <w:spacing w:line="360" w:lineRule="auto"/>
        <w:ind w:right="480"/>
        <w:jc w:val="center"/>
        <w:rPr>
          <w:rFonts w:ascii="宋体" w:hAnsi="宋体" w:cs="宋体"/>
          <w:b/>
          <w:color w:val="auto"/>
          <w:kern w:val="0"/>
          <w:sz w:val="32"/>
          <w:szCs w:val="32"/>
        </w:rPr>
      </w:pPr>
    </w:p>
    <w:p w14:paraId="0D1534B7">
      <w:pPr>
        <w:snapToGrid w:val="0"/>
        <w:spacing w:line="360" w:lineRule="auto"/>
        <w:ind w:right="480"/>
        <w:jc w:val="center"/>
        <w:rPr>
          <w:rFonts w:ascii="宋体" w:hAnsi="宋体" w:cs="宋体"/>
          <w:b/>
          <w:color w:val="auto"/>
          <w:kern w:val="0"/>
          <w:sz w:val="32"/>
          <w:szCs w:val="32"/>
        </w:rPr>
      </w:pPr>
    </w:p>
    <w:p w14:paraId="0193F80C">
      <w:pPr>
        <w:snapToGrid w:val="0"/>
        <w:spacing w:line="360" w:lineRule="auto"/>
        <w:ind w:right="480"/>
        <w:jc w:val="center"/>
        <w:rPr>
          <w:rFonts w:ascii="宋体" w:hAnsi="宋体" w:cs="宋体"/>
          <w:b/>
          <w:color w:val="auto"/>
          <w:kern w:val="0"/>
          <w:sz w:val="32"/>
          <w:szCs w:val="32"/>
        </w:rPr>
      </w:pPr>
    </w:p>
    <w:p w14:paraId="249F943E">
      <w:pPr>
        <w:snapToGrid w:val="0"/>
        <w:spacing w:line="360" w:lineRule="auto"/>
        <w:ind w:right="480"/>
        <w:jc w:val="center"/>
        <w:rPr>
          <w:rFonts w:ascii="宋体" w:hAnsi="宋体" w:cs="宋体"/>
          <w:b/>
          <w:color w:val="auto"/>
          <w:kern w:val="0"/>
          <w:sz w:val="32"/>
          <w:szCs w:val="32"/>
        </w:rPr>
      </w:pPr>
    </w:p>
    <w:p w14:paraId="2AFE41AB">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33B1F2A6">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bookmarkStart w:id="518" w:name="_Toc18859"/>
      <w:bookmarkStart w:id="519" w:name="_Toc26425"/>
      <w:r>
        <w:rPr>
          <w:rFonts w:hint="eastAsia" w:ascii="宋体" w:hAnsi="宋体" w:eastAsia="宋体" w:cs="宋体"/>
          <w:color w:val="auto"/>
          <w:kern w:val="2"/>
          <w:sz w:val="32"/>
          <w:szCs w:val="32"/>
        </w:rPr>
        <w:t>一、开标一览表（报价表）</w:t>
      </w:r>
      <w:bookmarkEnd w:id="518"/>
      <w:bookmarkEnd w:id="519"/>
    </w:p>
    <w:p w14:paraId="4CB69532">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13867AEB">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14:paraId="292639C7">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95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02"/>
        <w:gridCol w:w="1155"/>
        <w:gridCol w:w="2126"/>
        <w:gridCol w:w="5155"/>
      </w:tblGrid>
      <w:tr w14:paraId="6AE4CC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6" w:hRule="atLeast"/>
          <w:jc w:val="center"/>
        </w:trPr>
        <w:tc>
          <w:tcPr>
            <w:tcW w:w="1102" w:type="dxa"/>
            <w:tcBorders>
              <w:top w:val="single" w:color="auto" w:sz="4" w:space="0"/>
              <w:left w:val="single" w:color="auto" w:sz="4" w:space="0"/>
              <w:bottom w:val="single" w:color="auto" w:sz="4" w:space="0"/>
              <w:right w:val="single" w:color="auto" w:sz="4" w:space="0"/>
            </w:tcBorders>
            <w:vAlign w:val="center"/>
          </w:tcPr>
          <w:p w14:paraId="3A8347CF">
            <w:pPr>
              <w:adjustRightInd/>
              <w:snapToGrid w:val="0"/>
              <w:spacing w:before="50" w:after="50"/>
              <w:jc w:val="center"/>
              <w:rPr>
                <w:rFonts w:ascii="宋体" w:hAnsi="宋体" w:cs="宋体"/>
                <w:color w:val="auto"/>
                <w:sz w:val="24"/>
              </w:rPr>
            </w:pPr>
            <w:r>
              <w:rPr>
                <w:rFonts w:hint="eastAsia" w:ascii="宋体" w:hAnsi="宋体" w:cs="宋体"/>
                <w:color w:val="auto"/>
                <w:sz w:val="24"/>
              </w:rPr>
              <w:t>序号</w:t>
            </w:r>
          </w:p>
        </w:tc>
        <w:tc>
          <w:tcPr>
            <w:tcW w:w="3281" w:type="dxa"/>
            <w:gridSpan w:val="2"/>
            <w:tcBorders>
              <w:top w:val="single" w:color="auto" w:sz="4" w:space="0"/>
              <w:left w:val="single" w:color="auto" w:sz="4" w:space="0"/>
              <w:bottom w:val="single" w:color="auto" w:sz="4" w:space="0"/>
              <w:right w:val="single" w:color="auto" w:sz="4" w:space="0"/>
            </w:tcBorders>
            <w:vAlign w:val="center"/>
          </w:tcPr>
          <w:p w14:paraId="596692BC">
            <w:pPr>
              <w:adjustRightInd/>
              <w:snapToGrid w:val="0"/>
              <w:spacing w:before="50" w:after="50"/>
              <w:jc w:val="center"/>
              <w:rPr>
                <w:rFonts w:ascii="宋体" w:hAnsi="宋体" w:cs="宋体"/>
                <w:color w:val="auto"/>
                <w:sz w:val="24"/>
              </w:rPr>
            </w:pPr>
            <w:r>
              <w:rPr>
                <w:rFonts w:hint="eastAsia" w:ascii="宋体" w:hAnsi="宋体" w:cs="宋体"/>
                <w:color w:val="auto"/>
                <w:sz w:val="24"/>
              </w:rPr>
              <w:t>服务内容</w:t>
            </w:r>
          </w:p>
        </w:tc>
        <w:tc>
          <w:tcPr>
            <w:tcW w:w="5155" w:type="dxa"/>
            <w:tcBorders>
              <w:top w:val="single" w:color="auto" w:sz="4" w:space="0"/>
              <w:left w:val="single" w:color="auto" w:sz="4" w:space="0"/>
              <w:bottom w:val="single" w:color="auto" w:sz="4" w:space="0"/>
              <w:right w:val="single" w:color="auto" w:sz="4" w:space="0"/>
            </w:tcBorders>
            <w:vAlign w:val="center"/>
          </w:tcPr>
          <w:p w14:paraId="4F181B86">
            <w:pPr>
              <w:adjustRightInd/>
              <w:snapToGrid w:val="0"/>
              <w:spacing w:before="50" w:after="50"/>
              <w:jc w:val="center"/>
              <w:rPr>
                <w:rFonts w:ascii="宋体" w:hAnsi="宋体" w:cs="宋体"/>
                <w:color w:val="auto"/>
                <w:sz w:val="24"/>
              </w:rPr>
            </w:pPr>
            <w:r>
              <w:rPr>
                <w:rFonts w:hint="eastAsia" w:ascii="宋体" w:hAnsi="宋体" w:cs="宋体"/>
                <w:color w:val="auto"/>
                <w:sz w:val="24"/>
              </w:rPr>
              <w:t>合同履约期限</w:t>
            </w:r>
          </w:p>
        </w:tc>
      </w:tr>
      <w:tr w14:paraId="0844BD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6" w:hRule="atLeast"/>
          <w:jc w:val="center"/>
        </w:trPr>
        <w:tc>
          <w:tcPr>
            <w:tcW w:w="1102" w:type="dxa"/>
            <w:tcBorders>
              <w:top w:val="single" w:color="auto" w:sz="4" w:space="0"/>
              <w:left w:val="single" w:color="auto" w:sz="4" w:space="0"/>
              <w:right w:val="single" w:color="auto" w:sz="4" w:space="0"/>
            </w:tcBorders>
            <w:vAlign w:val="center"/>
          </w:tcPr>
          <w:p w14:paraId="668EEEBC">
            <w:pPr>
              <w:adjustRightInd/>
              <w:snapToGrid w:val="0"/>
              <w:spacing w:before="50" w:after="50"/>
              <w:jc w:val="center"/>
              <w:rPr>
                <w:rFonts w:ascii="宋体" w:hAnsi="宋体" w:cs="宋体"/>
                <w:color w:val="auto"/>
                <w:sz w:val="24"/>
              </w:rPr>
            </w:pPr>
            <w:r>
              <w:rPr>
                <w:rFonts w:hint="eastAsia" w:ascii="宋体" w:hAnsi="宋体" w:cs="宋体"/>
                <w:color w:val="auto"/>
                <w:sz w:val="24"/>
              </w:rPr>
              <w:t>1</w:t>
            </w:r>
          </w:p>
        </w:tc>
        <w:tc>
          <w:tcPr>
            <w:tcW w:w="3281" w:type="dxa"/>
            <w:gridSpan w:val="2"/>
            <w:tcBorders>
              <w:top w:val="single" w:color="auto" w:sz="4" w:space="0"/>
              <w:left w:val="single" w:color="auto" w:sz="4" w:space="0"/>
              <w:bottom w:val="single" w:color="auto" w:sz="4" w:space="0"/>
              <w:right w:val="single" w:color="auto" w:sz="4" w:space="0"/>
            </w:tcBorders>
            <w:vAlign w:val="center"/>
          </w:tcPr>
          <w:p w14:paraId="1469832F">
            <w:pPr>
              <w:adjustRightInd/>
              <w:snapToGrid w:val="0"/>
              <w:spacing w:before="50" w:after="50"/>
              <w:jc w:val="center"/>
              <w:rPr>
                <w:rFonts w:ascii="宋体" w:hAnsi="宋体" w:cs="宋体"/>
                <w:color w:val="auto"/>
                <w:sz w:val="24"/>
              </w:rPr>
            </w:pPr>
          </w:p>
        </w:tc>
        <w:tc>
          <w:tcPr>
            <w:tcW w:w="5155" w:type="dxa"/>
            <w:tcBorders>
              <w:top w:val="single" w:color="auto" w:sz="4" w:space="0"/>
              <w:left w:val="single" w:color="auto" w:sz="4" w:space="0"/>
              <w:bottom w:val="single" w:color="auto" w:sz="4" w:space="0"/>
              <w:right w:val="single" w:color="auto" w:sz="4" w:space="0"/>
            </w:tcBorders>
            <w:vAlign w:val="center"/>
          </w:tcPr>
          <w:p w14:paraId="2EDA503B">
            <w:pPr>
              <w:adjustRightInd/>
              <w:snapToGrid w:val="0"/>
              <w:spacing w:before="50" w:after="50"/>
              <w:jc w:val="center"/>
              <w:rPr>
                <w:rFonts w:ascii="宋体" w:hAnsi="宋体" w:cs="宋体"/>
                <w:color w:val="auto"/>
                <w:sz w:val="24"/>
              </w:rPr>
            </w:pPr>
          </w:p>
        </w:tc>
      </w:tr>
      <w:tr w14:paraId="72CA26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6" w:hRule="atLeast"/>
          <w:jc w:val="center"/>
        </w:trPr>
        <w:tc>
          <w:tcPr>
            <w:tcW w:w="2257" w:type="dxa"/>
            <w:gridSpan w:val="2"/>
            <w:tcBorders>
              <w:top w:val="single" w:color="auto" w:sz="4" w:space="0"/>
              <w:left w:val="single" w:color="auto" w:sz="4" w:space="0"/>
              <w:right w:val="single" w:color="auto" w:sz="4" w:space="0"/>
            </w:tcBorders>
            <w:vAlign w:val="center"/>
          </w:tcPr>
          <w:p w14:paraId="50167358">
            <w:pPr>
              <w:adjustRightInd/>
              <w:snapToGrid w:val="0"/>
              <w:spacing w:before="50" w:after="50"/>
              <w:jc w:val="center"/>
              <w:rPr>
                <w:rFonts w:ascii="宋体" w:hAnsi="宋体" w:cs="宋体"/>
                <w:color w:val="auto"/>
                <w:sz w:val="24"/>
              </w:rPr>
            </w:pPr>
            <w:r>
              <w:rPr>
                <w:rFonts w:hint="eastAsia" w:ascii="宋体" w:hAnsi="宋体" w:cs="宋体"/>
                <w:color w:val="auto"/>
                <w:sz w:val="24"/>
              </w:rPr>
              <w:t>投标总价（元）</w:t>
            </w:r>
          </w:p>
        </w:tc>
        <w:tc>
          <w:tcPr>
            <w:tcW w:w="7281" w:type="dxa"/>
            <w:gridSpan w:val="2"/>
            <w:tcBorders>
              <w:top w:val="single" w:color="auto" w:sz="4" w:space="0"/>
              <w:left w:val="single" w:color="auto" w:sz="4" w:space="0"/>
              <w:bottom w:val="single" w:color="auto" w:sz="4" w:space="0"/>
              <w:right w:val="single" w:color="auto" w:sz="4" w:space="0"/>
            </w:tcBorders>
            <w:vAlign w:val="center"/>
          </w:tcPr>
          <w:p w14:paraId="0853D0F6">
            <w:pPr>
              <w:adjustRightInd/>
              <w:snapToGrid w:val="0"/>
              <w:spacing w:before="50" w:after="50"/>
              <w:jc w:val="left"/>
              <w:rPr>
                <w:rFonts w:ascii="宋体" w:hAnsi="宋体" w:cs="宋体"/>
                <w:color w:val="auto"/>
                <w:sz w:val="24"/>
              </w:rPr>
            </w:pPr>
            <w:r>
              <w:rPr>
                <w:rFonts w:hint="eastAsia" w:ascii="宋体" w:hAnsi="宋体" w:cs="宋体"/>
                <w:color w:val="auto"/>
                <w:sz w:val="24"/>
              </w:rPr>
              <w:t>大写：</w:t>
            </w:r>
          </w:p>
          <w:p w14:paraId="1284269E">
            <w:pPr>
              <w:adjustRightInd/>
              <w:snapToGrid w:val="0"/>
              <w:spacing w:before="50" w:after="50"/>
              <w:jc w:val="left"/>
              <w:rPr>
                <w:rFonts w:ascii="宋体" w:hAnsi="宋体" w:cs="宋体"/>
                <w:color w:val="auto"/>
                <w:sz w:val="24"/>
              </w:rPr>
            </w:pPr>
            <w:r>
              <w:rPr>
                <w:rFonts w:hint="eastAsia" w:ascii="宋体" w:hAnsi="宋体" w:cs="宋体"/>
                <w:color w:val="auto"/>
                <w:sz w:val="24"/>
              </w:rPr>
              <w:t>小写：</w:t>
            </w:r>
          </w:p>
        </w:tc>
      </w:tr>
      <w:tr w14:paraId="2CD08E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6" w:hRule="atLeast"/>
          <w:jc w:val="center"/>
        </w:trPr>
        <w:tc>
          <w:tcPr>
            <w:tcW w:w="2257" w:type="dxa"/>
            <w:gridSpan w:val="2"/>
            <w:tcBorders>
              <w:top w:val="single" w:color="auto" w:sz="4" w:space="0"/>
              <w:left w:val="single" w:color="auto" w:sz="4" w:space="0"/>
              <w:bottom w:val="single" w:color="auto" w:sz="4" w:space="0"/>
              <w:right w:val="single" w:color="auto" w:sz="4" w:space="0"/>
            </w:tcBorders>
            <w:vAlign w:val="center"/>
          </w:tcPr>
          <w:p w14:paraId="5027A80C">
            <w:pPr>
              <w:adjustRightInd/>
              <w:snapToGrid w:val="0"/>
              <w:spacing w:before="50" w:after="50"/>
              <w:jc w:val="center"/>
              <w:rPr>
                <w:rFonts w:ascii="宋体" w:hAnsi="宋体" w:cs="宋体"/>
                <w:color w:val="auto"/>
                <w:sz w:val="24"/>
              </w:rPr>
            </w:pPr>
            <w:r>
              <w:rPr>
                <w:rFonts w:hint="eastAsia" w:ascii="宋体" w:hAnsi="宋体" w:cs="宋体"/>
                <w:color w:val="auto"/>
                <w:sz w:val="24"/>
              </w:rPr>
              <w:t>投标声明</w:t>
            </w:r>
          </w:p>
        </w:tc>
        <w:tc>
          <w:tcPr>
            <w:tcW w:w="7281" w:type="dxa"/>
            <w:gridSpan w:val="2"/>
            <w:tcBorders>
              <w:top w:val="single" w:color="auto" w:sz="4" w:space="0"/>
              <w:left w:val="single" w:color="auto" w:sz="4" w:space="0"/>
              <w:bottom w:val="single" w:color="auto" w:sz="4" w:space="0"/>
              <w:right w:val="single" w:color="auto" w:sz="4" w:space="0"/>
            </w:tcBorders>
            <w:vAlign w:val="center"/>
          </w:tcPr>
          <w:p w14:paraId="1C66BF96">
            <w:pPr>
              <w:adjustRightInd/>
              <w:snapToGrid w:val="0"/>
              <w:spacing w:before="50" w:after="50"/>
              <w:rPr>
                <w:rFonts w:ascii="宋体" w:hAnsi="宋体" w:cs="宋体"/>
                <w:color w:val="auto"/>
                <w:sz w:val="24"/>
              </w:rPr>
            </w:pPr>
          </w:p>
        </w:tc>
      </w:tr>
    </w:tbl>
    <w:p w14:paraId="57EBF08D">
      <w:pPr>
        <w:pStyle w:val="51"/>
        <w:rPr>
          <w:color w:val="auto"/>
          <w:lang w:val="zh-CN"/>
        </w:rPr>
      </w:pPr>
    </w:p>
    <w:p w14:paraId="117829A4">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49E238F1">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color w:val="auto"/>
          <w:kern w:val="0"/>
          <w:sz w:val="24"/>
          <w:lang w:val="zh-CN"/>
        </w:rPr>
        <w:t>。</w:t>
      </w:r>
    </w:p>
    <w:p w14:paraId="06AF508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采购人将以合同形式有偿取得货物或服务，不接受投标人给予的赠品、回扣或者与采购无关的其他商品、服务</w:t>
      </w:r>
      <w:r>
        <w:rPr>
          <w:rFonts w:hint="eastAsia" w:ascii="宋体" w:hAnsi="宋体" w:cs="宋体"/>
          <w:color w:val="auto"/>
          <w:kern w:val="0"/>
          <w:sz w:val="24"/>
          <w:lang w:val="zh-CN"/>
        </w:rPr>
        <w:t>，</w:t>
      </w:r>
      <w:r>
        <w:rPr>
          <w:rFonts w:hint="eastAsia" w:ascii="宋体" w:hAnsi="宋体" w:cs="宋体"/>
          <w:b/>
          <w:color w:val="auto"/>
          <w:kern w:val="0"/>
          <w:sz w:val="24"/>
          <w:lang w:val="zh-CN"/>
        </w:rPr>
        <w:t>不得出现“0元”“免费赠送”等形式的无偿报价，</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0EB09F10">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3、特别提示：采购代理机构将对项目名称和项目编号，中标人名称、地址和中标金额，主要中标标的名称、品牌（如果有）、规格型号、数量、单价等予以公示。</w:t>
      </w:r>
    </w:p>
    <w:p w14:paraId="28D2EAC0">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278F326">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1906" w:h="16838"/>
          <w:pgMar w:top="1247" w:right="1418" w:bottom="1276" w:left="1418" w:header="851" w:footer="992" w:gutter="0"/>
          <w:cols w:space="720" w:num="1"/>
          <w:titlePg/>
          <w:docGrid w:linePitch="312" w:charSpace="0"/>
        </w:sectPr>
      </w:pPr>
    </w:p>
    <w:p w14:paraId="0051F9E1">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bookmarkStart w:id="520" w:name="_Toc74987466"/>
      <w:bookmarkStart w:id="521" w:name="_Toc74987434"/>
      <w:bookmarkStart w:id="522" w:name="_Toc30621"/>
      <w:bookmarkStart w:id="523" w:name="_Toc25773"/>
      <w:r>
        <w:rPr>
          <w:rFonts w:hint="eastAsia" w:ascii="宋体" w:hAnsi="宋体" w:eastAsia="宋体" w:cs="宋体"/>
          <w:color w:val="auto"/>
          <w:kern w:val="2"/>
          <w:sz w:val="32"/>
          <w:szCs w:val="32"/>
        </w:rPr>
        <w:t>二、分项报价表</w:t>
      </w:r>
      <w:bookmarkEnd w:id="520"/>
      <w:bookmarkEnd w:id="521"/>
    </w:p>
    <w:p w14:paraId="63EBD02D">
      <w:pPr>
        <w:spacing w:line="400" w:lineRule="exact"/>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14:paraId="689E4B54">
      <w:pPr>
        <w:spacing w:line="400" w:lineRule="exact"/>
        <w:rPr>
          <w:rFonts w:ascii="宋体" w:hAnsi="宋体" w:cs="宋体"/>
          <w:color w:val="auto"/>
          <w:sz w:val="24"/>
          <w:u w:val="single"/>
        </w:rPr>
      </w:pPr>
      <w:r>
        <w:rPr>
          <w:rFonts w:hint="eastAsia" w:ascii="宋体" w:hAnsi="宋体" w:cs="宋体"/>
          <w:color w:val="auto"/>
          <w:sz w:val="24"/>
        </w:rPr>
        <w:t>项目编号：</w:t>
      </w:r>
      <w:r>
        <w:rPr>
          <w:rFonts w:hint="eastAsia" w:ascii="宋体" w:hAnsi="宋体" w:cs="宋体"/>
          <w:color w:val="auto"/>
          <w:sz w:val="24"/>
          <w:u w:val="single"/>
        </w:rPr>
        <w:t xml:space="preserve">                         </w:t>
      </w:r>
    </w:p>
    <w:p w14:paraId="1BBCBCD8">
      <w:pPr>
        <w:widowControl/>
        <w:snapToGrid w:val="0"/>
        <w:spacing w:line="400" w:lineRule="exact"/>
        <w:jc w:val="right"/>
        <w:rPr>
          <w:rFonts w:ascii="宋体" w:hAnsi="宋体" w:cs="宋体"/>
          <w:color w:val="auto"/>
          <w:sz w:val="24"/>
        </w:rPr>
      </w:pPr>
      <w:r>
        <w:rPr>
          <w:rFonts w:hint="eastAsia" w:ascii="宋体" w:hAnsi="宋体" w:cs="宋体"/>
          <w:color w:val="auto"/>
          <w:sz w:val="24"/>
        </w:rPr>
        <w:t>金额单位：人民币（元）</w:t>
      </w:r>
    </w:p>
    <w:tbl>
      <w:tblPr>
        <w:tblStyle w:val="62"/>
        <w:tblW w:w="8947" w:type="dxa"/>
        <w:jc w:val="center"/>
        <w:tblLayout w:type="fixed"/>
        <w:tblCellMar>
          <w:top w:w="0" w:type="dxa"/>
          <w:left w:w="108" w:type="dxa"/>
          <w:bottom w:w="0" w:type="dxa"/>
          <w:right w:w="108" w:type="dxa"/>
        </w:tblCellMar>
      </w:tblPr>
      <w:tblGrid>
        <w:gridCol w:w="817"/>
        <w:gridCol w:w="3944"/>
        <w:gridCol w:w="1501"/>
        <w:gridCol w:w="1253"/>
        <w:gridCol w:w="1432"/>
      </w:tblGrid>
      <w:tr w14:paraId="58983415">
        <w:tblPrEx>
          <w:tblCellMar>
            <w:top w:w="0" w:type="dxa"/>
            <w:left w:w="108" w:type="dxa"/>
            <w:bottom w:w="0" w:type="dxa"/>
            <w:right w:w="108" w:type="dxa"/>
          </w:tblCellMar>
        </w:tblPrEx>
        <w:trPr>
          <w:trHeight w:val="673"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32A57074">
            <w:pPr>
              <w:spacing w:before="50" w:after="50" w:line="360" w:lineRule="auto"/>
              <w:jc w:val="center"/>
              <w:rPr>
                <w:rFonts w:ascii="宋体" w:hAnsi="宋体" w:cs="宋体"/>
                <w:b/>
                <w:bCs/>
                <w:color w:val="auto"/>
                <w:spacing w:val="20"/>
                <w:sz w:val="24"/>
              </w:rPr>
            </w:pPr>
            <w:r>
              <w:rPr>
                <w:rFonts w:hint="eastAsia" w:ascii="宋体" w:hAnsi="宋体" w:cs="宋体"/>
                <w:b/>
                <w:bCs/>
                <w:color w:val="auto"/>
                <w:sz w:val="24"/>
                <w:lang w:bidi="ar"/>
              </w:rPr>
              <w:t>序号</w:t>
            </w:r>
          </w:p>
        </w:tc>
        <w:tc>
          <w:tcPr>
            <w:tcW w:w="3944" w:type="dxa"/>
            <w:tcBorders>
              <w:top w:val="single" w:color="auto" w:sz="4" w:space="0"/>
              <w:left w:val="nil"/>
              <w:bottom w:val="single" w:color="auto" w:sz="4" w:space="0"/>
              <w:right w:val="single" w:color="auto" w:sz="4" w:space="0"/>
            </w:tcBorders>
            <w:shd w:val="clear" w:color="auto" w:fill="auto"/>
            <w:vAlign w:val="center"/>
          </w:tcPr>
          <w:p w14:paraId="0FD7DEA5">
            <w:pPr>
              <w:spacing w:before="50" w:after="50" w:line="360" w:lineRule="auto"/>
              <w:jc w:val="center"/>
              <w:rPr>
                <w:rFonts w:ascii="宋体" w:hAnsi="宋体" w:cs="宋体"/>
                <w:b/>
                <w:bCs/>
                <w:color w:val="auto"/>
                <w:spacing w:val="20"/>
                <w:sz w:val="24"/>
              </w:rPr>
            </w:pPr>
            <w:r>
              <w:rPr>
                <w:rFonts w:hint="eastAsia" w:ascii="宋体" w:hAnsi="宋体" w:cs="宋体"/>
                <w:b/>
                <w:bCs/>
                <w:color w:val="auto"/>
                <w:spacing w:val="20"/>
                <w:sz w:val="24"/>
                <w:lang w:bidi="ar"/>
              </w:rPr>
              <w:t>项目内容</w:t>
            </w:r>
          </w:p>
        </w:tc>
        <w:tc>
          <w:tcPr>
            <w:tcW w:w="1501" w:type="dxa"/>
            <w:tcBorders>
              <w:top w:val="single" w:color="auto" w:sz="4" w:space="0"/>
              <w:left w:val="nil"/>
              <w:bottom w:val="single" w:color="auto" w:sz="4" w:space="0"/>
              <w:right w:val="single" w:color="auto" w:sz="4" w:space="0"/>
            </w:tcBorders>
            <w:shd w:val="clear" w:color="auto" w:fill="auto"/>
            <w:vAlign w:val="center"/>
          </w:tcPr>
          <w:p w14:paraId="678524E0">
            <w:pPr>
              <w:spacing w:before="50" w:after="50" w:line="360" w:lineRule="auto"/>
              <w:jc w:val="center"/>
              <w:rPr>
                <w:rFonts w:ascii="宋体" w:hAnsi="宋体" w:cs="宋体"/>
                <w:b/>
                <w:bCs/>
                <w:color w:val="auto"/>
                <w:spacing w:val="20"/>
                <w:sz w:val="24"/>
              </w:rPr>
            </w:pPr>
            <w:r>
              <w:rPr>
                <w:rFonts w:hint="eastAsia" w:ascii="宋体" w:hAnsi="宋体" w:cs="宋体"/>
                <w:b/>
                <w:bCs/>
                <w:color w:val="auto"/>
                <w:sz w:val="24"/>
                <w:lang w:bidi="ar"/>
              </w:rPr>
              <w:t>单位及数量</w:t>
            </w:r>
          </w:p>
        </w:tc>
        <w:tc>
          <w:tcPr>
            <w:tcW w:w="1253" w:type="dxa"/>
            <w:tcBorders>
              <w:top w:val="single" w:color="auto" w:sz="4" w:space="0"/>
              <w:left w:val="nil"/>
              <w:bottom w:val="single" w:color="auto" w:sz="4" w:space="0"/>
              <w:right w:val="single" w:color="auto" w:sz="4" w:space="0"/>
            </w:tcBorders>
            <w:shd w:val="clear" w:color="auto" w:fill="auto"/>
            <w:vAlign w:val="center"/>
          </w:tcPr>
          <w:p w14:paraId="79E48368">
            <w:pPr>
              <w:spacing w:before="50" w:after="50" w:line="360" w:lineRule="auto"/>
              <w:jc w:val="center"/>
              <w:rPr>
                <w:rFonts w:ascii="宋体" w:hAnsi="宋体" w:cs="宋体"/>
                <w:b/>
                <w:bCs/>
                <w:color w:val="auto"/>
                <w:spacing w:val="20"/>
                <w:sz w:val="24"/>
              </w:rPr>
            </w:pPr>
            <w:r>
              <w:rPr>
                <w:rFonts w:hint="eastAsia" w:ascii="宋体" w:hAnsi="宋体" w:cs="宋体"/>
                <w:b/>
                <w:bCs/>
                <w:color w:val="auto"/>
                <w:sz w:val="24"/>
                <w:lang w:bidi="ar"/>
              </w:rPr>
              <w:t>单价（元）</w:t>
            </w:r>
          </w:p>
        </w:tc>
        <w:tc>
          <w:tcPr>
            <w:tcW w:w="1432" w:type="dxa"/>
            <w:tcBorders>
              <w:top w:val="single" w:color="auto" w:sz="4" w:space="0"/>
              <w:left w:val="nil"/>
              <w:bottom w:val="single" w:color="auto" w:sz="4" w:space="0"/>
              <w:right w:val="single" w:color="auto" w:sz="4" w:space="0"/>
            </w:tcBorders>
            <w:shd w:val="clear" w:color="auto" w:fill="auto"/>
            <w:vAlign w:val="center"/>
          </w:tcPr>
          <w:p w14:paraId="4E922B69">
            <w:pPr>
              <w:spacing w:before="50" w:after="50" w:line="360" w:lineRule="auto"/>
              <w:jc w:val="center"/>
              <w:rPr>
                <w:rFonts w:ascii="宋体" w:hAnsi="宋体" w:cs="宋体"/>
                <w:b/>
                <w:bCs/>
                <w:color w:val="auto"/>
                <w:spacing w:val="20"/>
                <w:sz w:val="24"/>
              </w:rPr>
            </w:pPr>
            <w:r>
              <w:rPr>
                <w:rFonts w:hint="eastAsia" w:ascii="宋体" w:hAnsi="宋体" w:cs="宋体"/>
                <w:b/>
                <w:bCs/>
                <w:color w:val="auto"/>
                <w:sz w:val="24"/>
                <w:lang w:bidi="ar"/>
              </w:rPr>
              <w:t>金额（元）</w:t>
            </w:r>
          </w:p>
        </w:tc>
      </w:tr>
      <w:tr w14:paraId="0FAFF301">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6212FAC5">
            <w:pPr>
              <w:spacing w:before="50" w:after="50" w:line="360" w:lineRule="auto"/>
              <w:jc w:val="center"/>
              <w:rPr>
                <w:rFonts w:ascii="宋体" w:hAnsi="宋体" w:cs="宋体"/>
                <w:color w:val="auto"/>
                <w:spacing w:val="20"/>
                <w:sz w:val="24"/>
              </w:rPr>
            </w:pPr>
          </w:p>
        </w:tc>
        <w:tc>
          <w:tcPr>
            <w:tcW w:w="3944" w:type="dxa"/>
            <w:tcBorders>
              <w:top w:val="single" w:color="auto" w:sz="4" w:space="0"/>
              <w:left w:val="nil"/>
              <w:bottom w:val="single" w:color="auto" w:sz="4" w:space="0"/>
              <w:right w:val="single" w:color="auto" w:sz="4" w:space="0"/>
            </w:tcBorders>
            <w:shd w:val="clear" w:color="auto" w:fill="auto"/>
            <w:vAlign w:val="center"/>
          </w:tcPr>
          <w:p w14:paraId="0D2B3C0C">
            <w:pPr>
              <w:spacing w:line="360" w:lineRule="auto"/>
              <w:jc w:val="center"/>
              <w:rPr>
                <w:rFonts w:ascii="宋体" w:hAnsi="宋体" w:cs="宋体"/>
                <w:color w:val="auto"/>
                <w:spacing w:val="20"/>
                <w:sz w:val="24"/>
              </w:rPr>
            </w:pPr>
          </w:p>
        </w:tc>
        <w:tc>
          <w:tcPr>
            <w:tcW w:w="1501" w:type="dxa"/>
            <w:tcBorders>
              <w:top w:val="single" w:color="auto" w:sz="4" w:space="0"/>
              <w:left w:val="nil"/>
              <w:bottom w:val="single" w:color="auto" w:sz="4" w:space="0"/>
              <w:right w:val="single" w:color="auto" w:sz="4" w:space="0"/>
            </w:tcBorders>
            <w:shd w:val="clear" w:color="auto" w:fill="auto"/>
            <w:vAlign w:val="center"/>
          </w:tcPr>
          <w:p w14:paraId="4EAB6217">
            <w:pPr>
              <w:spacing w:before="50" w:after="50" w:line="360" w:lineRule="auto"/>
              <w:jc w:val="center"/>
              <w:rPr>
                <w:rFonts w:ascii="宋体" w:hAnsi="宋体" w:cs="宋体"/>
                <w:color w:val="auto"/>
                <w:spacing w:val="20"/>
                <w:sz w:val="24"/>
              </w:rPr>
            </w:pPr>
          </w:p>
        </w:tc>
        <w:tc>
          <w:tcPr>
            <w:tcW w:w="1253" w:type="dxa"/>
            <w:tcBorders>
              <w:top w:val="single" w:color="auto" w:sz="4" w:space="0"/>
              <w:left w:val="nil"/>
              <w:bottom w:val="single" w:color="auto" w:sz="4" w:space="0"/>
              <w:right w:val="single" w:color="auto" w:sz="4" w:space="0"/>
            </w:tcBorders>
            <w:shd w:val="clear" w:color="auto" w:fill="auto"/>
            <w:vAlign w:val="center"/>
          </w:tcPr>
          <w:p w14:paraId="1FDEDC02">
            <w:pPr>
              <w:spacing w:before="50" w:after="50" w:line="360" w:lineRule="auto"/>
              <w:jc w:val="center"/>
              <w:rPr>
                <w:rFonts w:ascii="宋体" w:hAnsi="宋体" w:cs="宋体"/>
                <w:color w:val="auto"/>
                <w:spacing w:val="20"/>
                <w:sz w:val="24"/>
              </w:rPr>
            </w:pPr>
          </w:p>
        </w:tc>
        <w:tc>
          <w:tcPr>
            <w:tcW w:w="1432" w:type="dxa"/>
            <w:tcBorders>
              <w:top w:val="single" w:color="auto" w:sz="4" w:space="0"/>
              <w:left w:val="nil"/>
              <w:bottom w:val="single" w:color="auto" w:sz="4" w:space="0"/>
              <w:right w:val="single" w:color="auto" w:sz="4" w:space="0"/>
            </w:tcBorders>
            <w:shd w:val="clear" w:color="auto" w:fill="auto"/>
            <w:vAlign w:val="center"/>
          </w:tcPr>
          <w:p w14:paraId="43AAEF6D">
            <w:pPr>
              <w:spacing w:before="50" w:after="50" w:line="360" w:lineRule="auto"/>
              <w:jc w:val="center"/>
              <w:rPr>
                <w:rFonts w:ascii="宋体" w:hAnsi="宋体" w:cs="宋体"/>
                <w:color w:val="auto"/>
                <w:spacing w:val="20"/>
                <w:sz w:val="24"/>
              </w:rPr>
            </w:pPr>
          </w:p>
        </w:tc>
      </w:tr>
      <w:tr w14:paraId="32C7F5A5">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6C0A2F00">
            <w:pPr>
              <w:spacing w:before="50" w:after="50" w:line="360" w:lineRule="auto"/>
              <w:jc w:val="center"/>
              <w:rPr>
                <w:rFonts w:ascii="宋体" w:hAnsi="宋体" w:cs="宋体"/>
                <w:color w:val="auto"/>
                <w:spacing w:val="20"/>
                <w:sz w:val="24"/>
              </w:rPr>
            </w:pPr>
          </w:p>
        </w:tc>
        <w:tc>
          <w:tcPr>
            <w:tcW w:w="3944" w:type="dxa"/>
            <w:tcBorders>
              <w:top w:val="single" w:color="auto" w:sz="4" w:space="0"/>
              <w:left w:val="nil"/>
              <w:bottom w:val="single" w:color="auto" w:sz="4" w:space="0"/>
              <w:right w:val="single" w:color="auto" w:sz="4" w:space="0"/>
            </w:tcBorders>
            <w:shd w:val="clear" w:color="auto" w:fill="auto"/>
            <w:vAlign w:val="center"/>
          </w:tcPr>
          <w:p w14:paraId="5DB9F155">
            <w:pPr>
              <w:spacing w:line="360" w:lineRule="auto"/>
              <w:jc w:val="center"/>
              <w:rPr>
                <w:rFonts w:ascii="宋体" w:hAnsi="宋体" w:cs="宋体"/>
                <w:color w:val="auto"/>
                <w:spacing w:val="20"/>
                <w:sz w:val="24"/>
              </w:rPr>
            </w:pPr>
          </w:p>
        </w:tc>
        <w:tc>
          <w:tcPr>
            <w:tcW w:w="1501" w:type="dxa"/>
            <w:tcBorders>
              <w:top w:val="single" w:color="auto" w:sz="4" w:space="0"/>
              <w:left w:val="nil"/>
              <w:bottom w:val="single" w:color="auto" w:sz="4" w:space="0"/>
              <w:right w:val="single" w:color="auto" w:sz="4" w:space="0"/>
            </w:tcBorders>
            <w:shd w:val="clear" w:color="auto" w:fill="auto"/>
            <w:vAlign w:val="center"/>
          </w:tcPr>
          <w:p w14:paraId="416C3E18">
            <w:pPr>
              <w:spacing w:before="50" w:after="50" w:line="360" w:lineRule="auto"/>
              <w:jc w:val="center"/>
              <w:rPr>
                <w:rFonts w:ascii="宋体" w:hAnsi="宋体" w:cs="宋体"/>
                <w:color w:val="auto"/>
                <w:spacing w:val="20"/>
                <w:sz w:val="24"/>
              </w:rPr>
            </w:pPr>
          </w:p>
        </w:tc>
        <w:tc>
          <w:tcPr>
            <w:tcW w:w="1253" w:type="dxa"/>
            <w:tcBorders>
              <w:top w:val="single" w:color="auto" w:sz="4" w:space="0"/>
              <w:left w:val="nil"/>
              <w:bottom w:val="single" w:color="auto" w:sz="4" w:space="0"/>
              <w:right w:val="single" w:color="auto" w:sz="4" w:space="0"/>
            </w:tcBorders>
            <w:shd w:val="clear" w:color="auto" w:fill="auto"/>
            <w:vAlign w:val="center"/>
          </w:tcPr>
          <w:p w14:paraId="7096EDFE">
            <w:pPr>
              <w:spacing w:before="50" w:after="50" w:line="360" w:lineRule="auto"/>
              <w:jc w:val="center"/>
              <w:rPr>
                <w:rFonts w:ascii="宋体" w:hAnsi="宋体" w:cs="宋体"/>
                <w:color w:val="auto"/>
                <w:spacing w:val="20"/>
                <w:sz w:val="24"/>
              </w:rPr>
            </w:pPr>
          </w:p>
        </w:tc>
        <w:tc>
          <w:tcPr>
            <w:tcW w:w="1432" w:type="dxa"/>
            <w:tcBorders>
              <w:top w:val="single" w:color="auto" w:sz="4" w:space="0"/>
              <w:left w:val="nil"/>
              <w:bottom w:val="single" w:color="auto" w:sz="4" w:space="0"/>
              <w:right w:val="single" w:color="auto" w:sz="4" w:space="0"/>
            </w:tcBorders>
            <w:shd w:val="clear" w:color="auto" w:fill="auto"/>
            <w:vAlign w:val="center"/>
          </w:tcPr>
          <w:p w14:paraId="693509DB">
            <w:pPr>
              <w:spacing w:before="50" w:after="50" w:line="360" w:lineRule="auto"/>
              <w:jc w:val="center"/>
              <w:rPr>
                <w:rFonts w:ascii="宋体" w:hAnsi="宋体" w:cs="宋体"/>
                <w:color w:val="auto"/>
                <w:spacing w:val="20"/>
                <w:sz w:val="24"/>
              </w:rPr>
            </w:pPr>
          </w:p>
        </w:tc>
      </w:tr>
      <w:tr w14:paraId="6956ED04">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3C2781AD">
            <w:pPr>
              <w:spacing w:before="50" w:after="50" w:line="360" w:lineRule="auto"/>
              <w:jc w:val="center"/>
              <w:rPr>
                <w:rFonts w:ascii="宋体" w:hAnsi="宋体" w:cs="宋体"/>
                <w:color w:val="auto"/>
                <w:spacing w:val="20"/>
                <w:sz w:val="24"/>
              </w:rPr>
            </w:pPr>
          </w:p>
        </w:tc>
        <w:tc>
          <w:tcPr>
            <w:tcW w:w="3944" w:type="dxa"/>
            <w:tcBorders>
              <w:top w:val="single" w:color="auto" w:sz="4" w:space="0"/>
              <w:left w:val="nil"/>
              <w:bottom w:val="single" w:color="auto" w:sz="4" w:space="0"/>
              <w:right w:val="single" w:color="auto" w:sz="4" w:space="0"/>
            </w:tcBorders>
            <w:shd w:val="clear" w:color="auto" w:fill="auto"/>
            <w:vAlign w:val="center"/>
          </w:tcPr>
          <w:p w14:paraId="52A68F4E">
            <w:pPr>
              <w:spacing w:line="360" w:lineRule="auto"/>
              <w:jc w:val="center"/>
              <w:rPr>
                <w:rFonts w:ascii="宋体" w:hAnsi="宋体" w:cs="宋体"/>
                <w:color w:val="auto"/>
                <w:spacing w:val="20"/>
                <w:sz w:val="24"/>
              </w:rPr>
            </w:pPr>
          </w:p>
        </w:tc>
        <w:tc>
          <w:tcPr>
            <w:tcW w:w="1501" w:type="dxa"/>
            <w:tcBorders>
              <w:top w:val="single" w:color="auto" w:sz="4" w:space="0"/>
              <w:left w:val="nil"/>
              <w:bottom w:val="single" w:color="auto" w:sz="4" w:space="0"/>
              <w:right w:val="single" w:color="auto" w:sz="4" w:space="0"/>
            </w:tcBorders>
            <w:shd w:val="clear" w:color="auto" w:fill="auto"/>
            <w:vAlign w:val="center"/>
          </w:tcPr>
          <w:p w14:paraId="5AD48BC9">
            <w:pPr>
              <w:spacing w:before="50" w:after="50" w:line="360" w:lineRule="auto"/>
              <w:jc w:val="center"/>
              <w:rPr>
                <w:rFonts w:ascii="宋体" w:hAnsi="宋体" w:cs="宋体"/>
                <w:color w:val="auto"/>
                <w:spacing w:val="20"/>
                <w:sz w:val="24"/>
              </w:rPr>
            </w:pPr>
          </w:p>
        </w:tc>
        <w:tc>
          <w:tcPr>
            <w:tcW w:w="1253" w:type="dxa"/>
            <w:tcBorders>
              <w:top w:val="single" w:color="auto" w:sz="4" w:space="0"/>
              <w:left w:val="nil"/>
              <w:bottom w:val="single" w:color="auto" w:sz="4" w:space="0"/>
              <w:right w:val="single" w:color="auto" w:sz="4" w:space="0"/>
            </w:tcBorders>
            <w:shd w:val="clear" w:color="auto" w:fill="auto"/>
            <w:vAlign w:val="center"/>
          </w:tcPr>
          <w:p w14:paraId="27037FCE">
            <w:pPr>
              <w:spacing w:before="50" w:after="50" w:line="360" w:lineRule="auto"/>
              <w:jc w:val="center"/>
              <w:rPr>
                <w:rFonts w:ascii="宋体" w:hAnsi="宋体" w:cs="宋体"/>
                <w:color w:val="auto"/>
                <w:spacing w:val="20"/>
                <w:sz w:val="24"/>
              </w:rPr>
            </w:pPr>
          </w:p>
        </w:tc>
        <w:tc>
          <w:tcPr>
            <w:tcW w:w="1432" w:type="dxa"/>
            <w:tcBorders>
              <w:top w:val="single" w:color="auto" w:sz="4" w:space="0"/>
              <w:left w:val="nil"/>
              <w:bottom w:val="single" w:color="auto" w:sz="4" w:space="0"/>
              <w:right w:val="single" w:color="auto" w:sz="4" w:space="0"/>
            </w:tcBorders>
            <w:shd w:val="clear" w:color="auto" w:fill="auto"/>
            <w:vAlign w:val="center"/>
          </w:tcPr>
          <w:p w14:paraId="4C4AB6E2">
            <w:pPr>
              <w:spacing w:before="50" w:after="50" w:line="360" w:lineRule="auto"/>
              <w:jc w:val="center"/>
              <w:rPr>
                <w:rFonts w:ascii="宋体" w:hAnsi="宋体" w:cs="宋体"/>
                <w:color w:val="auto"/>
                <w:spacing w:val="20"/>
                <w:sz w:val="24"/>
              </w:rPr>
            </w:pPr>
          </w:p>
        </w:tc>
      </w:tr>
      <w:tr w14:paraId="4A4DEC5A">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46CFA864">
            <w:pPr>
              <w:spacing w:before="50" w:after="50" w:line="360" w:lineRule="auto"/>
              <w:jc w:val="center"/>
              <w:rPr>
                <w:rFonts w:ascii="宋体" w:hAnsi="宋体" w:cs="宋体"/>
                <w:color w:val="auto"/>
                <w:spacing w:val="20"/>
                <w:sz w:val="24"/>
              </w:rPr>
            </w:pPr>
          </w:p>
        </w:tc>
        <w:tc>
          <w:tcPr>
            <w:tcW w:w="3944" w:type="dxa"/>
            <w:tcBorders>
              <w:top w:val="single" w:color="auto" w:sz="4" w:space="0"/>
              <w:left w:val="nil"/>
              <w:bottom w:val="single" w:color="auto" w:sz="4" w:space="0"/>
              <w:right w:val="single" w:color="auto" w:sz="4" w:space="0"/>
            </w:tcBorders>
            <w:shd w:val="clear" w:color="auto" w:fill="auto"/>
            <w:vAlign w:val="center"/>
          </w:tcPr>
          <w:p w14:paraId="277BDA6C">
            <w:pPr>
              <w:spacing w:line="360" w:lineRule="auto"/>
              <w:jc w:val="center"/>
              <w:rPr>
                <w:rFonts w:ascii="宋体" w:hAnsi="宋体" w:cs="宋体"/>
                <w:color w:val="auto"/>
                <w:spacing w:val="20"/>
                <w:sz w:val="24"/>
              </w:rPr>
            </w:pPr>
          </w:p>
        </w:tc>
        <w:tc>
          <w:tcPr>
            <w:tcW w:w="1501" w:type="dxa"/>
            <w:tcBorders>
              <w:top w:val="single" w:color="auto" w:sz="4" w:space="0"/>
              <w:left w:val="nil"/>
              <w:bottom w:val="single" w:color="auto" w:sz="4" w:space="0"/>
              <w:right w:val="single" w:color="auto" w:sz="4" w:space="0"/>
            </w:tcBorders>
            <w:shd w:val="clear" w:color="auto" w:fill="auto"/>
            <w:vAlign w:val="center"/>
          </w:tcPr>
          <w:p w14:paraId="55772FC2">
            <w:pPr>
              <w:spacing w:before="50" w:after="50" w:line="360" w:lineRule="auto"/>
              <w:jc w:val="center"/>
              <w:rPr>
                <w:rFonts w:ascii="宋体" w:hAnsi="宋体" w:cs="宋体"/>
                <w:color w:val="auto"/>
                <w:spacing w:val="20"/>
                <w:sz w:val="24"/>
              </w:rPr>
            </w:pPr>
          </w:p>
        </w:tc>
        <w:tc>
          <w:tcPr>
            <w:tcW w:w="1253" w:type="dxa"/>
            <w:tcBorders>
              <w:top w:val="single" w:color="auto" w:sz="4" w:space="0"/>
              <w:left w:val="nil"/>
              <w:bottom w:val="single" w:color="auto" w:sz="4" w:space="0"/>
              <w:right w:val="single" w:color="auto" w:sz="4" w:space="0"/>
            </w:tcBorders>
            <w:shd w:val="clear" w:color="auto" w:fill="auto"/>
            <w:vAlign w:val="center"/>
          </w:tcPr>
          <w:p w14:paraId="58700D1A">
            <w:pPr>
              <w:spacing w:before="50" w:after="50" w:line="360" w:lineRule="auto"/>
              <w:jc w:val="center"/>
              <w:rPr>
                <w:rFonts w:ascii="宋体" w:hAnsi="宋体" w:cs="宋体"/>
                <w:color w:val="auto"/>
                <w:spacing w:val="20"/>
                <w:sz w:val="24"/>
              </w:rPr>
            </w:pPr>
          </w:p>
        </w:tc>
        <w:tc>
          <w:tcPr>
            <w:tcW w:w="1432" w:type="dxa"/>
            <w:tcBorders>
              <w:top w:val="single" w:color="auto" w:sz="4" w:space="0"/>
              <w:left w:val="nil"/>
              <w:bottom w:val="single" w:color="auto" w:sz="4" w:space="0"/>
              <w:right w:val="single" w:color="auto" w:sz="4" w:space="0"/>
            </w:tcBorders>
            <w:shd w:val="clear" w:color="auto" w:fill="auto"/>
            <w:vAlign w:val="center"/>
          </w:tcPr>
          <w:p w14:paraId="5DB3804D">
            <w:pPr>
              <w:spacing w:before="50" w:after="50" w:line="360" w:lineRule="auto"/>
              <w:jc w:val="center"/>
              <w:rPr>
                <w:rFonts w:ascii="宋体" w:hAnsi="宋体" w:cs="宋体"/>
                <w:color w:val="auto"/>
                <w:spacing w:val="20"/>
                <w:sz w:val="24"/>
              </w:rPr>
            </w:pPr>
          </w:p>
        </w:tc>
      </w:tr>
      <w:tr w14:paraId="20D4D92B">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2A71257E">
            <w:pPr>
              <w:spacing w:before="50" w:after="50" w:line="360" w:lineRule="auto"/>
              <w:jc w:val="center"/>
              <w:rPr>
                <w:rFonts w:ascii="宋体" w:hAnsi="宋体" w:cs="宋体"/>
                <w:color w:val="auto"/>
                <w:spacing w:val="20"/>
                <w:sz w:val="24"/>
              </w:rPr>
            </w:pPr>
          </w:p>
        </w:tc>
        <w:tc>
          <w:tcPr>
            <w:tcW w:w="3944" w:type="dxa"/>
            <w:tcBorders>
              <w:top w:val="single" w:color="auto" w:sz="4" w:space="0"/>
              <w:left w:val="nil"/>
              <w:bottom w:val="single" w:color="auto" w:sz="4" w:space="0"/>
              <w:right w:val="single" w:color="auto" w:sz="4" w:space="0"/>
            </w:tcBorders>
            <w:shd w:val="clear" w:color="auto" w:fill="auto"/>
            <w:vAlign w:val="center"/>
          </w:tcPr>
          <w:p w14:paraId="51B822B9">
            <w:pPr>
              <w:spacing w:before="50" w:after="50" w:line="360" w:lineRule="auto"/>
              <w:jc w:val="center"/>
              <w:rPr>
                <w:rFonts w:ascii="宋体" w:hAnsi="宋体" w:cs="宋体"/>
                <w:color w:val="auto"/>
                <w:spacing w:val="20"/>
                <w:sz w:val="24"/>
              </w:rPr>
            </w:pPr>
          </w:p>
        </w:tc>
        <w:tc>
          <w:tcPr>
            <w:tcW w:w="1501" w:type="dxa"/>
            <w:tcBorders>
              <w:top w:val="single" w:color="auto" w:sz="4" w:space="0"/>
              <w:left w:val="nil"/>
              <w:bottom w:val="single" w:color="auto" w:sz="4" w:space="0"/>
              <w:right w:val="single" w:color="auto" w:sz="4" w:space="0"/>
            </w:tcBorders>
            <w:shd w:val="clear" w:color="auto" w:fill="auto"/>
            <w:vAlign w:val="center"/>
          </w:tcPr>
          <w:p w14:paraId="2018E5C8">
            <w:pPr>
              <w:spacing w:before="50" w:after="50" w:line="360" w:lineRule="auto"/>
              <w:jc w:val="center"/>
              <w:rPr>
                <w:rFonts w:ascii="宋体" w:hAnsi="宋体" w:cs="宋体"/>
                <w:color w:val="auto"/>
                <w:spacing w:val="20"/>
                <w:sz w:val="24"/>
              </w:rPr>
            </w:pPr>
          </w:p>
        </w:tc>
        <w:tc>
          <w:tcPr>
            <w:tcW w:w="1253" w:type="dxa"/>
            <w:tcBorders>
              <w:top w:val="single" w:color="auto" w:sz="4" w:space="0"/>
              <w:left w:val="nil"/>
              <w:bottom w:val="single" w:color="auto" w:sz="4" w:space="0"/>
              <w:right w:val="single" w:color="auto" w:sz="4" w:space="0"/>
            </w:tcBorders>
            <w:shd w:val="clear" w:color="auto" w:fill="auto"/>
            <w:vAlign w:val="center"/>
          </w:tcPr>
          <w:p w14:paraId="7633E393">
            <w:pPr>
              <w:spacing w:before="50" w:after="50" w:line="360" w:lineRule="auto"/>
              <w:jc w:val="center"/>
              <w:rPr>
                <w:rFonts w:ascii="宋体" w:hAnsi="宋体" w:cs="宋体"/>
                <w:color w:val="auto"/>
                <w:spacing w:val="20"/>
                <w:sz w:val="24"/>
              </w:rPr>
            </w:pPr>
          </w:p>
        </w:tc>
        <w:tc>
          <w:tcPr>
            <w:tcW w:w="1432" w:type="dxa"/>
            <w:tcBorders>
              <w:top w:val="single" w:color="auto" w:sz="4" w:space="0"/>
              <w:left w:val="nil"/>
              <w:bottom w:val="single" w:color="auto" w:sz="4" w:space="0"/>
              <w:right w:val="single" w:color="auto" w:sz="4" w:space="0"/>
            </w:tcBorders>
            <w:shd w:val="clear" w:color="auto" w:fill="auto"/>
            <w:vAlign w:val="center"/>
          </w:tcPr>
          <w:p w14:paraId="3FAE67E7">
            <w:pPr>
              <w:spacing w:before="50" w:after="50" w:line="360" w:lineRule="auto"/>
              <w:jc w:val="center"/>
              <w:rPr>
                <w:rFonts w:ascii="宋体" w:hAnsi="宋体" w:cs="宋体"/>
                <w:color w:val="auto"/>
                <w:spacing w:val="20"/>
                <w:sz w:val="24"/>
              </w:rPr>
            </w:pPr>
          </w:p>
        </w:tc>
      </w:tr>
      <w:tr w14:paraId="3544B96C">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209C0EB4">
            <w:pPr>
              <w:spacing w:before="50" w:after="50" w:line="360" w:lineRule="auto"/>
              <w:jc w:val="center"/>
              <w:rPr>
                <w:rFonts w:ascii="宋体" w:hAnsi="宋体" w:cs="宋体"/>
                <w:color w:val="auto"/>
                <w:spacing w:val="20"/>
                <w:sz w:val="24"/>
              </w:rPr>
            </w:pPr>
          </w:p>
        </w:tc>
        <w:tc>
          <w:tcPr>
            <w:tcW w:w="3944" w:type="dxa"/>
            <w:tcBorders>
              <w:top w:val="single" w:color="auto" w:sz="4" w:space="0"/>
              <w:left w:val="nil"/>
              <w:bottom w:val="single" w:color="auto" w:sz="4" w:space="0"/>
              <w:right w:val="single" w:color="auto" w:sz="4" w:space="0"/>
            </w:tcBorders>
            <w:shd w:val="clear" w:color="auto" w:fill="auto"/>
            <w:vAlign w:val="center"/>
          </w:tcPr>
          <w:p w14:paraId="1DECDF31">
            <w:pPr>
              <w:spacing w:before="50" w:after="50" w:line="360" w:lineRule="auto"/>
              <w:jc w:val="center"/>
              <w:rPr>
                <w:rFonts w:ascii="宋体" w:hAnsi="宋体" w:cs="宋体"/>
                <w:color w:val="auto"/>
                <w:spacing w:val="20"/>
                <w:sz w:val="24"/>
              </w:rPr>
            </w:pPr>
          </w:p>
        </w:tc>
        <w:tc>
          <w:tcPr>
            <w:tcW w:w="1501" w:type="dxa"/>
            <w:tcBorders>
              <w:top w:val="single" w:color="auto" w:sz="4" w:space="0"/>
              <w:left w:val="nil"/>
              <w:bottom w:val="single" w:color="auto" w:sz="4" w:space="0"/>
              <w:right w:val="single" w:color="auto" w:sz="4" w:space="0"/>
            </w:tcBorders>
            <w:shd w:val="clear" w:color="auto" w:fill="auto"/>
            <w:vAlign w:val="center"/>
          </w:tcPr>
          <w:p w14:paraId="233B1F70">
            <w:pPr>
              <w:spacing w:before="50" w:after="50" w:line="360" w:lineRule="auto"/>
              <w:jc w:val="center"/>
              <w:rPr>
                <w:rFonts w:ascii="宋体" w:hAnsi="宋体" w:cs="宋体"/>
                <w:color w:val="auto"/>
                <w:spacing w:val="20"/>
                <w:sz w:val="24"/>
              </w:rPr>
            </w:pPr>
          </w:p>
        </w:tc>
        <w:tc>
          <w:tcPr>
            <w:tcW w:w="1253" w:type="dxa"/>
            <w:tcBorders>
              <w:top w:val="single" w:color="auto" w:sz="4" w:space="0"/>
              <w:left w:val="nil"/>
              <w:bottom w:val="single" w:color="auto" w:sz="4" w:space="0"/>
              <w:right w:val="single" w:color="auto" w:sz="4" w:space="0"/>
            </w:tcBorders>
            <w:shd w:val="clear" w:color="auto" w:fill="auto"/>
            <w:vAlign w:val="center"/>
          </w:tcPr>
          <w:p w14:paraId="2E31CDDA">
            <w:pPr>
              <w:spacing w:before="50" w:after="50" w:line="360" w:lineRule="auto"/>
              <w:jc w:val="center"/>
              <w:rPr>
                <w:rFonts w:ascii="宋体" w:hAnsi="宋体" w:cs="宋体"/>
                <w:color w:val="auto"/>
                <w:spacing w:val="20"/>
                <w:sz w:val="24"/>
              </w:rPr>
            </w:pPr>
          </w:p>
        </w:tc>
        <w:tc>
          <w:tcPr>
            <w:tcW w:w="1432" w:type="dxa"/>
            <w:tcBorders>
              <w:top w:val="single" w:color="auto" w:sz="4" w:space="0"/>
              <w:left w:val="nil"/>
              <w:bottom w:val="single" w:color="auto" w:sz="4" w:space="0"/>
              <w:right w:val="single" w:color="auto" w:sz="4" w:space="0"/>
            </w:tcBorders>
            <w:shd w:val="clear" w:color="auto" w:fill="auto"/>
            <w:vAlign w:val="center"/>
          </w:tcPr>
          <w:p w14:paraId="47B2E695">
            <w:pPr>
              <w:spacing w:before="50" w:after="50" w:line="360" w:lineRule="auto"/>
              <w:jc w:val="center"/>
              <w:rPr>
                <w:rFonts w:ascii="宋体" w:hAnsi="宋体" w:cs="宋体"/>
                <w:color w:val="auto"/>
                <w:spacing w:val="20"/>
                <w:sz w:val="24"/>
              </w:rPr>
            </w:pPr>
          </w:p>
        </w:tc>
      </w:tr>
      <w:tr w14:paraId="27595E37">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288A2F2A">
            <w:pPr>
              <w:spacing w:before="50" w:after="50" w:line="360" w:lineRule="auto"/>
              <w:jc w:val="center"/>
              <w:rPr>
                <w:rFonts w:ascii="宋体" w:hAnsi="宋体" w:cs="宋体"/>
                <w:color w:val="auto"/>
                <w:spacing w:val="20"/>
                <w:sz w:val="24"/>
              </w:rPr>
            </w:pPr>
          </w:p>
        </w:tc>
        <w:tc>
          <w:tcPr>
            <w:tcW w:w="3944" w:type="dxa"/>
            <w:tcBorders>
              <w:top w:val="single" w:color="auto" w:sz="4" w:space="0"/>
              <w:left w:val="nil"/>
              <w:bottom w:val="single" w:color="auto" w:sz="4" w:space="0"/>
              <w:right w:val="single" w:color="auto" w:sz="4" w:space="0"/>
            </w:tcBorders>
            <w:shd w:val="clear" w:color="auto" w:fill="auto"/>
            <w:vAlign w:val="center"/>
          </w:tcPr>
          <w:p w14:paraId="58402A4F">
            <w:pPr>
              <w:spacing w:before="50" w:after="50" w:line="360" w:lineRule="auto"/>
              <w:jc w:val="center"/>
              <w:rPr>
                <w:rFonts w:ascii="宋体" w:hAnsi="宋体" w:cs="宋体"/>
                <w:color w:val="auto"/>
                <w:spacing w:val="20"/>
                <w:sz w:val="24"/>
              </w:rPr>
            </w:pPr>
          </w:p>
        </w:tc>
        <w:tc>
          <w:tcPr>
            <w:tcW w:w="1501" w:type="dxa"/>
            <w:tcBorders>
              <w:top w:val="single" w:color="auto" w:sz="4" w:space="0"/>
              <w:left w:val="nil"/>
              <w:bottom w:val="single" w:color="auto" w:sz="4" w:space="0"/>
              <w:right w:val="single" w:color="auto" w:sz="4" w:space="0"/>
            </w:tcBorders>
            <w:shd w:val="clear" w:color="auto" w:fill="auto"/>
            <w:vAlign w:val="center"/>
          </w:tcPr>
          <w:p w14:paraId="30A4008D">
            <w:pPr>
              <w:spacing w:before="50" w:after="50" w:line="360" w:lineRule="auto"/>
              <w:jc w:val="center"/>
              <w:rPr>
                <w:rFonts w:ascii="宋体" w:hAnsi="宋体" w:cs="宋体"/>
                <w:color w:val="auto"/>
                <w:spacing w:val="20"/>
                <w:sz w:val="24"/>
              </w:rPr>
            </w:pPr>
          </w:p>
        </w:tc>
        <w:tc>
          <w:tcPr>
            <w:tcW w:w="1253" w:type="dxa"/>
            <w:tcBorders>
              <w:top w:val="single" w:color="auto" w:sz="4" w:space="0"/>
              <w:left w:val="nil"/>
              <w:bottom w:val="single" w:color="auto" w:sz="4" w:space="0"/>
              <w:right w:val="single" w:color="auto" w:sz="4" w:space="0"/>
            </w:tcBorders>
            <w:shd w:val="clear" w:color="auto" w:fill="auto"/>
            <w:vAlign w:val="center"/>
          </w:tcPr>
          <w:p w14:paraId="1EB5F1A0">
            <w:pPr>
              <w:spacing w:before="50" w:after="50" w:line="360" w:lineRule="auto"/>
              <w:jc w:val="center"/>
              <w:rPr>
                <w:rFonts w:ascii="宋体" w:hAnsi="宋体" w:cs="宋体"/>
                <w:color w:val="auto"/>
                <w:spacing w:val="20"/>
                <w:sz w:val="24"/>
              </w:rPr>
            </w:pPr>
          </w:p>
        </w:tc>
        <w:tc>
          <w:tcPr>
            <w:tcW w:w="1432" w:type="dxa"/>
            <w:tcBorders>
              <w:top w:val="single" w:color="auto" w:sz="4" w:space="0"/>
              <w:left w:val="nil"/>
              <w:bottom w:val="single" w:color="auto" w:sz="4" w:space="0"/>
              <w:right w:val="single" w:color="auto" w:sz="4" w:space="0"/>
            </w:tcBorders>
            <w:shd w:val="clear" w:color="auto" w:fill="auto"/>
            <w:vAlign w:val="center"/>
          </w:tcPr>
          <w:p w14:paraId="450336C8">
            <w:pPr>
              <w:spacing w:before="50" w:after="50" w:line="360" w:lineRule="auto"/>
              <w:jc w:val="center"/>
              <w:rPr>
                <w:rFonts w:ascii="宋体" w:hAnsi="宋体" w:cs="宋体"/>
                <w:color w:val="auto"/>
                <w:spacing w:val="20"/>
                <w:sz w:val="24"/>
              </w:rPr>
            </w:pPr>
          </w:p>
        </w:tc>
      </w:tr>
      <w:tr w14:paraId="052A25F8">
        <w:tblPrEx>
          <w:tblCellMar>
            <w:top w:w="0" w:type="dxa"/>
            <w:left w:w="108" w:type="dxa"/>
            <w:bottom w:w="0" w:type="dxa"/>
            <w:right w:w="108" w:type="dxa"/>
          </w:tblCellMar>
        </w:tblPrEx>
        <w:trPr>
          <w:trHeight w:val="369"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2A80295E">
            <w:pPr>
              <w:spacing w:before="50" w:after="50" w:line="360" w:lineRule="auto"/>
              <w:jc w:val="center"/>
              <w:rPr>
                <w:rFonts w:ascii="宋体" w:hAnsi="宋体" w:cs="宋体"/>
                <w:color w:val="auto"/>
                <w:spacing w:val="20"/>
                <w:sz w:val="24"/>
              </w:rPr>
            </w:pPr>
          </w:p>
        </w:tc>
        <w:tc>
          <w:tcPr>
            <w:tcW w:w="3944" w:type="dxa"/>
            <w:tcBorders>
              <w:top w:val="single" w:color="auto" w:sz="4" w:space="0"/>
              <w:left w:val="nil"/>
              <w:bottom w:val="single" w:color="auto" w:sz="4" w:space="0"/>
              <w:right w:val="single" w:color="auto" w:sz="4" w:space="0"/>
            </w:tcBorders>
            <w:shd w:val="clear" w:color="auto" w:fill="auto"/>
            <w:vAlign w:val="center"/>
          </w:tcPr>
          <w:p w14:paraId="11BFB645">
            <w:pPr>
              <w:spacing w:before="50" w:after="50" w:line="360" w:lineRule="auto"/>
              <w:jc w:val="center"/>
              <w:rPr>
                <w:rFonts w:ascii="宋体" w:hAnsi="宋体" w:cs="宋体"/>
                <w:color w:val="auto"/>
                <w:spacing w:val="20"/>
                <w:sz w:val="24"/>
              </w:rPr>
            </w:pPr>
          </w:p>
        </w:tc>
        <w:tc>
          <w:tcPr>
            <w:tcW w:w="1501" w:type="dxa"/>
            <w:tcBorders>
              <w:top w:val="single" w:color="auto" w:sz="4" w:space="0"/>
              <w:left w:val="nil"/>
              <w:bottom w:val="single" w:color="auto" w:sz="4" w:space="0"/>
              <w:right w:val="single" w:color="auto" w:sz="4" w:space="0"/>
            </w:tcBorders>
            <w:shd w:val="clear" w:color="auto" w:fill="auto"/>
            <w:vAlign w:val="center"/>
          </w:tcPr>
          <w:p w14:paraId="02C0349C">
            <w:pPr>
              <w:spacing w:before="50" w:after="50" w:line="360" w:lineRule="auto"/>
              <w:jc w:val="center"/>
              <w:rPr>
                <w:rFonts w:ascii="宋体" w:hAnsi="宋体" w:cs="宋体"/>
                <w:color w:val="auto"/>
                <w:spacing w:val="20"/>
                <w:sz w:val="24"/>
              </w:rPr>
            </w:pPr>
          </w:p>
        </w:tc>
        <w:tc>
          <w:tcPr>
            <w:tcW w:w="1253" w:type="dxa"/>
            <w:tcBorders>
              <w:top w:val="single" w:color="auto" w:sz="4" w:space="0"/>
              <w:left w:val="nil"/>
              <w:bottom w:val="single" w:color="auto" w:sz="4" w:space="0"/>
              <w:right w:val="single" w:color="auto" w:sz="4" w:space="0"/>
            </w:tcBorders>
            <w:shd w:val="clear" w:color="auto" w:fill="auto"/>
            <w:vAlign w:val="center"/>
          </w:tcPr>
          <w:p w14:paraId="22AEF959">
            <w:pPr>
              <w:spacing w:before="50" w:after="50" w:line="360" w:lineRule="auto"/>
              <w:jc w:val="center"/>
              <w:rPr>
                <w:rFonts w:ascii="宋体" w:hAnsi="宋体" w:cs="宋体"/>
                <w:color w:val="auto"/>
                <w:spacing w:val="20"/>
                <w:sz w:val="24"/>
              </w:rPr>
            </w:pPr>
          </w:p>
        </w:tc>
        <w:tc>
          <w:tcPr>
            <w:tcW w:w="1432" w:type="dxa"/>
            <w:tcBorders>
              <w:top w:val="single" w:color="auto" w:sz="4" w:space="0"/>
              <w:left w:val="nil"/>
              <w:bottom w:val="single" w:color="auto" w:sz="4" w:space="0"/>
              <w:right w:val="single" w:color="auto" w:sz="4" w:space="0"/>
            </w:tcBorders>
            <w:shd w:val="clear" w:color="auto" w:fill="auto"/>
            <w:vAlign w:val="center"/>
          </w:tcPr>
          <w:p w14:paraId="2DA09969">
            <w:pPr>
              <w:spacing w:before="50" w:after="50" w:line="360" w:lineRule="auto"/>
              <w:jc w:val="center"/>
              <w:rPr>
                <w:rFonts w:ascii="宋体" w:hAnsi="宋体" w:cs="宋体"/>
                <w:color w:val="auto"/>
                <w:spacing w:val="20"/>
                <w:sz w:val="24"/>
              </w:rPr>
            </w:pPr>
          </w:p>
        </w:tc>
      </w:tr>
      <w:tr w14:paraId="5E5BB081">
        <w:tblPrEx>
          <w:tblCellMar>
            <w:top w:w="0" w:type="dxa"/>
            <w:left w:w="108" w:type="dxa"/>
            <w:bottom w:w="0" w:type="dxa"/>
            <w:right w:w="108" w:type="dxa"/>
          </w:tblCellMar>
        </w:tblPrEx>
        <w:trPr>
          <w:trHeight w:val="351"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3CFF3FE2">
            <w:pPr>
              <w:spacing w:before="50" w:after="50" w:line="360" w:lineRule="auto"/>
              <w:jc w:val="center"/>
              <w:rPr>
                <w:rFonts w:ascii="宋体" w:hAnsi="宋体" w:cs="宋体"/>
                <w:color w:val="auto"/>
                <w:spacing w:val="20"/>
                <w:sz w:val="24"/>
              </w:rPr>
            </w:pPr>
          </w:p>
        </w:tc>
        <w:tc>
          <w:tcPr>
            <w:tcW w:w="3944" w:type="dxa"/>
            <w:tcBorders>
              <w:top w:val="single" w:color="auto" w:sz="4" w:space="0"/>
              <w:left w:val="nil"/>
              <w:bottom w:val="single" w:color="auto" w:sz="4" w:space="0"/>
              <w:right w:val="single" w:color="auto" w:sz="4" w:space="0"/>
            </w:tcBorders>
            <w:shd w:val="clear" w:color="auto" w:fill="auto"/>
            <w:vAlign w:val="center"/>
          </w:tcPr>
          <w:p w14:paraId="2742A210">
            <w:pPr>
              <w:spacing w:before="50" w:after="50" w:line="360" w:lineRule="auto"/>
              <w:jc w:val="center"/>
              <w:rPr>
                <w:rFonts w:ascii="宋体" w:hAnsi="宋体" w:cs="宋体"/>
                <w:color w:val="auto"/>
                <w:spacing w:val="20"/>
                <w:sz w:val="24"/>
              </w:rPr>
            </w:pPr>
          </w:p>
        </w:tc>
        <w:tc>
          <w:tcPr>
            <w:tcW w:w="1501" w:type="dxa"/>
            <w:tcBorders>
              <w:top w:val="single" w:color="auto" w:sz="4" w:space="0"/>
              <w:left w:val="nil"/>
              <w:bottom w:val="single" w:color="auto" w:sz="4" w:space="0"/>
              <w:right w:val="single" w:color="auto" w:sz="4" w:space="0"/>
            </w:tcBorders>
            <w:shd w:val="clear" w:color="auto" w:fill="auto"/>
            <w:vAlign w:val="center"/>
          </w:tcPr>
          <w:p w14:paraId="424FF4F0">
            <w:pPr>
              <w:spacing w:before="50" w:after="50" w:line="360" w:lineRule="auto"/>
              <w:jc w:val="center"/>
              <w:rPr>
                <w:rFonts w:ascii="宋体" w:hAnsi="宋体" w:cs="宋体"/>
                <w:color w:val="auto"/>
                <w:spacing w:val="20"/>
                <w:sz w:val="24"/>
              </w:rPr>
            </w:pPr>
          </w:p>
        </w:tc>
        <w:tc>
          <w:tcPr>
            <w:tcW w:w="1253" w:type="dxa"/>
            <w:tcBorders>
              <w:top w:val="single" w:color="auto" w:sz="4" w:space="0"/>
              <w:left w:val="nil"/>
              <w:bottom w:val="single" w:color="auto" w:sz="4" w:space="0"/>
              <w:right w:val="single" w:color="auto" w:sz="4" w:space="0"/>
            </w:tcBorders>
            <w:shd w:val="clear" w:color="auto" w:fill="auto"/>
            <w:vAlign w:val="center"/>
          </w:tcPr>
          <w:p w14:paraId="10746CB6">
            <w:pPr>
              <w:spacing w:before="50" w:after="50" w:line="360" w:lineRule="auto"/>
              <w:jc w:val="center"/>
              <w:rPr>
                <w:rFonts w:ascii="宋体" w:hAnsi="宋体" w:cs="宋体"/>
                <w:color w:val="auto"/>
                <w:spacing w:val="20"/>
                <w:sz w:val="24"/>
              </w:rPr>
            </w:pPr>
          </w:p>
        </w:tc>
        <w:tc>
          <w:tcPr>
            <w:tcW w:w="1432" w:type="dxa"/>
            <w:tcBorders>
              <w:top w:val="single" w:color="auto" w:sz="4" w:space="0"/>
              <w:left w:val="nil"/>
              <w:bottom w:val="single" w:color="auto" w:sz="4" w:space="0"/>
              <w:right w:val="single" w:color="auto" w:sz="4" w:space="0"/>
            </w:tcBorders>
            <w:shd w:val="clear" w:color="auto" w:fill="auto"/>
            <w:vAlign w:val="center"/>
          </w:tcPr>
          <w:p w14:paraId="5D7B4D92">
            <w:pPr>
              <w:spacing w:before="50" w:after="50" w:line="360" w:lineRule="auto"/>
              <w:jc w:val="center"/>
              <w:rPr>
                <w:rFonts w:ascii="宋体" w:hAnsi="宋体" w:cs="宋体"/>
                <w:color w:val="auto"/>
                <w:spacing w:val="20"/>
                <w:sz w:val="24"/>
              </w:rPr>
            </w:pPr>
          </w:p>
        </w:tc>
      </w:tr>
      <w:tr w14:paraId="022DA246">
        <w:tblPrEx>
          <w:tblCellMar>
            <w:top w:w="0" w:type="dxa"/>
            <w:left w:w="108" w:type="dxa"/>
            <w:bottom w:w="0" w:type="dxa"/>
            <w:right w:w="108" w:type="dxa"/>
          </w:tblCellMar>
        </w:tblPrEx>
        <w:trPr>
          <w:trHeight w:val="452"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7E8F363A">
            <w:pPr>
              <w:spacing w:before="50" w:after="50" w:line="360" w:lineRule="auto"/>
              <w:jc w:val="center"/>
              <w:rPr>
                <w:rFonts w:ascii="宋体" w:hAnsi="宋体" w:cs="宋体"/>
                <w:color w:val="auto"/>
                <w:spacing w:val="20"/>
                <w:sz w:val="24"/>
              </w:rPr>
            </w:pPr>
          </w:p>
        </w:tc>
        <w:tc>
          <w:tcPr>
            <w:tcW w:w="3944" w:type="dxa"/>
            <w:tcBorders>
              <w:top w:val="single" w:color="auto" w:sz="4" w:space="0"/>
              <w:left w:val="nil"/>
              <w:bottom w:val="single" w:color="auto" w:sz="4" w:space="0"/>
              <w:right w:val="single" w:color="auto" w:sz="4" w:space="0"/>
            </w:tcBorders>
            <w:shd w:val="clear" w:color="auto" w:fill="auto"/>
            <w:vAlign w:val="center"/>
          </w:tcPr>
          <w:p w14:paraId="57204874">
            <w:pPr>
              <w:spacing w:before="50" w:after="50" w:line="360" w:lineRule="auto"/>
              <w:jc w:val="center"/>
              <w:rPr>
                <w:rFonts w:ascii="宋体" w:hAnsi="宋体" w:cs="宋体"/>
                <w:color w:val="auto"/>
                <w:spacing w:val="20"/>
                <w:sz w:val="24"/>
              </w:rPr>
            </w:pPr>
          </w:p>
        </w:tc>
        <w:tc>
          <w:tcPr>
            <w:tcW w:w="1501" w:type="dxa"/>
            <w:tcBorders>
              <w:top w:val="single" w:color="auto" w:sz="4" w:space="0"/>
              <w:left w:val="nil"/>
              <w:bottom w:val="single" w:color="auto" w:sz="4" w:space="0"/>
              <w:right w:val="single" w:color="auto" w:sz="4" w:space="0"/>
            </w:tcBorders>
            <w:shd w:val="clear" w:color="auto" w:fill="auto"/>
            <w:vAlign w:val="center"/>
          </w:tcPr>
          <w:p w14:paraId="0C886DE0">
            <w:pPr>
              <w:spacing w:before="50" w:after="50" w:line="360" w:lineRule="auto"/>
              <w:jc w:val="center"/>
              <w:rPr>
                <w:rFonts w:ascii="宋体" w:hAnsi="宋体" w:cs="宋体"/>
                <w:color w:val="auto"/>
                <w:spacing w:val="20"/>
                <w:sz w:val="24"/>
              </w:rPr>
            </w:pPr>
          </w:p>
        </w:tc>
        <w:tc>
          <w:tcPr>
            <w:tcW w:w="1253" w:type="dxa"/>
            <w:tcBorders>
              <w:top w:val="single" w:color="auto" w:sz="4" w:space="0"/>
              <w:left w:val="nil"/>
              <w:bottom w:val="single" w:color="auto" w:sz="4" w:space="0"/>
              <w:right w:val="single" w:color="auto" w:sz="4" w:space="0"/>
            </w:tcBorders>
            <w:shd w:val="clear" w:color="auto" w:fill="auto"/>
            <w:vAlign w:val="center"/>
          </w:tcPr>
          <w:p w14:paraId="68EBD4C8">
            <w:pPr>
              <w:spacing w:before="50" w:after="50" w:line="360" w:lineRule="auto"/>
              <w:jc w:val="center"/>
              <w:rPr>
                <w:rFonts w:ascii="宋体" w:hAnsi="宋体" w:cs="宋体"/>
                <w:color w:val="auto"/>
                <w:spacing w:val="20"/>
                <w:sz w:val="24"/>
              </w:rPr>
            </w:pPr>
          </w:p>
        </w:tc>
        <w:tc>
          <w:tcPr>
            <w:tcW w:w="1432" w:type="dxa"/>
            <w:tcBorders>
              <w:top w:val="single" w:color="auto" w:sz="4" w:space="0"/>
              <w:left w:val="nil"/>
              <w:bottom w:val="single" w:color="auto" w:sz="4" w:space="0"/>
              <w:right w:val="single" w:color="auto" w:sz="4" w:space="0"/>
            </w:tcBorders>
            <w:shd w:val="clear" w:color="auto" w:fill="auto"/>
            <w:vAlign w:val="center"/>
          </w:tcPr>
          <w:p w14:paraId="3A4EF584">
            <w:pPr>
              <w:spacing w:before="50" w:after="50" w:line="360" w:lineRule="auto"/>
              <w:jc w:val="center"/>
              <w:rPr>
                <w:rFonts w:ascii="宋体" w:hAnsi="宋体" w:cs="宋体"/>
                <w:color w:val="auto"/>
                <w:spacing w:val="20"/>
                <w:sz w:val="24"/>
              </w:rPr>
            </w:pPr>
          </w:p>
        </w:tc>
      </w:tr>
      <w:tr w14:paraId="64F6CB3C">
        <w:tblPrEx>
          <w:tblCellMar>
            <w:top w:w="0" w:type="dxa"/>
            <w:left w:w="108" w:type="dxa"/>
            <w:bottom w:w="0" w:type="dxa"/>
            <w:right w:w="108" w:type="dxa"/>
          </w:tblCellMar>
        </w:tblPrEx>
        <w:trPr>
          <w:trHeight w:val="520"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2BB6F853">
            <w:pPr>
              <w:spacing w:before="50" w:after="50" w:line="360" w:lineRule="auto"/>
              <w:jc w:val="center"/>
              <w:rPr>
                <w:rFonts w:ascii="宋体" w:hAnsi="宋体" w:cs="宋体"/>
                <w:color w:val="auto"/>
                <w:spacing w:val="20"/>
                <w:sz w:val="24"/>
              </w:rPr>
            </w:pPr>
          </w:p>
        </w:tc>
        <w:tc>
          <w:tcPr>
            <w:tcW w:w="3944" w:type="dxa"/>
            <w:tcBorders>
              <w:top w:val="single" w:color="auto" w:sz="4" w:space="0"/>
              <w:left w:val="nil"/>
              <w:bottom w:val="single" w:color="auto" w:sz="4" w:space="0"/>
              <w:right w:val="single" w:color="auto" w:sz="4" w:space="0"/>
            </w:tcBorders>
            <w:shd w:val="clear" w:color="auto" w:fill="auto"/>
            <w:vAlign w:val="center"/>
          </w:tcPr>
          <w:p w14:paraId="25615808">
            <w:pPr>
              <w:spacing w:before="50" w:after="50" w:line="360" w:lineRule="auto"/>
              <w:jc w:val="center"/>
              <w:rPr>
                <w:rFonts w:ascii="宋体" w:hAnsi="宋体" w:cs="宋体"/>
                <w:color w:val="auto"/>
                <w:spacing w:val="20"/>
                <w:sz w:val="24"/>
              </w:rPr>
            </w:pPr>
          </w:p>
        </w:tc>
        <w:tc>
          <w:tcPr>
            <w:tcW w:w="1501" w:type="dxa"/>
            <w:tcBorders>
              <w:top w:val="single" w:color="auto" w:sz="4" w:space="0"/>
              <w:left w:val="nil"/>
              <w:bottom w:val="single" w:color="auto" w:sz="4" w:space="0"/>
              <w:right w:val="single" w:color="auto" w:sz="4" w:space="0"/>
            </w:tcBorders>
            <w:shd w:val="clear" w:color="auto" w:fill="auto"/>
            <w:vAlign w:val="center"/>
          </w:tcPr>
          <w:p w14:paraId="227AE727">
            <w:pPr>
              <w:spacing w:before="50" w:after="50" w:line="360" w:lineRule="auto"/>
              <w:jc w:val="center"/>
              <w:rPr>
                <w:rFonts w:ascii="宋体" w:hAnsi="宋体" w:cs="宋体"/>
                <w:color w:val="auto"/>
                <w:spacing w:val="20"/>
                <w:sz w:val="24"/>
              </w:rPr>
            </w:pPr>
          </w:p>
        </w:tc>
        <w:tc>
          <w:tcPr>
            <w:tcW w:w="1253" w:type="dxa"/>
            <w:tcBorders>
              <w:top w:val="single" w:color="auto" w:sz="4" w:space="0"/>
              <w:left w:val="nil"/>
              <w:bottom w:val="single" w:color="auto" w:sz="4" w:space="0"/>
              <w:right w:val="single" w:color="auto" w:sz="4" w:space="0"/>
            </w:tcBorders>
            <w:shd w:val="clear" w:color="auto" w:fill="auto"/>
            <w:vAlign w:val="center"/>
          </w:tcPr>
          <w:p w14:paraId="60027824">
            <w:pPr>
              <w:spacing w:before="50" w:after="50" w:line="360" w:lineRule="auto"/>
              <w:jc w:val="center"/>
              <w:rPr>
                <w:rFonts w:ascii="宋体" w:hAnsi="宋体" w:cs="宋体"/>
                <w:color w:val="auto"/>
                <w:spacing w:val="20"/>
                <w:sz w:val="24"/>
              </w:rPr>
            </w:pPr>
          </w:p>
        </w:tc>
        <w:tc>
          <w:tcPr>
            <w:tcW w:w="1432" w:type="dxa"/>
            <w:tcBorders>
              <w:top w:val="single" w:color="auto" w:sz="4" w:space="0"/>
              <w:left w:val="nil"/>
              <w:bottom w:val="single" w:color="auto" w:sz="4" w:space="0"/>
              <w:right w:val="single" w:color="auto" w:sz="4" w:space="0"/>
            </w:tcBorders>
            <w:shd w:val="clear" w:color="auto" w:fill="auto"/>
            <w:vAlign w:val="center"/>
          </w:tcPr>
          <w:p w14:paraId="59C7E707">
            <w:pPr>
              <w:spacing w:before="50" w:after="50" w:line="360" w:lineRule="auto"/>
              <w:jc w:val="center"/>
              <w:rPr>
                <w:rFonts w:ascii="宋体" w:hAnsi="宋体" w:cs="宋体"/>
                <w:color w:val="auto"/>
                <w:spacing w:val="20"/>
                <w:sz w:val="24"/>
              </w:rPr>
            </w:pPr>
          </w:p>
        </w:tc>
      </w:tr>
      <w:tr w14:paraId="3FE831F6">
        <w:tblPrEx>
          <w:tblCellMar>
            <w:top w:w="0" w:type="dxa"/>
            <w:left w:w="108" w:type="dxa"/>
            <w:bottom w:w="0" w:type="dxa"/>
            <w:right w:w="108" w:type="dxa"/>
          </w:tblCellMar>
        </w:tblPrEx>
        <w:trPr>
          <w:jc w:val="center"/>
        </w:trPr>
        <w:tc>
          <w:tcPr>
            <w:tcW w:w="75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ADFB8E0">
            <w:pPr>
              <w:spacing w:before="50" w:after="50" w:line="360" w:lineRule="auto"/>
              <w:jc w:val="center"/>
              <w:rPr>
                <w:rFonts w:ascii="宋体" w:hAnsi="宋体" w:cs="宋体"/>
                <w:color w:val="auto"/>
                <w:spacing w:val="20"/>
                <w:sz w:val="24"/>
              </w:rPr>
            </w:pPr>
            <w:r>
              <w:rPr>
                <w:rFonts w:hint="eastAsia" w:ascii="宋体" w:hAnsi="宋体" w:cs="宋体"/>
                <w:color w:val="auto"/>
                <w:spacing w:val="20"/>
                <w:sz w:val="24"/>
                <w:lang w:bidi="ar"/>
              </w:rPr>
              <w:t>投标总价</w:t>
            </w:r>
          </w:p>
        </w:tc>
        <w:tc>
          <w:tcPr>
            <w:tcW w:w="1432" w:type="dxa"/>
            <w:tcBorders>
              <w:top w:val="single" w:color="auto" w:sz="4" w:space="0"/>
              <w:left w:val="nil"/>
              <w:bottom w:val="single" w:color="auto" w:sz="4" w:space="0"/>
              <w:right w:val="single" w:color="auto" w:sz="4" w:space="0"/>
            </w:tcBorders>
            <w:shd w:val="clear" w:color="auto" w:fill="auto"/>
            <w:vAlign w:val="center"/>
          </w:tcPr>
          <w:p w14:paraId="23C461C9">
            <w:pPr>
              <w:spacing w:before="50" w:after="50" w:line="360" w:lineRule="auto"/>
              <w:jc w:val="center"/>
              <w:rPr>
                <w:rFonts w:ascii="宋体" w:hAnsi="宋体" w:cs="宋体"/>
                <w:color w:val="auto"/>
                <w:spacing w:val="20"/>
                <w:sz w:val="24"/>
              </w:rPr>
            </w:pPr>
          </w:p>
        </w:tc>
      </w:tr>
    </w:tbl>
    <w:p w14:paraId="49D19152">
      <w:pPr>
        <w:adjustRightInd/>
        <w:spacing w:line="400" w:lineRule="exact"/>
        <w:jc w:val="left"/>
        <w:rPr>
          <w:rFonts w:ascii="宋体" w:hAnsi="宋体" w:cs="宋体"/>
          <w:color w:val="auto"/>
          <w:sz w:val="24"/>
        </w:rPr>
      </w:pPr>
      <w:r>
        <w:rPr>
          <w:rFonts w:hint="eastAsia" w:ascii="宋体" w:hAnsi="宋体" w:cs="宋体"/>
          <w:color w:val="auto"/>
          <w:sz w:val="24"/>
        </w:rPr>
        <w:t>注：1.投标人可根据实际情况自行填写，但必须注明具体的细目内容，栏目不够可自行添加。</w:t>
      </w:r>
    </w:p>
    <w:p w14:paraId="07C0C04C">
      <w:pPr>
        <w:adjustRightInd/>
        <w:spacing w:line="400" w:lineRule="exact"/>
        <w:ind w:firstLine="480" w:firstLineChars="200"/>
        <w:jc w:val="left"/>
        <w:rPr>
          <w:rFonts w:ascii="宋体" w:hAnsi="宋体" w:cs="宋体"/>
          <w:color w:val="auto"/>
          <w:sz w:val="24"/>
        </w:rPr>
      </w:pPr>
      <w:r>
        <w:rPr>
          <w:rFonts w:hint="eastAsia" w:ascii="宋体" w:hAnsi="宋体" w:cs="宋体"/>
          <w:color w:val="auto"/>
          <w:sz w:val="24"/>
        </w:rPr>
        <w:t>2.分项报价表中的投标报价必须与开标一览表中的投标报价一致。</w:t>
      </w:r>
    </w:p>
    <w:p w14:paraId="089DDE5B">
      <w:pPr>
        <w:adjustRightInd/>
        <w:spacing w:line="400" w:lineRule="exact"/>
        <w:jc w:val="left"/>
        <w:rPr>
          <w:rFonts w:ascii="宋体" w:hAnsi="宋体" w:cs="宋体"/>
          <w:color w:val="auto"/>
          <w:sz w:val="24"/>
        </w:rPr>
      </w:pPr>
    </w:p>
    <w:p w14:paraId="2B680C1F">
      <w:pPr>
        <w:adjustRightInd/>
        <w:spacing w:line="400" w:lineRule="exact"/>
        <w:jc w:val="left"/>
        <w:rPr>
          <w:rFonts w:ascii="宋体" w:hAnsi="宋体" w:cs="宋体"/>
          <w:color w:val="auto"/>
          <w:sz w:val="24"/>
        </w:rPr>
      </w:pPr>
    </w:p>
    <w:p w14:paraId="51A5CA8A">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投标人名称（电子签名）</w:t>
      </w:r>
      <w:r>
        <w:rPr>
          <w:rFonts w:hint="eastAsia" w:ascii="宋体" w:hAnsi="宋体" w:cs="宋体"/>
          <w:color w:val="auto"/>
          <w:kern w:val="0"/>
          <w:sz w:val="24"/>
        </w:rPr>
        <w:t>：</w:t>
      </w:r>
    </w:p>
    <w:p w14:paraId="605802B2">
      <w:pPr>
        <w:adjustRightInd/>
        <w:spacing w:line="400" w:lineRule="exact"/>
        <w:rPr>
          <w:rFonts w:ascii="宋体" w:hAnsi="宋体" w:cs="宋体"/>
          <w:color w:val="auto"/>
          <w:sz w:val="24"/>
          <w:u w:val="single"/>
        </w:rPr>
      </w:pPr>
      <w:r>
        <w:rPr>
          <w:rFonts w:hint="eastAsia" w:ascii="宋体" w:hAnsi="宋体" w:cs="宋体"/>
          <w:color w:val="auto"/>
          <w:kern w:val="0"/>
          <w:sz w:val="24"/>
        </w:rPr>
        <w:t>日  期：</w:t>
      </w:r>
    </w:p>
    <w:p w14:paraId="2B6C5C74">
      <w:pPr>
        <w:adjustRightInd/>
        <w:spacing w:line="400" w:lineRule="exact"/>
        <w:rPr>
          <w:rFonts w:ascii="宋体" w:hAnsi="宋体" w:cs="宋体"/>
          <w:color w:val="auto"/>
          <w:sz w:val="24"/>
          <w:u w:val="single"/>
        </w:rPr>
      </w:pPr>
    </w:p>
    <w:p w14:paraId="7723964B">
      <w:pPr>
        <w:adjustRightInd/>
        <w:spacing w:line="216" w:lineRule="auto"/>
        <w:rPr>
          <w:rFonts w:ascii="宋体" w:hAnsi="宋体" w:cs="宋体"/>
          <w:color w:val="auto"/>
          <w:sz w:val="24"/>
          <w:u w:val="single"/>
        </w:rPr>
      </w:pPr>
      <w:r>
        <w:rPr>
          <w:rFonts w:hint="eastAsia" w:ascii="宋体" w:hAnsi="宋体" w:cs="宋体"/>
          <w:b/>
          <w:color w:val="auto"/>
          <w:sz w:val="24"/>
        </w:rPr>
        <w:br w:type="page"/>
      </w:r>
    </w:p>
    <w:bookmarkEnd w:id="522"/>
    <w:bookmarkEnd w:id="523"/>
    <w:p w14:paraId="2B49B861">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附件1：质疑函范本及制作说明</w:t>
      </w:r>
    </w:p>
    <w:p w14:paraId="463321E7">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32A86B64">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一、质疑投标人基本信息</w:t>
      </w:r>
    </w:p>
    <w:p w14:paraId="022CB851">
      <w:pPr>
        <w:snapToGrid w:val="0"/>
        <w:spacing w:line="360" w:lineRule="auto"/>
        <w:rPr>
          <w:rFonts w:ascii="宋体" w:hAnsi="宋体" w:cs="宋体"/>
          <w:color w:val="auto"/>
          <w:sz w:val="24"/>
          <w:u w:val="dotted"/>
        </w:rPr>
      </w:pPr>
      <w:r>
        <w:rPr>
          <w:rFonts w:hint="eastAsia" w:ascii="宋体" w:hAnsi="宋体" w:cs="宋体"/>
          <w:color w:val="auto"/>
          <w:sz w:val="24"/>
        </w:rPr>
        <w:t>质疑投标人：</w:t>
      </w:r>
      <w:r>
        <w:rPr>
          <w:rFonts w:hint="eastAsia" w:ascii="宋体" w:hAnsi="宋体" w:cs="宋体"/>
          <w:color w:val="auto"/>
          <w:sz w:val="24"/>
          <w:u w:val="dotted"/>
        </w:rPr>
        <w:t xml:space="preserve">                                        </w:t>
      </w:r>
    </w:p>
    <w:p w14:paraId="08A7BEDD">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2651EA0C">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2F8C9CF3">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406DF5A0">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5574C710">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7C05A15A">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7F0BF327">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087C09F2">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19963640">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32ABE49B">
      <w:pPr>
        <w:snapToGrid w:val="0"/>
        <w:spacing w:line="360" w:lineRule="auto"/>
        <w:rPr>
          <w:rFonts w:ascii="宋体" w:hAnsi="宋体" w:cs="宋体"/>
          <w:color w:val="auto"/>
          <w:sz w:val="24"/>
        </w:rPr>
      </w:pPr>
      <w:r>
        <w:rPr>
          <w:rFonts w:hint="eastAsia" w:ascii="宋体" w:hAnsi="宋体" w:cs="宋体"/>
          <w:color w:val="auto"/>
          <w:sz w:val="24"/>
        </w:rPr>
        <w:t>招标文件获取日期：</w:t>
      </w:r>
      <w:r>
        <w:rPr>
          <w:rFonts w:hint="eastAsia" w:ascii="宋体" w:hAnsi="宋体" w:cs="宋体"/>
          <w:color w:val="auto"/>
          <w:sz w:val="24"/>
          <w:u w:val="dotted"/>
        </w:rPr>
        <w:t xml:space="preserve">                                           </w:t>
      </w:r>
    </w:p>
    <w:p w14:paraId="076DE05C">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1D44D8EE">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7542DC14">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2101DF42">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5FDEA158">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7AE099E9">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157D83E5">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0B39B299">
      <w:pPr>
        <w:snapToGrid w:val="0"/>
        <w:spacing w:line="360" w:lineRule="auto"/>
        <w:rPr>
          <w:rFonts w:ascii="宋体" w:hAnsi="宋体" w:cs="宋体"/>
          <w:color w:val="auto"/>
          <w:sz w:val="24"/>
        </w:rPr>
      </w:pPr>
      <w:r>
        <w:rPr>
          <w:rFonts w:hint="eastAsia" w:ascii="宋体" w:hAnsi="宋体" w:cs="宋体"/>
          <w:color w:val="auto"/>
          <w:sz w:val="24"/>
        </w:rPr>
        <w:t>……</w:t>
      </w:r>
    </w:p>
    <w:p w14:paraId="3F855938">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79BC97AD">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5313BBFC">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371FA15E">
      <w:pPr>
        <w:spacing w:line="360" w:lineRule="auto"/>
        <w:rPr>
          <w:rFonts w:ascii="宋体" w:hAnsi="宋体" w:cs="宋体"/>
          <w:color w:val="auto"/>
          <w:sz w:val="24"/>
        </w:rPr>
      </w:pPr>
      <w:r>
        <w:rPr>
          <w:rFonts w:hint="eastAsia" w:ascii="宋体" w:hAnsi="宋体" w:cs="宋体"/>
          <w:color w:val="auto"/>
          <w:sz w:val="24"/>
        </w:rPr>
        <w:t xml:space="preserve">日期：    </w:t>
      </w:r>
    </w:p>
    <w:p w14:paraId="537E5F6D">
      <w:pPr>
        <w:spacing w:line="360" w:lineRule="auto"/>
        <w:jc w:val="center"/>
        <w:rPr>
          <w:rFonts w:ascii="宋体" w:hAnsi="宋体" w:cs="宋体"/>
          <w:b/>
          <w:bCs/>
          <w:color w:val="auto"/>
          <w:sz w:val="24"/>
        </w:rPr>
      </w:pPr>
    </w:p>
    <w:p w14:paraId="321FAEFE">
      <w:pPr>
        <w:spacing w:line="360" w:lineRule="auto"/>
        <w:rPr>
          <w:rFonts w:ascii="宋体" w:hAnsi="宋体" w:cs="宋体"/>
          <w:b/>
          <w:color w:val="auto"/>
          <w:sz w:val="24"/>
        </w:rPr>
      </w:pPr>
    </w:p>
    <w:p w14:paraId="04890A50">
      <w:pPr>
        <w:spacing w:line="360" w:lineRule="auto"/>
        <w:rPr>
          <w:rFonts w:ascii="宋体" w:hAnsi="宋体" w:cs="宋体"/>
          <w:b/>
          <w:color w:val="auto"/>
          <w:sz w:val="24"/>
        </w:rPr>
      </w:pPr>
    </w:p>
    <w:p w14:paraId="185D4FD8">
      <w:pPr>
        <w:spacing w:line="360" w:lineRule="auto"/>
        <w:rPr>
          <w:rFonts w:ascii="宋体" w:hAnsi="宋体" w:cs="宋体"/>
          <w:b/>
          <w:color w:val="auto"/>
          <w:sz w:val="24"/>
        </w:rPr>
      </w:pPr>
      <w:r>
        <w:rPr>
          <w:rFonts w:hint="eastAsia" w:ascii="宋体" w:hAnsi="宋体" w:cs="宋体"/>
          <w:b/>
          <w:color w:val="auto"/>
          <w:sz w:val="24"/>
        </w:rPr>
        <w:t>质疑函制作说明：</w:t>
      </w:r>
    </w:p>
    <w:p w14:paraId="4ECCCE76">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1.投标人提出质疑时，应提交质疑函和必要的证明材料。</w:t>
      </w:r>
    </w:p>
    <w:p w14:paraId="2219592A">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2.质疑投标人若委托代理人进行质疑的，质疑函应按要求列明“授权代表”的有关内容，并在附件中提交由质疑</w:t>
      </w:r>
      <w:r>
        <w:rPr>
          <w:rFonts w:hint="eastAsia" w:ascii="宋体" w:hAnsi="宋体" w:cs="宋体"/>
          <w:color w:val="auto"/>
          <w:kern w:val="0"/>
          <w:sz w:val="24"/>
        </w:rPr>
        <w:t>投标人签署的授权委托书。授权委托书应载明代理人的姓名或者名称、代理事项、具体权限、期限和相关事项。</w:t>
      </w:r>
    </w:p>
    <w:p w14:paraId="417E60FF">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3.质疑投标人若对项目的某一分包进行质疑，质疑函中应列明具体分包号。</w:t>
      </w:r>
    </w:p>
    <w:p w14:paraId="285BEE14">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69C94E21">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6AC73229">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6.质疑投标人为自然人的，质疑函应由本人签字；质疑投标人为法人或者其他组织的，质疑函应由法定代表人、主要负责人，或者其授权代表签字或者盖章，并加盖公章。</w:t>
      </w:r>
    </w:p>
    <w:p w14:paraId="76DC377E">
      <w:pPr>
        <w:widowControl/>
        <w:spacing w:line="360" w:lineRule="auto"/>
        <w:ind w:firstLine="600" w:firstLineChars="200"/>
        <w:jc w:val="left"/>
        <w:rPr>
          <w:rFonts w:ascii="宋体" w:hAnsi="宋体" w:cs="宋体"/>
          <w:color w:val="auto"/>
          <w:sz w:val="30"/>
          <w:szCs w:val="30"/>
        </w:rPr>
      </w:pPr>
    </w:p>
    <w:p w14:paraId="7949CC7D">
      <w:pPr>
        <w:spacing w:line="360" w:lineRule="auto"/>
        <w:jc w:val="center"/>
        <w:rPr>
          <w:rFonts w:ascii="宋体" w:hAnsi="宋体" w:cs="宋体"/>
          <w:b/>
          <w:color w:val="auto"/>
          <w:spacing w:val="6"/>
          <w:sz w:val="32"/>
          <w:szCs w:val="32"/>
        </w:rPr>
      </w:pPr>
    </w:p>
    <w:p w14:paraId="1F36D105">
      <w:pPr>
        <w:spacing w:line="360" w:lineRule="auto"/>
        <w:jc w:val="center"/>
        <w:rPr>
          <w:rFonts w:ascii="宋体" w:hAnsi="宋体" w:cs="宋体"/>
          <w:b/>
          <w:color w:val="auto"/>
          <w:spacing w:val="6"/>
          <w:sz w:val="32"/>
          <w:szCs w:val="32"/>
        </w:rPr>
      </w:pPr>
    </w:p>
    <w:p w14:paraId="14FD7F2A">
      <w:pPr>
        <w:spacing w:line="360" w:lineRule="auto"/>
        <w:jc w:val="center"/>
        <w:rPr>
          <w:rFonts w:ascii="宋体" w:hAnsi="宋体" w:cs="宋体"/>
          <w:b/>
          <w:color w:val="auto"/>
          <w:spacing w:val="6"/>
          <w:sz w:val="32"/>
          <w:szCs w:val="32"/>
        </w:rPr>
      </w:pPr>
    </w:p>
    <w:p w14:paraId="5C0439A2">
      <w:pPr>
        <w:spacing w:line="360" w:lineRule="auto"/>
        <w:jc w:val="center"/>
        <w:rPr>
          <w:rFonts w:ascii="宋体" w:hAnsi="宋体" w:cs="宋体"/>
          <w:b/>
          <w:color w:val="auto"/>
          <w:spacing w:val="6"/>
          <w:sz w:val="32"/>
          <w:szCs w:val="32"/>
        </w:rPr>
      </w:pPr>
    </w:p>
    <w:p w14:paraId="2923F1B7">
      <w:pPr>
        <w:spacing w:line="360" w:lineRule="auto"/>
        <w:jc w:val="center"/>
        <w:rPr>
          <w:rFonts w:ascii="宋体" w:hAnsi="宋体" w:cs="宋体"/>
          <w:b/>
          <w:color w:val="auto"/>
          <w:spacing w:val="6"/>
          <w:sz w:val="32"/>
          <w:szCs w:val="32"/>
        </w:rPr>
      </w:pPr>
    </w:p>
    <w:p w14:paraId="62FCC89A">
      <w:pPr>
        <w:spacing w:line="360" w:lineRule="auto"/>
        <w:jc w:val="center"/>
        <w:rPr>
          <w:rFonts w:ascii="宋体" w:hAnsi="宋体" w:cs="宋体"/>
          <w:b/>
          <w:color w:val="auto"/>
          <w:spacing w:val="6"/>
          <w:sz w:val="32"/>
          <w:szCs w:val="32"/>
        </w:rPr>
      </w:pPr>
    </w:p>
    <w:p w14:paraId="16A8B4F5">
      <w:pPr>
        <w:spacing w:line="360" w:lineRule="auto"/>
        <w:jc w:val="center"/>
        <w:rPr>
          <w:rFonts w:ascii="宋体" w:hAnsi="宋体" w:cs="宋体"/>
          <w:b/>
          <w:color w:val="auto"/>
          <w:spacing w:val="6"/>
          <w:sz w:val="32"/>
          <w:szCs w:val="32"/>
        </w:rPr>
      </w:pPr>
    </w:p>
    <w:p w14:paraId="6132DBE4">
      <w:pPr>
        <w:spacing w:line="360" w:lineRule="auto"/>
        <w:jc w:val="center"/>
        <w:rPr>
          <w:rFonts w:ascii="宋体" w:hAnsi="宋体" w:cs="宋体"/>
          <w:b/>
          <w:color w:val="auto"/>
          <w:spacing w:val="6"/>
          <w:sz w:val="32"/>
          <w:szCs w:val="32"/>
        </w:rPr>
      </w:pPr>
    </w:p>
    <w:p w14:paraId="772A9F34">
      <w:pPr>
        <w:spacing w:line="360" w:lineRule="auto"/>
        <w:jc w:val="center"/>
        <w:rPr>
          <w:rFonts w:ascii="宋体" w:hAnsi="宋体" w:cs="宋体"/>
          <w:b/>
          <w:color w:val="auto"/>
          <w:spacing w:val="6"/>
          <w:sz w:val="32"/>
          <w:szCs w:val="32"/>
        </w:rPr>
      </w:pPr>
    </w:p>
    <w:p w14:paraId="392A84E1">
      <w:pPr>
        <w:spacing w:line="360" w:lineRule="auto"/>
        <w:jc w:val="center"/>
        <w:rPr>
          <w:rFonts w:ascii="宋体" w:hAnsi="宋体" w:cs="宋体"/>
          <w:b/>
          <w:color w:val="auto"/>
          <w:spacing w:val="6"/>
          <w:sz w:val="32"/>
          <w:szCs w:val="32"/>
        </w:rPr>
      </w:pPr>
    </w:p>
    <w:p w14:paraId="2F38704D">
      <w:pPr>
        <w:spacing w:line="360" w:lineRule="auto"/>
        <w:jc w:val="center"/>
        <w:rPr>
          <w:rFonts w:ascii="宋体" w:hAnsi="宋体" w:cs="宋体"/>
          <w:b/>
          <w:color w:val="auto"/>
          <w:spacing w:val="6"/>
          <w:sz w:val="32"/>
          <w:szCs w:val="32"/>
        </w:rPr>
      </w:pPr>
    </w:p>
    <w:p w14:paraId="2338F52B">
      <w:pPr>
        <w:spacing w:line="360" w:lineRule="auto"/>
        <w:jc w:val="center"/>
        <w:rPr>
          <w:rFonts w:ascii="宋体" w:hAnsi="宋体" w:cs="宋体"/>
          <w:b/>
          <w:color w:val="auto"/>
          <w:spacing w:val="6"/>
          <w:sz w:val="32"/>
          <w:szCs w:val="32"/>
        </w:rPr>
      </w:pPr>
    </w:p>
    <w:p w14:paraId="5B223921">
      <w:pPr>
        <w:spacing w:line="360" w:lineRule="auto"/>
        <w:jc w:val="left"/>
        <w:rPr>
          <w:rFonts w:ascii="宋体" w:hAnsi="宋体" w:cs="宋体"/>
          <w:b/>
          <w:color w:val="auto"/>
          <w:spacing w:val="6"/>
          <w:sz w:val="32"/>
          <w:szCs w:val="32"/>
        </w:rPr>
      </w:pPr>
    </w:p>
    <w:p w14:paraId="4AF67DE8">
      <w:pPr>
        <w:spacing w:line="360" w:lineRule="auto"/>
        <w:jc w:val="left"/>
        <w:rPr>
          <w:rFonts w:ascii="宋体" w:hAnsi="宋体" w:cs="宋体"/>
          <w:b/>
          <w:color w:val="auto"/>
          <w:spacing w:val="6"/>
          <w:sz w:val="32"/>
          <w:szCs w:val="32"/>
        </w:rPr>
      </w:pPr>
    </w:p>
    <w:p w14:paraId="6D48FBBB">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附件2：投诉书范本及制作说明</w:t>
      </w:r>
    </w:p>
    <w:p w14:paraId="23EE1598">
      <w:pPr>
        <w:spacing w:line="360" w:lineRule="auto"/>
        <w:jc w:val="center"/>
        <w:rPr>
          <w:rFonts w:ascii="宋体" w:hAnsi="宋体" w:cs="宋体"/>
          <w:b/>
          <w:color w:val="auto"/>
          <w:sz w:val="24"/>
        </w:rPr>
      </w:pPr>
    </w:p>
    <w:p w14:paraId="7FBF27FB">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636DB820">
      <w:pPr>
        <w:spacing w:line="360" w:lineRule="auto"/>
        <w:rPr>
          <w:rFonts w:ascii="宋体" w:hAnsi="宋体" w:cs="宋体"/>
          <w:color w:val="auto"/>
          <w:sz w:val="24"/>
        </w:rPr>
      </w:pPr>
      <w:r>
        <w:rPr>
          <w:rFonts w:hint="eastAsia" w:ascii="宋体" w:hAnsi="宋体" w:cs="宋体"/>
          <w:color w:val="auto"/>
          <w:sz w:val="24"/>
        </w:rPr>
        <w:t>一、投诉相关主体基本情况</w:t>
      </w:r>
    </w:p>
    <w:p w14:paraId="033D8BDB">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6B2AF712">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A555551">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66B6E4DB">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11769CFF">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0E71AAA5">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39AC44C6">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0D728B0">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940A9B9">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0BC0A7B">
      <w:pPr>
        <w:spacing w:line="360" w:lineRule="auto"/>
        <w:rPr>
          <w:rFonts w:ascii="宋体" w:hAnsi="宋体" w:cs="宋体"/>
          <w:color w:val="auto"/>
          <w:sz w:val="24"/>
        </w:rPr>
      </w:pPr>
      <w:r>
        <w:rPr>
          <w:rFonts w:hint="eastAsia" w:ascii="宋体" w:hAnsi="宋体" w:cs="宋体"/>
          <w:color w:val="auto"/>
          <w:sz w:val="24"/>
        </w:rPr>
        <w:t>被投诉人2</w:t>
      </w:r>
    </w:p>
    <w:p w14:paraId="08EAD64C">
      <w:pPr>
        <w:spacing w:line="360" w:lineRule="auto"/>
        <w:rPr>
          <w:rFonts w:ascii="宋体" w:hAnsi="宋体" w:cs="宋体"/>
          <w:color w:val="auto"/>
          <w:sz w:val="24"/>
          <w:u w:val="dotted"/>
        </w:rPr>
      </w:pPr>
      <w:r>
        <w:rPr>
          <w:rFonts w:hint="eastAsia" w:ascii="宋体" w:hAnsi="宋体" w:cs="宋体"/>
          <w:color w:val="auto"/>
          <w:sz w:val="24"/>
        </w:rPr>
        <w:t>……</w:t>
      </w:r>
    </w:p>
    <w:p w14:paraId="342BCB45">
      <w:pPr>
        <w:spacing w:line="360" w:lineRule="auto"/>
        <w:rPr>
          <w:rFonts w:ascii="宋体" w:hAnsi="宋体" w:cs="宋体"/>
          <w:color w:val="auto"/>
          <w:sz w:val="24"/>
          <w:u w:val="single"/>
        </w:rPr>
      </w:pPr>
      <w:r>
        <w:rPr>
          <w:rFonts w:hint="eastAsia" w:ascii="宋体" w:hAnsi="宋体" w:cs="宋体"/>
          <w:color w:val="auto"/>
          <w:sz w:val="24"/>
        </w:rPr>
        <w:t>相关投标人：</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F21EF9C">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3F1E979">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2968A78">
      <w:pPr>
        <w:spacing w:line="360" w:lineRule="auto"/>
        <w:rPr>
          <w:rFonts w:ascii="宋体" w:hAnsi="宋体" w:cs="宋体"/>
          <w:color w:val="auto"/>
          <w:sz w:val="24"/>
        </w:rPr>
      </w:pPr>
      <w:r>
        <w:rPr>
          <w:rFonts w:hint="eastAsia" w:ascii="宋体" w:hAnsi="宋体" w:cs="宋体"/>
          <w:color w:val="auto"/>
          <w:sz w:val="24"/>
        </w:rPr>
        <w:t>二、投诉项目基本情况</w:t>
      </w:r>
    </w:p>
    <w:p w14:paraId="344AEA52">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390C25A1">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220C632A">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044F549">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0082BFC0">
      <w:pPr>
        <w:spacing w:line="360" w:lineRule="auto"/>
        <w:rPr>
          <w:rFonts w:ascii="宋体" w:hAnsi="宋体" w:cs="宋体"/>
          <w:color w:val="auto"/>
          <w:sz w:val="24"/>
          <w:u w:val="dotted"/>
        </w:rPr>
      </w:pPr>
      <w:r>
        <w:rPr>
          <w:rFonts w:hint="eastAsia" w:ascii="宋体" w:hAnsi="宋体" w:cs="宋体"/>
          <w:color w:val="auto"/>
          <w:sz w:val="24"/>
        </w:rPr>
        <w:t>招标文件公告：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3302CE24">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0DAB070F">
      <w:pPr>
        <w:spacing w:line="360" w:lineRule="auto"/>
        <w:rPr>
          <w:rFonts w:ascii="宋体" w:hAnsi="宋体" w:cs="宋体"/>
          <w:color w:val="auto"/>
          <w:sz w:val="24"/>
        </w:rPr>
      </w:pPr>
      <w:r>
        <w:rPr>
          <w:rFonts w:hint="eastAsia" w:ascii="宋体" w:hAnsi="宋体" w:cs="宋体"/>
          <w:color w:val="auto"/>
          <w:sz w:val="24"/>
        </w:rPr>
        <w:t>三、质疑基本情况</w:t>
      </w:r>
    </w:p>
    <w:p w14:paraId="753A9077">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62C52EC2">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419FC4EF">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2952D35A">
      <w:pPr>
        <w:spacing w:line="360" w:lineRule="auto"/>
        <w:rPr>
          <w:rFonts w:ascii="宋体" w:hAnsi="宋体" w:cs="宋体"/>
          <w:color w:val="auto"/>
          <w:sz w:val="24"/>
        </w:rPr>
      </w:pPr>
      <w:r>
        <w:rPr>
          <w:rFonts w:hint="eastAsia" w:ascii="宋体" w:hAnsi="宋体" w:cs="宋体"/>
          <w:color w:val="auto"/>
          <w:sz w:val="24"/>
        </w:rPr>
        <w:t>四、投诉事项具体内容</w:t>
      </w:r>
    </w:p>
    <w:p w14:paraId="6982E4F5">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5D966CDC">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6EDB164D">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65F374C4">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47D37984">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16E98F87">
      <w:pPr>
        <w:spacing w:line="360" w:lineRule="auto"/>
        <w:rPr>
          <w:rFonts w:ascii="宋体" w:hAnsi="宋体" w:cs="宋体"/>
          <w:color w:val="auto"/>
          <w:sz w:val="24"/>
        </w:rPr>
      </w:pPr>
      <w:r>
        <w:rPr>
          <w:rFonts w:hint="eastAsia" w:ascii="宋体" w:hAnsi="宋体" w:cs="宋体"/>
          <w:color w:val="auto"/>
          <w:sz w:val="24"/>
        </w:rPr>
        <w:t>投诉事项2</w:t>
      </w:r>
    </w:p>
    <w:p w14:paraId="1933E7F7">
      <w:pPr>
        <w:spacing w:line="360" w:lineRule="auto"/>
        <w:rPr>
          <w:rFonts w:ascii="宋体" w:hAnsi="宋体" w:cs="宋体"/>
          <w:color w:val="auto"/>
          <w:sz w:val="24"/>
          <w:u w:val="dotted"/>
        </w:rPr>
      </w:pPr>
      <w:r>
        <w:rPr>
          <w:rFonts w:hint="eastAsia" w:ascii="宋体" w:hAnsi="宋体" w:cs="宋体"/>
          <w:color w:val="auto"/>
          <w:sz w:val="24"/>
        </w:rPr>
        <w:t>……</w:t>
      </w:r>
    </w:p>
    <w:p w14:paraId="7756B1DD">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53F261E5">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14A27CB7">
      <w:pPr>
        <w:spacing w:line="360" w:lineRule="auto"/>
        <w:rPr>
          <w:rFonts w:ascii="宋体" w:hAnsi="宋体" w:cs="宋体"/>
          <w:color w:val="auto"/>
          <w:sz w:val="24"/>
          <w:u w:val="single"/>
        </w:rPr>
      </w:pPr>
      <w:r>
        <w:rPr>
          <w:rFonts w:hint="eastAsia" w:ascii="宋体" w:hAnsi="宋体" w:cs="宋体"/>
          <w:color w:val="auto"/>
          <w:sz w:val="24"/>
        </w:rPr>
        <w:t xml:space="preserve">                                                                                                    </w:t>
      </w:r>
    </w:p>
    <w:p w14:paraId="389728E3">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1A084CFB">
      <w:pPr>
        <w:spacing w:line="360" w:lineRule="auto"/>
        <w:rPr>
          <w:rFonts w:ascii="宋体" w:hAnsi="宋体" w:cs="宋体"/>
          <w:color w:val="auto"/>
          <w:sz w:val="24"/>
        </w:rPr>
      </w:pPr>
      <w:r>
        <w:rPr>
          <w:rFonts w:hint="eastAsia" w:ascii="宋体" w:hAnsi="宋体" w:cs="宋体"/>
          <w:color w:val="auto"/>
          <w:sz w:val="24"/>
        </w:rPr>
        <w:t xml:space="preserve">日期：    </w:t>
      </w:r>
    </w:p>
    <w:p w14:paraId="4B7DFBB8">
      <w:pPr>
        <w:spacing w:line="360" w:lineRule="auto"/>
        <w:rPr>
          <w:rFonts w:ascii="宋体" w:hAnsi="宋体" w:cs="宋体"/>
          <w:b/>
          <w:color w:val="auto"/>
          <w:sz w:val="24"/>
        </w:rPr>
      </w:pPr>
    </w:p>
    <w:p w14:paraId="3B2EA713">
      <w:pPr>
        <w:spacing w:line="360" w:lineRule="auto"/>
        <w:rPr>
          <w:rFonts w:ascii="宋体" w:hAnsi="宋体" w:cs="宋体"/>
          <w:b/>
          <w:color w:val="auto"/>
          <w:sz w:val="24"/>
        </w:rPr>
      </w:pPr>
    </w:p>
    <w:p w14:paraId="07CC4698">
      <w:pPr>
        <w:spacing w:line="360" w:lineRule="auto"/>
        <w:rPr>
          <w:rFonts w:ascii="宋体" w:hAnsi="宋体" w:cs="宋体"/>
          <w:b/>
          <w:color w:val="auto"/>
          <w:sz w:val="24"/>
        </w:rPr>
      </w:pPr>
      <w:r>
        <w:rPr>
          <w:rFonts w:hint="eastAsia" w:ascii="宋体" w:hAnsi="宋体" w:cs="宋体"/>
          <w:b/>
          <w:color w:val="auto"/>
          <w:sz w:val="24"/>
        </w:rPr>
        <w:t>投诉书制作说明：</w:t>
      </w:r>
    </w:p>
    <w:p w14:paraId="42BCDBA8">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1.投诉人提起投诉时，应当提交投诉书和必要的证明材料，并按照被投诉人和与投诉事项有关的投标人数量提供投诉书副本。</w:t>
      </w:r>
    </w:p>
    <w:p w14:paraId="62439CD6">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56E4B1A8">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1E8053CC">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3C1B83D0">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069CA014">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41B5C6C1">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7596A962">
      <w:pPr>
        <w:spacing w:line="360" w:lineRule="auto"/>
        <w:rPr>
          <w:rFonts w:ascii="宋体" w:hAnsi="宋体" w:cs="宋体"/>
          <w:b/>
          <w:color w:val="auto"/>
          <w:sz w:val="24"/>
        </w:rPr>
      </w:pPr>
    </w:p>
    <w:p w14:paraId="2FED1B8C">
      <w:pPr>
        <w:autoSpaceDE w:val="0"/>
        <w:autoSpaceDN w:val="0"/>
        <w:jc w:val="center"/>
        <w:rPr>
          <w:rFonts w:ascii="宋体" w:hAnsi="宋体" w:cs="宋体"/>
          <w:b/>
          <w:color w:val="auto"/>
          <w:spacing w:val="6"/>
          <w:sz w:val="32"/>
          <w:szCs w:val="32"/>
        </w:rPr>
      </w:pPr>
    </w:p>
    <w:p w14:paraId="3646A8F2">
      <w:pPr>
        <w:autoSpaceDE w:val="0"/>
        <w:autoSpaceDN w:val="0"/>
        <w:jc w:val="center"/>
        <w:rPr>
          <w:rFonts w:ascii="宋体" w:hAnsi="宋体" w:cs="宋体"/>
          <w:b/>
          <w:color w:val="auto"/>
          <w:spacing w:val="6"/>
          <w:sz w:val="32"/>
          <w:szCs w:val="32"/>
        </w:rPr>
      </w:pPr>
    </w:p>
    <w:p w14:paraId="4FCC12A5">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附件3：</w:t>
      </w:r>
      <w:r>
        <w:rPr>
          <w:rFonts w:hint="eastAsia" w:ascii="宋体" w:hAnsi="宋体" w:cs="宋体"/>
          <w:b/>
          <w:bCs/>
          <w:color w:val="auto"/>
          <w:sz w:val="32"/>
          <w:szCs w:val="32"/>
        </w:rPr>
        <w:t>业务专用章使用说明函</w:t>
      </w:r>
    </w:p>
    <w:p w14:paraId="62F42FC3">
      <w:pPr>
        <w:spacing w:line="360" w:lineRule="auto"/>
        <w:rPr>
          <w:rFonts w:ascii="宋体" w:hAnsi="宋体" w:cs="宋体"/>
          <w:color w:val="auto"/>
          <w:sz w:val="24"/>
          <w:u w:val="single"/>
        </w:rPr>
      </w:pPr>
    </w:p>
    <w:p w14:paraId="4CD9344A">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43B7DCAA">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7F99412B">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3565FF8A">
      <w:pPr>
        <w:spacing w:line="360" w:lineRule="auto"/>
        <w:ind w:firstLine="494"/>
        <w:rPr>
          <w:rFonts w:ascii="宋体" w:hAnsi="宋体" w:cs="宋体"/>
          <w:color w:val="auto"/>
          <w:sz w:val="24"/>
        </w:rPr>
      </w:pPr>
    </w:p>
    <w:p w14:paraId="250920C9">
      <w:pPr>
        <w:spacing w:line="360" w:lineRule="auto"/>
        <w:ind w:firstLine="494"/>
        <w:rPr>
          <w:rFonts w:ascii="宋体" w:hAnsi="宋体" w:cs="宋体"/>
          <w:color w:val="auto"/>
          <w:sz w:val="24"/>
        </w:rPr>
      </w:pPr>
    </w:p>
    <w:p w14:paraId="6A3B75B7">
      <w:pPr>
        <w:spacing w:line="360" w:lineRule="auto"/>
        <w:ind w:firstLine="494"/>
        <w:rPr>
          <w:rFonts w:ascii="宋体" w:hAnsi="宋体" w:cs="宋体"/>
          <w:color w:val="auto"/>
          <w:sz w:val="24"/>
        </w:rPr>
      </w:pPr>
    </w:p>
    <w:p w14:paraId="061FDE40">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0F9DFEE4">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3B4828CD">
      <w:pPr>
        <w:rPr>
          <w:rFonts w:ascii="宋体" w:hAnsi="宋体" w:cs="宋体"/>
          <w:color w:val="auto"/>
          <w:sz w:val="24"/>
        </w:rPr>
      </w:pPr>
      <w:r>
        <w:rPr>
          <w:rFonts w:hint="eastAsia" w:ascii="宋体" w:hAnsi="宋体" w:cs="宋体"/>
          <w:b/>
          <w:bCs/>
          <w:color w:val="auto"/>
          <w:sz w:val="24"/>
        </w:rPr>
        <w:t>附：</w:t>
      </w:r>
    </w:p>
    <w:p w14:paraId="5A520E3F">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6A131582">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6A131582">
                      <w:pPr>
                        <w:jc w:val="center"/>
                      </w:pPr>
                    </w:p>
                  </w:txbxContent>
                </v:textbox>
              </v:rect>
            </w:pict>
          </mc:Fallback>
        </mc:AlternateContent>
      </w:r>
      <w:r>
        <w:rPr>
          <w:rFonts w:hint="eastAsia" w:ascii="宋体" w:hAnsi="宋体" w:cs="宋体"/>
          <w:b/>
          <w:bCs/>
          <w:color w:val="auto"/>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4E168E45">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4E168E45">
                      <w:pPr>
                        <w:jc w:val="center"/>
                      </w:pPr>
                    </w:p>
                  </w:txbxContent>
                </v:textbox>
              </v:rect>
            </w:pict>
          </mc:Fallback>
        </mc:AlternateContent>
      </w:r>
      <w:r>
        <w:rPr>
          <w:rFonts w:hint="eastAsia" w:ascii="宋体" w:hAnsi="宋体" w:cs="宋体"/>
          <w:color w:val="auto"/>
          <w:sz w:val="24"/>
        </w:rPr>
        <w:t>投标单位法定名称章（印模）                投标单位“XX专用章”（印模）</w:t>
      </w:r>
    </w:p>
    <w:p w14:paraId="18F9758F">
      <w:pPr>
        <w:autoSpaceDE w:val="0"/>
        <w:autoSpaceDN w:val="0"/>
        <w:jc w:val="center"/>
        <w:rPr>
          <w:rFonts w:ascii="宋体" w:hAnsi="宋体" w:cs="宋体"/>
          <w:b/>
          <w:color w:val="auto"/>
          <w:spacing w:val="6"/>
          <w:sz w:val="32"/>
          <w:szCs w:val="32"/>
        </w:rPr>
      </w:pPr>
    </w:p>
    <w:p w14:paraId="351FAD4A">
      <w:pPr>
        <w:autoSpaceDE w:val="0"/>
        <w:autoSpaceDN w:val="0"/>
        <w:jc w:val="center"/>
        <w:rPr>
          <w:rFonts w:ascii="宋体" w:hAnsi="宋体" w:cs="宋体"/>
          <w:b/>
          <w:color w:val="auto"/>
          <w:spacing w:val="6"/>
          <w:sz w:val="32"/>
          <w:szCs w:val="32"/>
        </w:rPr>
      </w:pPr>
    </w:p>
    <w:p w14:paraId="1B47CE85">
      <w:pPr>
        <w:autoSpaceDE w:val="0"/>
        <w:autoSpaceDN w:val="0"/>
        <w:jc w:val="center"/>
        <w:rPr>
          <w:rFonts w:ascii="宋体" w:hAnsi="宋体" w:cs="宋体"/>
          <w:b/>
          <w:color w:val="auto"/>
          <w:spacing w:val="6"/>
          <w:sz w:val="32"/>
          <w:szCs w:val="32"/>
        </w:rPr>
      </w:pPr>
    </w:p>
    <w:p w14:paraId="2CCA879A">
      <w:pPr>
        <w:autoSpaceDE w:val="0"/>
        <w:autoSpaceDN w:val="0"/>
        <w:jc w:val="center"/>
        <w:rPr>
          <w:rFonts w:ascii="宋体" w:hAnsi="宋体" w:cs="宋体"/>
          <w:b/>
          <w:color w:val="auto"/>
          <w:spacing w:val="6"/>
          <w:sz w:val="32"/>
          <w:szCs w:val="32"/>
        </w:rPr>
      </w:pPr>
    </w:p>
    <w:p w14:paraId="70C0FD21">
      <w:pPr>
        <w:autoSpaceDE w:val="0"/>
        <w:autoSpaceDN w:val="0"/>
        <w:jc w:val="center"/>
        <w:rPr>
          <w:rFonts w:ascii="宋体" w:hAnsi="宋体" w:cs="宋体"/>
          <w:b/>
          <w:color w:val="auto"/>
          <w:spacing w:val="6"/>
          <w:sz w:val="32"/>
          <w:szCs w:val="32"/>
        </w:rPr>
      </w:pPr>
    </w:p>
    <w:p w14:paraId="36BBC131">
      <w:pPr>
        <w:autoSpaceDE w:val="0"/>
        <w:autoSpaceDN w:val="0"/>
        <w:jc w:val="center"/>
        <w:rPr>
          <w:rFonts w:ascii="宋体" w:hAnsi="宋体" w:cs="宋体"/>
          <w:b/>
          <w:color w:val="auto"/>
          <w:spacing w:val="6"/>
          <w:sz w:val="32"/>
          <w:szCs w:val="32"/>
        </w:rPr>
      </w:pPr>
    </w:p>
    <w:p w14:paraId="5BEF4559">
      <w:pPr>
        <w:autoSpaceDE w:val="0"/>
        <w:autoSpaceDN w:val="0"/>
        <w:jc w:val="center"/>
        <w:rPr>
          <w:rFonts w:ascii="宋体" w:hAnsi="宋体" w:cs="宋体"/>
          <w:b/>
          <w:color w:val="auto"/>
          <w:spacing w:val="6"/>
          <w:sz w:val="32"/>
          <w:szCs w:val="32"/>
        </w:rPr>
      </w:pPr>
    </w:p>
    <w:p w14:paraId="05444B4A">
      <w:pPr>
        <w:autoSpaceDE w:val="0"/>
        <w:autoSpaceDN w:val="0"/>
        <w:jc w:val="center"/>
        <w:rPr>
          <w:rFonts w:ascii="宋体" w:hAnsi="宋体" w:cs="宋体"/>
          <w:b/>
          <w:color w:val="auto"/>
          <w:spacing w:val="6"/>
          <w:sz w:val="32"/>
          <w:szCs w:val="32"/>
        </w:rPr>
      </w:pPr>
    </w:p>
    <w:p w14:paraId="28091533">
      <w:pPr>
        <w:autoSpaceDE w:val="0"/>
        <w:autoSpaceDN w:val="0"/>
        <w:jc w:val="center"/>
        <w:rPr>
          <w:rFonts w:ascii="宋体" w:hAnsi="宋体" w:cs="宋体"/>
          <w:b/>
          <w:color w:val="auto"/>
          <w:spacing w:val="6"/>
          <w:sz w:val="32"/>
          <w:szCs w:val="32"/>
        </w:rPr>
      </w:pPr>
    </w:p>
    <w:p w14:paraId="7F7F0BA8">
      <w:pPr>
        <w:autoSpaceDE w:val="0"/>
        <w:autoSpaceDN w:val="0"/>
        <w:jc w:val="center"/>
        <w:rPr>
          <w:rFonts w:ascii="宋体" w:hAnsi="宋体" w:cs="宋体"/>
          <w:b/>
          <w:color w:val="auto"/>
          <w:spacing w:val="6"/>
          <w:sz w:val="32"/>
          <w:szCs w:val="32"/>
        </w:rPr>
      </w:pPr>
    </w:p>
    <w:p w14:paraId="47EF2CD5">
      <w:pPr>
        <w:autoSpaceDE w:val="0"/>
        <w:autoSpaceDN w:val="0"/>
        <w:jc w:val="center"/>
        <w:rPr>
          <w:rFonts w:ascii="宋体" w:hAnsi="宋体" w:cs="宋体"/>
          <w:b/>
          <w:color w:val="auto"/>
          <w:spacing w:val="6"/>
          <w:sz w:val="32"/>
          <w:szCs w:val="32"/>
        </w:rPr>
      </w:pPr>
    </w:p>
    <w:p w14:paraId="3D97CA82">
      <w:pPr>
        <w:autoSpaceDE w:val="0"/>
        <w:autoSpaceDN w:val="0"/>
        <w:jc w:val="center"/>
        <w:rPr>
          <w:rFonts w:ascii="宋体" w:hAnsi="宋体" w:cs="宋体"/>
          <w:b/>
          <w:color w:val="auto"/>
          <w:spacing w:val="6"/>
          <w:sz w:val="32"/>
          <w:szCs w:val="32"/>
        </w:rPr>
      </w:pPr>
    </w:p>
    <w:p w14:paraId="0340C2FC">
      <w:pPr>
        <w:autoSpaceDE w:val="0"/>
        <w:autoSpaceDN w:val="0"/>
        <w:jc w:val="center"/>
        <w:rPr>
          <w:rFonts w:ascii="宋体" w:hAnsi="宋体" w:cs="宋体"/>
          <w:b/>
          <w:color w:val="auto"/>
          <w:spacing w:val="6"/>
          <w:sz w:val="32"/>
          <w:szCs w:val="32"/>
        </w:rPr>
      </w:pPr>
    </w:p>
    <w:p w14:paraId="6684E448">
      <w:pPr>
        <w:autoSpaceDE w:val="0"/>
        <w:autoSpaceDN w:val="0"/>
        <w:jc w:val="center"/>
        <w:rPr>
          <w:rFonts w:ascii="宋体" w:hAnsi="宋体" w:cs="宋体"/>
          <w:b/>
          <w:color w:val="auto"/>
          <w:spacing w:val="6"/>
          <w:sz w:val="32"/>
          <w:szCs w:val="32"/>
        </w:rPr>
      </w:pPr>
    </w:p>
    <w:p w14:paraId="13369AD8">
      <w:pPr>
        <w:autoSpaceDE w:val="0"/>
        <w:autoSpaceDN w:val="0"/>
        <w:jc w:val="center"/>
        <w:rPr>
          <w:rFonts w:ascii="宋体" w:hAnsi="宋体" w:cs="宋体"/>
          <w:b/>
          <w:color w:val="auto"/>
          <w:spacing w:val="6"/>
          <w:sz w:val="32"/>
          <w:szCs w:val="32"/>
        </w:rPr>
      </w:pPr>
    </w:p>
    <w:p w14:paraId="30DEFE2D">
      <w:pPr>
        <w:autoSpaceDE w:val="0"/>
        <w:autoSpaceDN w:val="0"/>
        <w:jc w:val="center"/>
        <w:rPr>
          <w:rFonts w:ascii="宋体" w:hAnsi="宋体" w:cs="宋体"/>
          <w:b/>
          <w:color w:val="auto"/>
          <w:spacing w:val="6"/>
          <w:sz w:val="32"/>
          <w:szCs w:val="32"/>
        </w:rPr>
      </w:pPr>
    </w:p>
    <w:p w14:paraId="75C9D68B">
      <w:pPr>
        <w:snapToGrid w:val="0"/>
        <w:spacing w:line="360" w:lineRule="auto"/>
        <w:jc w:val="center"/>
        <w:rPr>
          <w:rFonts w:ascii="宋体" w:hAnsi="宋体" w:cs="宋体"/>
          <w:b/>
          <w:color w:val="auto"/>
          <w:kern w:val="0"/>
          <w:sz w:val="32"/>
          <w:szCs w:val="32"/>
        </w:rPr>
      </w:pPr>
    </w:p>
    <w:p w14:paraId="5B38764D">
      <w:pPr>
        <w:snapToGrid w:val="0"/>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附件4：联合协议</w:t>
      </w:r>
    </w:p>
    <w:p w14:paraId="201F3FB7">
      <w:pPr>
        <w:widowControl/>
        <w:spacing w:line="288"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69DC1DDA">
      <w:pPr>
        <w:snapToGrid w:val="0"/>
        <w:spacing w:line="288"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14:paraId="3C723440">
      <w:pPr>
        <w:snapToGrid w:val="0"/>
        <w:spacing w:line="288"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044B3EFD">
      <w:pPr>
        <w:snapToGrid w:val="0"/>
        <w:spacing w:line="288"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14:paraId="55BC2B2D">
      <w:pPr>
        <w:snapToGrid w:val="0"/>
        <w:spacing w:line="288"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2ED15130">
      <w:pPr>
        <w:snapToGrid w:val="0"/>
        <w:spacing w:line="288" w:lineRule="auto"/>
        <w:ind w:firstLine="576"/>
        <w:rPr>
          <w:rFonts w:ascii="宋体" w:hAnsi="宋体" w:cs="宋体"/>
          <w:color w:val="auto"/>
          <w:kern w:val="0"/>
          <w:sz w:val="24"/>
          <w:lang w:val="zh-CN"/>
        </w:rPr>
      </w:pPr>
      <w:bookmarkStart w:id="524" w:name="_Hlk101134295"/>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2F24713C">
      <w:pPr>
        <w:snapToGrid w:val="0"/>
        <w:spacing w:line="288"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2418D9A0">
      <w:pPr>
        <w:snapToGrid w:val="0"/>
        <w:spacing w:line="288"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bookmarkEnd w:id="524"/>
    <w:p w14:paraId="686185E5">
      <w:pPr>
        <w:snapToGrid w:val="0"/>
        <w:spacing w:line="288"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005A99EE">
      <w:pPr>
        <w:snapToGrid w:val="0"/>
        <w:spacing w:line="288"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（联合体成员</w:t>
      </w:r>
      <w:r>
        <w:rPr>
          <w:rFonts w:ascii="宋体" w:hAnsi="宋体" w:cs="宋体"/>
          <w:color w:val="auto"/>
          <w:kern w:val="0"/>
          <w:sz w:val="24"/>
          <w:u w:val="single"/>
        </w:rPr>
        <w:t>X,</w:t>
      </w:r>
      <w:r>
        <w:rPr>
          <w:rFonts w:hint="eastAsia" w:ascii="宋体" w:hAnsi="宋体" w:cs="宋体"/>
          <w:color w:val="auto"/>
          <w:kern w:val="0"/>
          <w:sz w:val="24"/>
          <w:u w:val="single"/>
        </w:rPr>
        <w:t>……）</w:t>
      </w:r>
      <w:r>
        <w:rPr>
          <w:rFonts w:hint="eastAsia" w:ascii="宋体" w:hAnsi="宋体" w:cs="宋体"/>
          <w:color w:val="auto"/>
          <w:kern w:val="0"/>
          <w:sz w:val="24"/>
        </w:rPr>
        <w:t>提供的全部货物由小微企业制造，其合同份额占到合同总金额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投标人</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2ECFFCFA">
      <w:pPr>
        <w:snapToGrid w:val="0"/>
        <w:spacing w:line="288" w:lineRule="auto"/>
        <w:ind w:firstLine="576"/>
        <w:rPr>
          <w:rFonts w:ascii="宋体" w:hAnsi="宋体" w:cs="宋体"/>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要求以联合体形式参加的项目或采购包，投标人按招标文件第一部分招标公告申请人的资格要求中规定的联合协议中中小企业、小微企业合同金额应当达到的比例要求填写。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14:paraId="7C28E187">
      <w:pPr>
        <w:snapToGrid w:val="0"/>
        <w:spacing w:line="288"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4760F70C">
      <w:pPr>
        <w:snapToGrid w:val="0"/>
        <w:spacing w:line="288"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6DF25CB3">
      <w:pPr>
        <w:snapToGrid w:val="0"/>
        <w:spacing w:line="288"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1、联合体各方不再单独参加或者与其他投标人另外组成联合体参加同一合同项下的政府采购活动。</w:t>
      </w:r>
    </w:p>
    <w:p w14:paraId="05DB3AF6">
      <w:pPr>
        <w:snapToGrid w:val="0"/>
        <w:spacing w:line="288"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2、联合体中有同类资质的各方按照联合体分工承担相同工作的，按照资质等级较低的投标人确定资质等级。</w:t>
      </w:r>
    </w:p>
    <w:p w14:paraId="4671B3A0">
      <w:pPr>
        <w:snapToGrid w:val="0"/>
        <w:spacing w:line="288"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1304ED2D">
      <w:pPr>
        <w:snapToGrid w:val="0"/>
        <w:spacing w:line="288"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3F0B87FA">
      <w:pPr>
        <w:snapToGrid w:val="0"/>
        <w:spacing w:line="288"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386C573D">
      <w:pPr>
        <w:snapToGrid w:val="0"/>
        <w:spacing w:line="288"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2F5B9BB3">
      <w:pPr>
        <w:snapToGrid w:val="0"/>
        <w:spacing w:line="288"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6870E204">
      <w:pPr>
        <w:snapToGrid w:val="0"/>
        <w:spacing w:line="360" w:lineRule="auto"/>
        <w:rPr>
          <w:rFonts w:ascii="宋体" w:hAnsi="宋体" w:cs="宋体"/>
          <w:color w:val="auto"/>
          <w:sz w:val="24"/>
        </w:rPr>
      </w:pPr>
      <w:r>
        <w:rPr>
          <w:rFonts w:hint="eastAsia" w:ascii="宋体" w:hAnsi="宋体" w:cs="宋体"/>
          <w:color w:val="auto"/>
          <w:sz w:val="24"/>
        </w:rPr>
        <w:t>注：按本格式和要求提供。</w:t>
      </w:r>
    </w:p>
    <w:p w14:paraId="4D9B91F0">
      <w:pPr>
        <w:rPr>
          <w:rFonts w:ascii="宋体" w:hAnsi="宋体" w:cs="宋体"/>
          <w:color w:val="auto"/>
          <w:sz w:val="24"/>
        </w:rPr>
      </w:pPr>
      <w:r>
        <w:rPr>
          <w:rFonts w:hint="eastAsia" w:ascii="宋体" w:hAnsi="宋体" w:cs="宋体"/>
          <w:color w:val="auto"/>
          <w:sz w:val="24"/>
        </w:rPr>
        <w:br w:type="page"/>
      </w:r>
    </w:p>
    <w:p w14:paraId="643A7FE6">
      <w:pPr>
        <w:snapToGrid w:val="0"/>
        <w:spacing w:line="312" w:lineRule="auto"/>
        <w:jc w:val="center"/>
        <w:rPr>
          <w:rFonts w:ascii="宋体" w:hAnsi="宋体" w:cs="宋体"/>
          <w:b/>
          <w:color w:val="auto"/>
          <w:kern w:val="0"/>
          <w:sz w:val="32"/>
          <w:szCs w:val="32"/>
        </w:rPr>
      </w:pPr>
      <w:r>
        <w:rPr>
          <w:rFonts w:hint="eastAsia" w:ascii="宋体" w:hAnsi="宋体" w:cs="宋体"/>
          <w:b/>
          <w:color w:val="auto"/>
          <w:kern w:val="0"/>
          <w:sz w:val="32"/>
          <w:szCs w:val="32"/>
        </w:rPr>
        <w:t>附件5：分包意向协议</w:t>
      </w:r>
    </w:p>
    <w:p w14:paraId="334980FC">
      <w:pPr>
        <w:widowControl/>
        <w:spacing w:line="312"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25E602A3">
      <w:pPr>
        <w:snapToGrid w:val="0"/>
        <w:spacing w:line="312"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的中标人，将依法采取分包方式履行合同。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（所有分包投标人名称）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03FFFECF">
      <w:pPr>
        <w:snapToGrid w:val="0"/>
        <w:spacing w:line="312"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0EDF0BA4">
      <w:pPr>
        <w:snapToGrid w:val="0"/>
        <w:spacing w:line="312"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（分包投标人1名称）</w:t>
      </w:r>
      <w:r>
        <w:rPr>
          <w:rFonts w:hint="eastAsia" w:ascii="宋体" w:hAnsi="宋体" w:cs="宋体"/>
          <w:color w:val="auto"/>
          <w:kern w:val="0"/>
          <w:sz w:val="24"/>
          <w:lang w:val="zh-CN"/>
        </w:rPr>
        <w:t>，</w:t>
      </w:r>
      <w:r>
        <w:rPr>
          <w:rFonts w:hint="eastAsia" w:ascii="宋体" w:hAnsi="宋体" w:cs="宋体"/>
          <w:color w:val="auto"/>
          <w:kern w:val="0"/>
          <w:sz w:val="24"/>
          <w:u w:val="single"/>
        </w:rPr>
        <w:t>（分包投标人1名称），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1DCE4E26">
      <w:pPr>
        <w:tabs>
          <w:tab w:val="left" w:pos="432"/>
        </w:tabs>
        <w:spacing w:line="312" w:lineRule="auto"/>
        <w:ind w:left="664" w:leftChars="316" w:firstLine="228" w:firstLineChars="95"/>
        <w:rPr>
          <w:rFonts w:ascii="宋体" w:hAnsi="宋体" w:cs="宋体"/>
          <w:color w:val="auto"/>
          <w:kern w:val="0"/>
          <w:sz w:val="24"/>
        </w:rPr>
      </w:pPr>
      <w:r>
        <w:rPr>
          <w:rFonts w:hint="eastAsia" w:ascii="宋体" w:hAnsi="宋体" w:cs="宋体"/>
          <w:color w:val="auto"/>
          <w:kern w:val="0"/>
          <w:sz w:val="24"/>
        </w:rPr>
        <w:t>……</w:t>
      </w:r>
    </w:p>
    <w:p w14:paraId="0E98CACB">
      <w:pPr>
        <w:snapToGrid w:val="0"/>
        <w:spacing w:line="312"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二、分包投标人中小企业合同份额</w:t>
      </w:r>
    </w:p>
    <w:p w14:paraId="16A8900F">
      <w:pPr>
        <w:snapToGrid w:val="0"/>
        <w:spacing w:line="312"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（分包投标人X</w:t>
      </w:r>
      <w:r>
        <w:rPr>
          <w:rFonts w:ascii="宋体" w:hAnsi="宋体" w:cs="宋体"/>
          <w:color w:val="auto"/>
          <w:kern w:val="0"/>
          <w:sz w:val="24"/>
          <w:u w:val="single"/>
        </w:rPr>
        <w:t>,</w:t>
      </w:r>
      <w:r>
        <w:rPr>
          <w:rFonts w:hint="eastAsia" w:ascii="宋体" w:hAnsi="宋体" w:cs="宋体"/>
          <w:color w:val="auto"/>
          <w:kern w:val="0"/>
          <w:sz w:val="24"/>
          <w:u w:val="single"/>
        </w:rPr>
        <w:t>……）提供的货物全部由小微企业制造，</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投标人</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5BAB5FC5">
      <w:pPr>
        <w:spacing w:line="312"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525"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要求合同分包形式参加的项目或采购包，投标人按招标文件第一部分招标公告申请人的资格要求中规定的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bookmarkEnd w:id="525"/>
    </w:p>
    <w:p w14:paraId="5885FDFA">
      <w:pPr>
        <w:snapToGrid w:val="0"/>
        <w:spacing w:line="312"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276D51DD">
      <w:pPr>
        <w:snapToGrid w:val="0"/>
        <w:spacing w:line="312" w:lineRule="auto"/>
        <w:ind w:firstLine="576"/>
        <w:rPr>
          <w:rFonts w:ascii="宋体" w:hAnsi="宋体" w:cs="宋体"/>
          <w:color w:val="auto"/>
          <w:u w:val="single"/>
        </w:rPr>
      </w:pPr>
      <w:r>
        <w:rPr>
          <w:rFonts w:hint="eastAsia" w:ascii="宋体" w:hAnsi="宋体" w:cs="宋体"/>
          <w:color w:val="auto"/>
          <w:u w:val="single"/>
        </w:rPr>
        <w:t xml:space="preserve">                                                                                  </w:t>
      </w:r>
    </w:p>
    <w:p w14:paraId="27EA504C">
      <w:pPr>
        <w:snapToGrid w:val="0"/>
        <w:spacing w:line="312"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14:paraId="6317323F">
      <w:pPr>
        <w:snapToGrid w:val="0"/>
        <w:spacing w:line="312"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0BEF9566">
      <w:pPr>
        <w:snapToGrid w:val="0"/>
        <w:spacing w:line="312"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14:paraId="01431CDC">
      <w:pPr>
        <w:snapToGrid w:val="0"/>
        <w:spacing w:line="312"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14:paraId="06B6DD3F">
      <w:pPr>
        <w:snapToGrid w:val="0"/>
        <w:spacing w:line="312"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14:paraId="30526BA4">
      <w:pPr>
        <w:snapToGrid w:val="0"/>
        <w:spacing w:line="312"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64F848EE">
      <w:pPr>
        <w:snapToGrid w:val="0"/>
        <w:spacing w:line="312"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14:paraId="2412CC8F">
      <w:pPr>
        <w:snapToGrid w:val="0"/>
        <w:spacing w:line="312"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003E4FF0">
      <w:pPr>
        <w:snapToGrid w:val="0"/>
        <w:spacing w:line="312"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w:t>
      </w:r>
    </w:p>
    <w:p w14:paraId="718D5053">
      <w:pPr>
        <w:snapToGrid w:val="0"/>
        <w:spacing w:line="312" w:lineRule="auto"/>
        <w:jc w:val="right"/>
        <w:rPr>
          <w:rFonts w:ascii="宋体" w:hAnsi="宋体" w:cs="宋体"/>
          <w:color w:val="auto"/>
          <w:kern w:val="0"/>
          <w:sz w:val="24"/>
          <w:lang w:val="zh-CN"/>
        </w:rPr>
      </w:pPr>
      <w:r>
        <w:rPr>
          <w:rFonts w:hint="eastAsia" w:ascii="宋体" w:hAnsi="宋体" w:cs="宋体"/>
          <w:color w:val="auto"/>
          <w:kern w:val="0"/>
          <w:sz w:val="24"/>
          <w:lang w:val="zh-CN"/>
        </w:rPr>
        <w:t>分包投标人名称(电子签名/公章)：</w:t>
      </w:r>
    </w:p>
    <w:p w14:paraId="554F6B73">
      <w:pPr>
        <w:snapToGrid w:val="0"/>
        <w:spacing w:line="312" w:lineRule="auto"/>
        <w:ind w:firstLine="5760" w:firstLineChars="2400"/>
        <w:rPr>
          <w:rFonts w:ascii="宋体" w:hAnsi="宋体" w:cs="宋体"/>
          <w:color w:val="auto"/>
        </w:rPr>
      </w:pPr>
      <w:r>
        <w:rPr>
          <w:rFonts w:hint="eastAsia" w:ascii="宋体" w:hAnsi="宋体" w:cs="宋体"/>
          <w:color w:val="auto"/>
          <w:kern w:val="0"/>
          <w:sz w:val="24"/>
          <w:lang w:val="zh-CN"/>
        </w:rPr>
        <w:t>……</w:t>
      </w:r>
    </w:p>
    <w:p w14:paraId="62DA0732">
      <w:pPr>
        <w:spacing w:line="312"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615302FF">
      <w:pPr>
        <w:widowControl/>
        <w:adjustRightInd/>
        <w:jc w:val="left"/>
        <w:rPr>
          <w:rFonts w:ascii="宋体" w:hAnsi="宋体" w:cs="宋体"/>
          <w:color w:val="auto"/>
          <w:sz w:val="24"/>
        </w:rPr>
      </w:pPr>
      <w:r>
        <w:rPr>
          <w:rFonts w:hint="eastAsia" w:ascii="宋体" w:hAnsi="宋体" w:cs="宋体"/>
          <w:color w:val="auto"/>
          <w:sz w:val="24"/>
        </w:rPr>
        <w:t>注：按本格式和要求提供。</w:t>
      </w:r>
    </w:p>
    <w:p w14:paraId="48A6D7D0">
      <w:pPr>
        <w:widowControl/>
        <w:adjustRightInd/>
        <w:jc w:val="left"/>
        <w:rPr>
          <w:rFonts w:ascii="宋体" w:hAnsi="宋体" w:cs="宋体"/>
          <w:color w:val="auto"/>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Futura Bk">
    <w:altName w:val="Lucida Sans Unicode"/>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Arial"/>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Segoe Print"/>
    <w:panose1 w:val="00000000000000000000"/>
    <w:charset w:val="00"/>
    <w:family w:val="modern"/>
    <w:pitch w:val="default"/>
    <w:sig w:usb0="00000000" w:usb1="00000000" w:usb2="00000001" w:usb3="00000000" w:csb0="400001BF" w:csb1="DFF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6F47C">
    <w:pPr>
      <w:pStyle w:val="40"/>
      <w:framePr w:wrap="around" w:vAnchor="text" w:hAnchor="margin" w:xAlign="right" w:y="1"/>
      <w:rPr>
        <w:rStyle w:val="72"/>
      </w:rPr>
    </w:pPr>
    <w:r>
      <w:fldChar w:fldCharType="begin"/>
    </w:r>
    <w:r>
      <w:rPr>
        <w:rStyle w:val="72"/>
      </w:rPr>
      <w:instrText xml:space="preserve">PAGE  </w:instrText>
    </w:r>
    <w:r>
      <w:fldChar w:fldCharType="end"/>
    </w:r>
  </w:p>
  <w:p w14:paraId="560DFF67">
    <w:pPr>
      <w:pStyle w:val="4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CB673">
    <w:pPr>
      <w:pStyle w:val="40"/>
      <w:rPr>
        <w:rFonts w:ascii="仿宋_GB2312" w:eastAsia="仿宋_GB2312"/>
        <w:szCs w:val="24"/>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89DA2F">
                          <w:pPr>
                            <w:pStyle w:val="40"/>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7E89DA2F">
                    <w:pPr>
                      <w:pStyle w:val="40"/>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534C1">
    <w:pPr>
      <w:pStyle w:val="40"/>
      <w:framePr w:wrap="around" w:vAnchor="text" w:hAnchor="margin" w:xAlign="right" w:y="1"/>
      <w:rPr>
        <w:rStyle w:val="72"/>
      </w:rPr>
    </w:pPr>
    <w:r>
      <w:fldChar w:fldCharType="begin"/>
    </w:r>
    <w:r>
      <w:rPr>
        <w:rStyle w:val="72"/>
      </w:rPr>
      <w:instrText xml:space="preserve">PAGE  </w:instrText>
    </w:r>
    <w:r>
      <w:fldChar w:fldCharType="end"/>
    </w:r>
  </w:p>
  <w:p w14:paraId="42159B91">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AC392">
    <w:pPr>
      <w:pStyle w:val="40"/>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ECEC62">
                          <w:pPr>
                            <w:pStyle w:val="40"/>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7FECEC62">
                    <w:pPr>
                      <w:pStyle w:val="40"/>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332F4">
    <w:pPr>
      <w:pStyle w:val="40"/>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1D877D">
                          <w:pPr>
                            <w:pStyle w:val="40"/>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E1D877D">
                    <w:pPr>
                      <w:pStyle w:val="40"/>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37875">
    <w:pPr>
      <w:pStyle w:val="40"/>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E8C937">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DE8C937">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7CA44">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BA75E8">
                          <w:pPr>
                            <w:pStyle w:val="40"/>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7BA75E8">
                    <w:pPr>
                      <w:pStyle w:val="40"/>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888D0">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07DE32">
                          <w:pPr>
                            <w:pStyle w:val="40"/>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707DE32">
                    <w:pPr>
                      <w:pStyle w:val="4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325E0">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AC90C1">
                          <w:pPr>
                            <w:pStyle w:val="40"/>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55AC90C1">
                    <w:pPr>
                      <w:pStyle w:val="40"/>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BA500">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2361C5">
                          <w:pPr>
                            <w:pStyle w:val="40"/>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0E2361C5">
                    <w:pPr>
                      <w:pStyle w:val="40"/>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85CEC">
    <w:pP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433FA2">
                          <w:pPr>
                            <w:pStyle w:val="40"/>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5A433FA2">
                    <w:pPr>
                      <w:pStyle w:val="40"/>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4CCD4">
    <w:pP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DF0985">
                          <w:pPr>
                            <w:pStyle w:val="40"/>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46DF0985">
                    <w:pPr>
                      <w:pStyle w:val="40"/>
                    </w:pPr>
                    <w:r>
                      <w:fldChar w:fldCharType="begin"/>
                    </w:r>
                    <w:r>
                      <w:instrText xml:space="preserve"> PAGE  \* MERGEFORMAT </w:instrText>
                    </w:r>
                    <w:r>
                      <w:fldChar w:fldCharType="separate"/>
                    </w:r>
                    <w:r>
                      <w:t>66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29388">
    <w:pPr>
      <w:pStyle w:val="41"/>
      <w:pBdr>
        <w:bottom w:val="single" w:color="auto" w:sz="6" w:space="4"/>
      </w:pBdr>
      <w:jc w:val="right"/>
    </w:pPr>
    <w:r>
      <w:t></w:t>
    </w:r>
    <w:r>
      <w:rPr>
        <w:rFonts w:hint="eastAsia"/>
      </w:rPr>
      <w:t xml:space="preserve">             </w:t>
    </w:r>
  </w:p>
  <w:p w14:paraId="5802A850">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3B40D">
    <w:pPr>
      <w:pStyle w:val="41"/>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C6C88">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C0CA9">
    <w:pPr>
      <w:pStyle w:val="41"/>
      <w:jc w:val="right"/>
      <w:rPr>
        <w:rFonts w:ascii="仿宋_GB2312" w:eastAsia="仿宋_GB2312"/>
        <w:b/>
        <w:i/>
        <w:u w:val="single"/>
      </w:rPr>
    </w:pPr>
    <w:r>
      <w:t></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E757E">
    <w:pPr>
      <w:pStyle w:val="41"/>
    </w:pPr>
    <w:r>
      <w:t></w:t>
    </w:r>
    <w:r>
      <w:rPr>
        <w:rFonts w:hint="eastAsia"/>
      </w:rPr>
      <w:t xml:space="preserve">         </w:t>
    </w:r>
  </w:p>
  <w:p w14:paraId="388E6320">
    <w:pPr>
      <w:pStyle w:val="41"/>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3B1D0">
    <w:pPr>
      <w:pStyle w:val="41"/>
      <w:rPr>
        <w:rFonts w:ascii="仿宋_GB2312" w:eastAsia="仿宋_GB2312"/>
        <w:b/>
        <w:i/>
        <w:u w:val="single"/>
      </w:rPr>
    </w:pPr>
    <w:r>
      <w:t></w:t>
    </w:r>
    <w:r>
      <w:rPr>
        <w:rFonts w:hint="eastAsia"/>
      </w:rPr>
      <w:t xml:space="preserve">                                               </w:t>
    </w:r>
  </w:p>
  <w:p w14:paraId="21396B9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F020D">
    <w:pPr>
      <w:pStyle w:val="41"/>
      <w:jc w:val="right"/>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E7F70">
    <w:pPr>
      <w:pStyle w:val="41"/>
      <w:jc w:val="right"/>
      <w:rPr>
        <w:rFonts w:ascii="仿宋_GB2312" w:eastAsia="仿宋_GB2312"/>
        <w:b/>
        <w:i/>
        <w:u w:val="single"/>
      </w:rPr>
    </w:pPr>
    <w:r>
      <w:rPr>
        <w:rFonts w:hint="eastAsia"/>
      </w:rPr>
      <w:t xml:space="preserve">                                </w:t>
    </w:r>
  </w:p>
  <w:p w14:paraId="163BAB74">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51E80">
    <w:pPr>
      <w:pStyle w:val="41"/>
      <w:jc w:val="right"/>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23856">
    <w:pPr>
      <w:pStyle w:val="41"/>
      <w:jc w:val="right"/>
      <w:rPr>
        <w:rFonts w:ascii="仿宋_GB2312" w:eastAsia="仿宋_GB2312"/>
        <w:b/>
        <w:i/>
        <w:iCs/>
        <w:u w:val="single"/>
      </w:rPr>
    </w:pP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2YzA0NmE3ZTNlMTg0OWRkNmQ3YTZkNjJhZjljOD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111"/>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74B"/>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3F5"/>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A2A"/>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3D27"/>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2B45"/>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3C"/>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ADC"/>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27F22"/>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688"/>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465"/>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036"/>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7DE"/>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1"/>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7EF"/>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5E75"/>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7CF"/>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2E04F0"/>
    <w:rsid w:val="014324AF"/>
    <w:rsid w:val="01504677"/>
    <w:rsid w:val="01785B98"/>
    <w:rsid w:val="019F7441"/>
    <w:rsid w:val="01B37585"/>
    <w:rsid w:val="01B67601"/>
    <w:rsid w:val="01D55165"/>
    <w:rsid w:val="01DF6BF8"/>
    <w:rsid w:val="01EC2C57"/>
    <w:rsid w:val="01EF122A"/>
    <w:rsid w:val="01FD7E4B"/>
    <w:rsid w:val="01FF3BC3"/>
    <w:rsid w:val="02426589"/>
    <w:rsid w:val="02493B6C"/>
    <w:rsid w:val="025F0711"/>
    <w:rsid w:val="026B2E25"/>
    <w:rsid w:val="02824D4D"/>
    <w:rsid w:val="0284056C"/>
    <w:rsid w:val="028C6335"/>
    <w:rsid w:val="02A419CE"/>
    <w:rsid w:val="02B01361"/>
    <w:rsid w:val="02BB22C4"/>
    <w:rsid w:val="02C1531D"/>
    <w:rsid w:val="02C24BF1"/>
    <w:rsid w:val="02CB5FE2"/>
    <w:rsid w:val="02DC4B10"/>
    <w:rsid w:val="02DD76CE"/>
    <w:rsid w:val="02F36323"/>
    <w:rsid w:val="02F5619C"/>
    <w:rsid w:val="02FA11C7"/>
    <w:rsid w:val="0326446A"/>
    <w:rsid w:val="032D5555"/>
    <w:rsid w:val="03537341"/>
    <w:rsid w:val="036220FE"/>
    <w:rsid w:val="036634D2"/>
    <w:rsid w:val="037405E1"/>
    <w:rsid w:val="038325D2"/>
    <w:rsid w:val="03905ADC"/>
    <w:rsid w:val="03B17EF0"/>
    <w:rsid w:val="03C377C2"/>
    <w:rsid w:val="03DA48E8"/>
    <w:rsid w:val="03DD35E4"/>
    <w:rsid w:val="04073203"/>
    <w:rsid w:val="04076900"/>
    <w:rsid w:val="040F156E"/>
    <w:rsid w:val="041A5A3B"/>
    <w:rsid w:val="042042C5"/>
    <w:rsid w:val="042311BA"/>
    <w:rsid w:val="042B157A"/>
    <w:rsid w:val="0458719A"/>
    <w:rsid w:val="045C69D9"/>
    <w:rsid w:val="04642403"/>
    <w:rsid w:val="047C774D"/>
    <w:rsid w:val="048F763B"/>
    <w:rsid w:val="049F330E"/>
    <w:rsid w:val="04A15406"/>
    <w:rsid w:val="04A863DD"/>
    <w:rsid w:val="04AA775C"/>
    <w:rsid w:val="04AF1889"/>
    <w:rsid w:val="04C15CE9"/>
    <w:rsid w:val="04C21B55"/>
    <w:rsid w:val="04C52A1F"/>
    <w:rsid w:val="04F66F48"/>
    <w:rsid w:val="050F636B"/>
    <w:rsid w:val="05133589"/>
    <w:rsid w:val="0518354E"/>
    <w:rsid w:val="05251E14"/>
    <w:rsid w:val="05283431"/>
    <w:rsid w:val="053064AD"/>
    <w:rsid w:val="05712B5F"/>
    <w:rsid w:val="057E5747"/>
    <w:rsid w:val="059B00A7"/>
    <w:rsid w:val="05A16594"/>
    <w:rsid w:val="05A7762D"/>
    <w:rsid w:val="05B42F17"/>
    <w:rsid w:val="05F30E63"/>
    <w:rsid w:val="05FB57F0"/>
    <w:rsid w:val="060E5941"/>
    <w:rsid w:val="06110FAF"/>
    <w:rsid w:val="06206C00"/>
    <w:rsid w:val="0624009C"/>
    <w:rsid w:val="063A0125"/>
    <w:rsid w:val="06451DC1"/>
    <w:rsid w:val="06493CA7"/>
    <w:rsid w:val="065A6178"/>
    <w:rsid w:val="06605C46"/>
    <w:rsid w:val="066F1CF3"/>
    <w:rsid w:val="067A7832"/>
    <w:rsid w:val="06851580"/>
    <w:rsid w:val="06930BB8"/>
    <w:rsid w:val="06A26752"/>
    <w:rsid w:val="06C90C44"/>
    <w:rsid w:val="06DB59A5"/>
    <w:rsid w:val="0705522E"/>
    <w:rsid w:val="071E7D49"/>
    <w:rsid w:val="07245D42"/>
    <w:rsid w:val="07261BF2"/>
    <w:rsid w:val="07264C62"/>
    <w:rsid w:val="072A7934"/>
    <w:rsid w:val="07653CA6"/>
    <w:rsid w:val="07703D20"/>
    <w:rsid w:val="0779354C"/>
    <w:rsid w:val="078D3A1F"/>
    <w:rsid w:val="079B438E"/>
    <w:rsid w:val="079E5C2C"/>
    <w:rsid w:val="07C35742"/>
    <w:rsid w:val="07CB4548"/>
    <w:rsid w:val="07E85E2B"/>
    <w:rsid w:val="07FB3286"/>
    <w:rsid w:val="08061376"/>
    <w:rsid w:val="08123F24"/>
    <w:rsid w:val="08306A5D"/>
    <w:rsid w:val="08421F33"/>
    <w:rsid w:val="08422A5C"/>
    <w:rsid w:val="0845254C"/>
    <w:rsid w:val="08452D77"/>
    <w:rsid w:val="086401F8"/>
    <w:rsid w:val="086D2D58"/>
    <w:rsid w:val="087175F8"/>
    <w:rsid w:val="08751CAA"/>
    <w:rsid w:val="087E4C40"/>
    <w:rsid w:val="08A871D0"/>
    <w:rsid w:val="08B44BC4"/>
    <w:rsid w:val="08D66AD6"/>
    <w:rsid w:val="08DA33A3"/>
    <w:rsid w:val="08E05092"/>
    <w:rsid w:val="08E80F13"/>
    <w:rsid w:val="08ED490B"/>
    <w:rsid w:val="08F81A40"/>
    <w:rsid w:val="09335624"/>
    <w:rsid w:val="093403CB"/>
    <w:rsid w:val="09436A8B"/>
    <w:rsid w:val="0944690F"/>
    <w:rsid w:val="09535675"/>
    <w:rsid w:val="095852CB"/>
    <w:rsid w:val="095C2F24"/>
    <w:rsid w:val="095F057D"/>
    <w:rsid w:val="09606C8A"/>
    <w:rsid w:val="09642282"/>
    <w:rsid w:val="09733572"/>
    <w:rsid w:val="09772C16"/>
    <w:rsid w:val="09815806"/>
    <w:rsid w:val="098353B5"/>
    <w:rsid w:val="098E4883"/>
    <w:rsid w:val="098E4FA0"/>
    <w:rsid w:val="098F7F12"/>
    <w:rsid w:val="099159BD"/>
    <w:rsid w:val="09A92330"/>
    <w:rsid w:val="09B06B87"/>
    <w:rsid w:val="09C13146"/>
    <w:rsid w:val="09D46C43"/>
    <w:rsid w:val="09D709B0"/>
    <w:rsid w:val="09E04166"/>
    <w:rsid w:val="0A011659"/>
    <w:rsid w:val="0A1B17B6"/>
    <w:rsid w:val="0A1C0718"/>
    <w:rsid w:val="0A3E7710"/>
    <w:rsid w:val="0A5107AD"/>
    <w:rsid w:val="0A515775"/>
    <w:rsid w:val="0A5B7E63"/>
    <w:rsid w:val="0A6F37B3"/>
    <w:rsid w:val="0AA374A5"/>
    <w:rsid w:val="0AAB7649"/>
    <w:rsid w:val="0AB40A27"/>
    <w:rsid w:val="0ABC5606"/>
    <w:rsid w:val="0AE350DC"/>
    <w:rsid w:val="0B065FC2"/>
    <w:rsid w:val="0B091922"/>
    <w:rsid w:val="0B0E30C9"/>
    <w:rsid w:val="0B30404E"/>
    <w:rsid w:val="0B3351D8"/>
    <w:rsid w:val="0B4C6C14"/>
    <w:rsid w:val="0B51783C"/>
    <w:rsid w:val="0B547599"/>
    <w:rsid w:val="0B631A88"/>
    <w:rsid w:val="0B683D45"/>
    <w:rsid w:val="0B7F3F11"/>
    <w:rsid w:val="0B884417"/>
    <w:rsid w:val="0B8F16A5"/>
    <w:rsid w:val="0BB2024E"/>
    <w:rsid w:val="0BB70527"/>
    <w:rsid w:val="0BC0004F"/>
    <w:rsid w:val="0BD065D0"/>
    <w:rsid w:val="0BF6188C"/>
    <w:rsid w:val="0BF70001"/>
    <w:rsid w:val="0BF73C91"/>
    <w:rsid w:val="0C170175"/>
    <w:rsid w:val="0C1E7BF8"/>
    <w:rsid w:val="0C23311B"/>
    <w:rsid w:val="0C3D6637"/>
    <w:rsid w:val="0C571A41"/>
    <w:rsid w:val="0C5C1171"/>
    <w:rsid w:val="0C5E1CBC"/>
    <w:rsid w:val="0C615B50"/>
    <w:rsid w:val="0C6C30D3"/>
    <w:rsid w:val="0C6C43F7"/>
    <w:rsid w:val="0C711B61"/>
    <w:rsid w:val="0C8445DA"/>
    <w:rsid w:val="0C86001A"/>
    <w:rsid w:val="0C87121B"/>
    <w:rsid w:val="0CAE3636"/>
    <w:rsid w:val="0CC007F7"/>
    <w:rsid w:val="0CC617AC"/>
    <w:rsid w:val="0CCC5321"/>
    <w:rsid w:val="0CCD48BE"/>
    <w:rsid w:val="0CDA32A3"/>
    <w:rsid w:val="0CE5259D"/>
    <w:rsid w:val="0CE618DF"/>
    <w:rsid w:val="0CEA4301"/>
    <w:rsid w:val="0CEB1914"/>
    <w:rsid w:val="0CFE707A"/>
    <w:rsid w:val="0D063BDA"/>
    <w:rsid w:val="0D08375F"/>
    <w:rsid w:val="0D184CFB"/>
    <w:rsid w:val="0D1A5D55"/>
    <w:rsid w:val="0D272220"/>
    <w:rsid w:val="0D341D3A"/>
    <w:rsid w:val="0D3A1F53"/>
    <w:rsid w:val="0D4A7419"/>
    <w:rsid w:val="0D4E60AF"/>
    <w:rsid w:val="0D531267"/>
    <w:rsid w:val="0D5F5E5E"/>
    <w:rsid w:val="0D613131"/>
    <w:rsid w:val="0D7C110B"/>
    <w:rsid w:val="0D827401"/>
    <w:rsid w:val="0D84094E"/>
    <w:rsid w:val="0D8A00E9"/>
    <w:rsid w:val="0D8D589E"/>
    <w:rsid w:val="0D8E5FAA"/>
    <w:rsid w:val="0D9965CC"/>
    <w:rsid w:val="0DA01C73"/>
    <w:rsid w:val="0DB00467"/>
    <w:rsid w:val="0DCA2888"/>
    <w:rsid w:val="0DD63300"/>
    <w:rsid w:val="0DF46805"/>
    <w:rsid w:val="0DF50604"/>
    <w:rsid w:val="0DF702FE"/>
    <w:rsid w:val="0E060E51"/>
    <w:rsid w:val="0E1434A7"/>
    <w:rsid w:val="0E325320"/>
    <w:rsid w:val="0E5604B2"/>
    <w:rsid w:val="0E6D5D79"/>
    <w:rsid w:val="0E7B2823"/>
    <w:rsid w:val="0E9953A0"/>
    <w:rsid w:val="0E9A03FC"/>
    <w:rsid w:val="0E9D0089"/>
    <w:rsid w:val="0EA06CB7"/>
    <w:rsid w:val="0EA75D9A"/>
    <w:rsid w:val="0EAA7385"/>
    <w:rsid w:val="0EB70886"/>
    <w:rsid w:val="0EB803EE"/>
    <w:rsid w:val="0EC84B30"/>
    <w:rsid w:val="0ECD3EA6"/>
    <w:rsid w:val="0ED4462A"/>
    <w:rsid w:val="0ED6324D"/>
    <w:rsid w:val="0EDA4C9B"/>
    <w:rsid w:val="0EDC3291"/>
    <w:rsid w:val="0EF94D4B"/>
    <w:rsid w:val="0F170CE4"/>
    <w:rsid w:val="0F1C6E00"/>
    <w:rsid w:val="0F2509E1"/>
    <w:rsid w:val="0F4958DC"/>
    <w:rsid w:val="0F515DF7"/>
    <w:rsid w:val="0F563291"/>
    <w:rsid w:val="0F596BA8"/>
    <w:rsid w:val="0F6248D2"/>
    <w:rsid w:val="0F672DA8"/>
    <w:rsid w:val="0F693536"/>
    <w:rsid w:val="0F7B0511"/>
    <w:rsid w:val="0F7B76D9"/>
    <w:rsid w:val="0F816ACD"/>
    <w:rsid w:val="0F825E34"/>
    <w:rsid w:val="0F8B4F2A"/>
    <w:rsid w:val="0F9832DB"/>
    <w:rsid w:val="0FA31ADB"/>
    <w:rsid w:val="0FB44B2D"/>
    <w:rsid w:val="0FBF3FD2"/>
    <w:rsid w:val="0FBF7FF3"/>
    <w:rsid w:val="101271B8"/>
    <w:rsid w:val="10174821"/>
    <w:rsid w:val="1025630A"/>
    <w:rsid w:val="104447E9"/>
    <w:rsid w:val="10540208"/>
    <w:rsid w:val="105C6685"/>
    <w:rsid w:val="10646583"/>
    <w:rsid w:val="1075084D"/>
    <w:rsid w:val="107514F4"/>
    <w:rsid w:val="107D4B15"/>
    <w:rsid w:val="108A3C80"/>
    <w:rsid w:val="10AA1950"/>
    <w:rsid w:val="10C02B10"/>
    <w:rsid w:val="10C26171"/>
    <w:rsid w:val="10CF6E57"/>
    <w:rsid w:val="10E30B54"/>
    <w:rsid w:val="10F33360"/>
    <w:rsid w:val="10FC16EA"/>
    <w:rsid w:val="110275B1"/>
    <w:rsid w:val="1107444E"/>
    <w:rsid w:val="110F1D40"/>
    <w:rsid w:val="11194998"/>
    <w:rsid w:val="11266F33"/>
    <w:rsid w:val="11541A10"/>
    <w:rsid w:val="116033DA"/>
    <w:rsid w:val="11673E86"/>
    <w:rsid w:val="117669E6"/>
    <w:rsid w:val="1181450E"/>
    <w:rsid w:val="11865FC6"/>
    <w:rsid w:val="118963A1"/>
    <w:rsid w:val="11B57043"/>
    <w:rsid w:val="11BF336F"/>
    <w:rsid w:val="11C6522A"/>
    <w:rsid w:val="11D067E4"/>
    <w:rsid w:val="11D967F1"/>
    <w:rsid w:val="11E104CC"/>
    <w:rsid w:val="11E20309"/>
    <w:rsid w:val="11E576C9"/>
    <w:rsid w:val="1201785C"/>
    <w:rsid w:val="12106436"/>
    <w:rsid w:val="12255233"/>
    <w:rsid w:val="1226647F"/>
    <w:rsid w:val="12530213"/>
    <w:rsid w:val="12547EAC"/>
    <w:rsid w:val="125C0BBE"/>
    <w:rsid w:val="12691A06"/>
    <w:rsid w:val="12695089"/>
    <w:rsid w:val="126A1994"/>
    <w:rsid w:val="12704669"/>
    <w:rsid w:val="127723A9"/>
    <w:rsid w:val="12862074"/>
    <w:rsid w:val="12883966"/>
    <w:rsid w:val="12937E5A"/>
    <w:rsid w:val="129B31AF"/>
    <w:rsid w:val="129E45B4"/>
    <w:rsid w:val="12A5732F"/>
    <w:rsid w:val="12AE6A32"/>
    <w:rsid w:val="12CD1ABC"/>
    <w:rsid w:val="12D81596"/>
    <w:rsid w:val="13072A44"/>
    <w:rsid w:val="132D1B98"/>
    <w:rsid w:val="1343264F"/>
    <w:rsid w:val="1346119F"/>
    <w:rsid w:val="135F4BE2"/>
    <w:rsid w:val="1367781A"/>
    <w:rsid w:val="136A10B9"/>
    <w:rsid w:val="13815EDF"/>
    <w:rsid w:val="13861FDE"/>
    <w:rsid w:val="139B1A0A"/>
    <w:rsid w:val="139D25C7"/>
    <w:rsid w:val="139D323C"/>
    <w:rsid w:val="13BF3CE4"/>
    <w:rsid w:val="13C46A1B"/>
    <w:rsid w:val="13C578BF"/>
    <w:rsid w:val="13CA16CE"/>
    <w:rsid w:val="13E11700"/>
    <w:rsid w:val="13F374B8"/>
    <w:rsid w:val="13FE3F04"/>
    <w:rsid w:val="141008D8"/>
    <w:rsid w:val="14125FE6"/>
    <w:rsid w:val="1413056B"/>
    <w:rsid w:val="146D271E"/>
    <w:rsid w:val="1478624B"/>
    <w:rsid w:val="147C3400"/>
    <w:rsid w:val="1487326E"/>
    <w:rsid w:val="14982588"/>
    <w:rsid w:val="149A5AD9"/>
    <w:rsid w:val="14A66120"/>
    <w:rsid w:val="14A7619D"/>
    <w:rsid w:val="14C30A80"/>
    <w:rsid w:val="14EB19FB"/>
    <w:rsid w:val="14F70F66"/>
    <w:rsid w:val="150536C3"/>
    <w:rsid w:val="150C1963"/>
    <w:rsid w:val="15113EE2"/>
    <w:rsid w:val="151447A0"/>
    <w:rsid w:val="15163B8A"/>
    <w:rsid w:val="154A6454"/>
    <w:rsid w:val="155C2C83"/>
    <w:rsid w:val="15610299"/>
    <w:rsid w:val="156A0E93"/>
    <w:rsid w:val="156E3D61"/>
    <w:rsid w:val="15762120"/>
    <w:rsid w:val="15917A54"/>
    <w:rsid w:val="15962639"/>
    <w:rsid w:val="15D157AE"/>
    <w:rsid w:val="15EB309C"/>
    <w:rsid w:val="15EB4733"/>
    <w:rsid w:val="15F76776"/>
    <w:rsid w:val="15F80BFE"/>
    <w:rsid w:val="16184DFC"/>
    <w:rsid w:val="16290DB7"/>
    <w:rsid w:val="16492F37"/>
    <w:rsid w:val="164C45F3"/>
    <w:rsid w:val="16943BBA"/>
    <w:rsid w:val="16A8729C"/>
    <w:rsid w:val="16B33777"/>
    <w:rsid w:val="16BC70A7"/>
    <w:rsid w:val="16C6339E"/>
    <w:rsid w:val="16E34270"/>
    <w:rsid w:val="172F2D79"/>
    <w:rsid w:val="173C2D6C"/>
    <w:rsid w:val="17557BEF"/>
    <w:rsid w:val="17713FDF"/>
    <w:rsid w:val="17787A27"/>
    <w:rsid w:val="179939C2"/>
    <w:rsid w:val="17BE7C25"/>
    <w:rsid w:val="17D15BAA"/>
    <w:rsid w:val="17D349C1"/>
    <w:rsid w:val="17FB556C"/>
    <w:rsid w:val="1800023D"/>
    <w:rsid w:val="18244F26"/>
    <w:rsid w:val="18245CDA"/>
    <w:rsid w:val="1826547D"/>
    <w:rsid w:val="1830729E"/>
    <w:rsid w:val="185A64AA"/>
    <w:rsid w:val="186A1692"/>
    <w:rsid w:val="1870062C"/>
    <w:rsid w:val="18760BB3"/>
    <w:rsid w:val="18817102"/>
    <w:rsid w:val="18830A15"/>
    <w:rsid w:val="18852B28"/>
    <w:rsid w:val="188B5321"/>
    <w:rsid w:val="18B00717"/>
    <w:rsid w:val="18B539B9"/>
    <w:rsid w:val="18D45952"/>
    <w:rsid w:val="18D6213F"/>
    <w:rsid w:val="18D74616"/>
    <w:rsid w:val="18E24C39"/>
    <w:rsid w:val="18ED6EBB"/>
    <w:rsid w:val="18F74190"/>
    <w:rsid w:val="190D71AF"/>
    <w:rsid w:val="191915B7"/>
    <w:rsid w:val="193E47DD"/>
    <w:rsid w:val="195108EC"/>
    <w:rsid w:val="195B1BCF"/>
    <w:rsid w:val="19792055"/>
    <w:rsid w:val="1988673C"/>
    <w:rsid w:val="198A40F0"/>
    <w:rsid w:val="198D78AF"/>
    <w:rsid w:val="19932372"/>
    <w:rsid w:val="19A20DD5"/>
    <w:rsid w:val="19AE03F1"/>
    <w:rsid w:val="19E85082"/>
    <w:rsid w:val="19EF056A"/>
    <w:rsid w:val="1A071A03"/>
    <w:rsid w:val="1A197394"/>
    <w:rsid w:val="1A1F16AE"/>
    <w:rsid w:val="1A3B5C77"/>
    <w:rsid w:val="1A5C1707"/>
    <w:rsid w:val="1A607BD9"/>
    <w:rsid w:val="1A692698"/>
    <w:rsid w:val="1A6C3968"/>
    <w:rsid w:val="1A846F04"/>
    <w:rsid w:val="1A984BAD"/>
    <w:rsid w:val="1AB8220E"/>
    <w:rsid w:val="1ABA46D4"/>
    <w:rsid w:val="1AE23C2A"/>
    <w:rsid w:val="1AE4166C"/>
    <w:rsid w:val="1AF06CFB"/>
    <w:rsid w:val="1AF11B8D"/>
    <w:rsid w:val="1B057F96"/>
    <w:rsid w:val="1B11359C"/>
    <w:rsid w:val="1B197BC7"/>
    <w:rsid w:val="1B1D140D"/>
    <w:rsid w:val="1B1D4C62"/>
    <w:rsid w:val="1B214753"/>
    <w:rsid w:val="1B2A271F"/>
    <w:rsid w:val="1B430B6D"/>
    <w:rsid w:val="1B530544"/>
    <w:rsid w:val="1B570174"/>
    <w:rsid w:val="1B713184"/>
    <w:rsid w:val="1BA13A13"/>
    <w:rsid w:val="1BA209CF"/>
    <w:rsid w:val="1BB4777D"/>
    <w:rsid w:val="1BBF058C"/>
    <w:rsid w:val="1BC752A5"/>
    <w:rsid w:val="1BCC110E"/>
    <w:rsid w:val="1BD75AB8"/>
    <w:rsid w:val="1C0459C2"/>
    <w:rsid w:val="1C1B3B4A"/>
    <w:rsid w:val="1C610BFB"/>
    <w:rsid w:val="1C6B28A5"/>
    <w:rsid w:val="1C88086E"/>
    <w:rsid w:val="1C913E85"/>
    <w:rsid w:val="1C915908"/>
    <w:rsid w:val="1CA64AB4"/>
    <w:rsid w:val="1CB533A4"/>
    <w:rsid w:val="1CBE55B6"/>
    <w:rsid w:val="1CC1038E"/>
    <w:rsid w:val="1CC17F9B"/>
    <w:rsid w:val="1CC31152"/>
    <w:rsid w:val="1CEB6DC6"/>
    <w:rsid w:val="1CF77E61"/>
    <w:rsid w:val="1D0E0D07"/>
    <w:rsid w:val="1D1E62D0"/>
    <w:rsid w:val="1D266CE1"/>
    <w:rsid w:val="1D291B41"/>
    <w:rsid w:val="1D3963AF"/>
    <w:rsid w:val="1D3C79E6"/>
    <w:rsid w:val="1D417B50"/>
    <w:rsid w:val="1D4552E6"/>
    <w:rsid w:val="1D556936"/>
    <w:rsid w:val="1D57445C"/>
    <w:rsid w:val="1D632E00"/>
    <w:rsid w:val="1D6A673C"/>
    <w:rsid w:val="1D6B6159"/>
    <w:rsid w:val="1D7C1F18"/>
    <w:rsid w:val="1D9247AE"/>
    <w:rsid w:val="1D9B6A3E"/>
    <w:rsid w:val="1DA358F3"/>
    <w:rsid w:val="1DB567EC"/>
    <w:rsid w:val="1DF3411E"/>
    <w:rsid w:val="1DF51A98"/>
    <w:rsid w:val="1E051CD9"/>
    <w:rsid w:val="1E1412E2"/>
    <w:rsid w:val="1E3D060F"/>
    <w:rsid w:val="1E3F7D2E"/>
    <w:rsid w:val="1E4134E4"/>
    <w:rsid w:val="1E5062B3"/>
    <w:rsid w:val="1E523514"/>
    <w:rsid w:val="1E714A66"/>
    <w:rsid w:val="1E7D7557"/>
    <w:rsid w:val="1E802593"/>
    <w:rsid w:val="1E814BE5"/>
    <w:rsid w:val="1E8B6156"/>
    <w:rsid w:val="1EA703CC"/>
    <w:rsid w:val="1EB17E6B"/>
    <w:rsid w:val="1EB7330C"/>
    <w:rsid w:val="1EC94328"/>
    <w:rsid w:val="1ECD58BF"/>
    <w:rsid w:val="1ECF30D9"/>
    <w:rsid w:val="1ED32B20"/>
    <w:rsid w:val="1EEB54F0"/>
    <w:rsid w:val="1EEC27E3"/>
    <w:rsid w:val="1EFC364D"/>
    <w:rsid w:val="1F0A0FF3"/>
    <w:rsid w:val="1F225CE4"/>
    <w:rsid w:val="1F47684D"/>
    <w:rsid w:val="1F486752"/>
    <w:rsid w:val="1F5071EE"/>
    <w:rsid w:val="1F5771FF"/>
    <w:rsid w:val="1F5F7009"/>
    <w:rsid w:val="1F930620"/>
    <w:rsid w:val="1F9757DB"/>
    <w:rsid w:val="1FB57B5F"/>
    <w:rsid w:val="1FB913FE"/>
    <w:rsid w:val="1FC73600"/>
    <w:rsid w:val="1FD52574"/>
    <w:rsid w:val="1FE868A9"/>
    <w:rsid w:val="20034907"/>
    <w:rsid w:val="200D2936"/>
    <w:rsid w:val="20173E4B"/>
    <w:rsid w:val="204E48BC"/>
    <w:rsid w:val="205E1FA5"/>
    <w:rsid w:val="208921B3"/>
    <w:rsid w:val="208A1E70"/>
    <w:rsid w:val="20931C4F"/>
    <w:rsid w:val="20973DEB"/>
    <w:rsid w:val="20A36034"/>
    <w:rsid w:val="20B26522"/>
    <w:rsid w:val="20B44310"/>
    <w:rsid w:val="20CC5914"/>
    <w:rsid w:val="20D858B3"/>
    <w:rsid w:val="21035A46"/>
    <w:rsid w:val="211116EB"/>
    <w:rsid w:val="2122535A"/>
    <w:rsid w:val="21432B39"/>
    <w:rsid w:val="215018EE"/>
    <w:rsid w:val="215A6C10"/>
    <w:rsid w:val="216022D0"/>
    <w:rsid w:val="216133FC"/>
    <w:rsid w:val="216C71A5"/>
    <w:rsid w:val="21B9281B"/>
    <w:rsid w:val="21C45D42"/>
    <w:rsid w:val="21D56769"/>
    <w:rsid w:val="21DF255E"/>
    <w:rsid w:val="21E52EF3"/>
    <w:rsid w:val="21FB5D7B"/>
    <w:rsid w:val="22015E94"/>
    <w:rsid w:val="220B1C3D"/>
    <w:rsid w:val="220B78AB"/>
    <w:rsid w:val="220F64F1"/>
    <w:rsid w:val="221D1D20"/>
    <w:rsid w:val="22326F75"/>
    <w:rsid w:val="22334A87"/>
    <w:rsid w:val="22384C79"/>
    <w:rsid w:val="22482214"/>
    <w:rsid w:val="226F6442"/>
    <w:rsid w:val="22761828"/>
    <w:rsid w:val="227C56E4"/>
    <w:rsid w:val="22804455"/>
    <w:rsid w:val="22BE6801"/>
    <w:rsid w:val="22E449E3"/>
    <w:rsid w:val="22EC3898"/>
    <w:rsid w:val="233500BF"/>
    <w:rsid w:val="233716DB"/>
    <w:rsid w:val="23377FF7"/>
    <w:rsid w:val="234F5CFB"/>
    <w:rsid w:val="236B046C"/>
    <w:rsid w:val="236B425F"/>
    <w:rsid w:val="23836192"/>
    <w:rsid w:val="238910E7"/>
    <w:rsid w:val="23901F29"/>
    <w:rsid w:val="239301B8"/>
    <w:rsid w:val="239C0061"/>
    <w:rsid w:val="23B2407F"/>
    <w:rsid w:val="23B908A4"/>
    <w:rsid w:val="23E6478B"/>
    <w:rsid w:val="23E95BEF"/>
    <w:rsid w:val="23F41E93"/>
    <w:rsid w:val="23FD0064"/>
    <w:rsid w:val="24077A99"/>
    <w:rsid w:val="245375B0"/>
    <w:rsid w:val="24537BC5"/>
    <w:rsid w:val="245B6DB7"/>
    <w:rsid w:val="246279E1"/>
    <w:rsid w:val="24642C0A"/>
    <w:rsid w:val="24A64E3C"/>
    <w:rsid w:val="24B22173"/>
    <w:rsid w:val="24B618E1"/>
    <w:rsid w:val="24B95AD9"/>
    <w:rsid w:val="24BE24DA"/>
    <w:rsid w:val="24C3687B"/>
    <w:rsid w:val="24CF5825"/>
    <w:rsid w:val="24D663E6"/>
    <w:rsid w:val="24D757B6"/>
    <w:rsid w:val="24D77F2B"/>
    <w:rsid w:val="24DE5879"/>
    <w:rsid w:val="24EC5DD1"/>
    <w:rsid w:val="2519320A"/>
    <w:rsid w:val="25203A2E"/>
    <w:rsid w:val="256718FC"/>
    <w:rsid w:val="256B59F1"/>
    <w:rsid w:val="258B00E2"/>
    <w:rsid w:val="259C306E"/>
    <w:rsid w:val="259D0438"/>
    <w:rsid w:val="25A20B86"/>
    <w:rsid w:val="25A917A6"/>
    <w:rsid w:val="25AB2553"/>
    <w:rsid w:val="25AF7C37"/>
    <w:rsid w:val="25B368EF"/>
    <w:rsid w:val="25BE27CC"/>
    <w:rsid w:val="25D435EF"/>
    <w:rsid w:val="25D63996"/>
    <w:rsid w:val="25F0544D"/>
    <w:rsid w:val="25F74A5C"/>
    <w:rsid w:val="261513AF"/>
    <w:rsid w:val="2628662C"/>
    <w:rsid w:val="262D45DE"/>
    <w:rsid w:val="26747E2C"/>
    <w:rsid w:val="267B5C7C"/>
    <w:rsid w:val="26871DC8"/>
    <w:rsid w:val="268B161A"/>
    <w:rsid w:val="26A53EF9"/>
    <w:rsid w:val="26A544E4"/>
    <w:rsid w:val="26A94201"/>
    <w:rsid w:val="26AC274F"/>
    <w:rsid w:val="26BB57AA"/>
    <w:rsid w:val="26CA5D68"/>
    <w:rsid w:val="26D766C3"/>
    <w:rsid w:val="27044A29"/>
    <w:rsid w:val="27142B02"/>
    <w:rsid w:val="271A0364"/>
    <w:rsid w:val="271D34C8"/>
    <w:rsid w:val="272730F1"/>
    <w:rsid w:val="273830D5"/>
    <w:rsid w:val="27457CE6"/>
    <w:rsid w:val="274912B9"/>
    <w:rsid w:val="274F5FB1"/>
    <w:rsid w:val="276142BF"/>
    <w:rsid w:val="276370CF"/>
    <w:rsid w:val="27736336"/>
    <w:rsid w:val="277408EE"/>
    <w:rsid w:val="27783712"/>
    <w:rsid w:val="277B6012"/>
    <w:rsid w:val="27871DE1"/>
    <w:rsid w:val="278B5528"/>
    <w:rsid w:val="278D4EE0"/>
    <w:rsid w:val="27907362"/>
    <w:rsid w:val="279544FE"/>
    <w:rsid w:val="279E0EBE"/>
    <w:rsid w:val="27BA7D18"/>
    <w:rsid w:val="27CB3CE5"/>
    <w:rsid w:val="27D165A2"/>
    <w:rsid w:val="27F07987"/>
    <w:rsid w:val="27F106CF"/>
    <w:rsid w:val="280276BA"/>
    <w:rsid w:val="28101DD7"/>
    <w:rsid w:val="282633A8"/>
    <w:rsid w:val="28331709"/>
    <w:rsid w:val="28333E1D"/>
    <w:rsid w:val="283A32F8"/>
    <w:rsid w:val="28454BD6"/>
    <w:rsid w:val="28455253"/>
    <w:rsid w:val="28551971"/>
    <w:rsid w:val="285A2FA5"/>
    <w:rsid w:val="285B1C53"/>
    <w:rsid w:val="287702CA"/>
    <w:rsid w:val="28813EBC"/>
    <w:rsid w:val="288B5901"/>
    <w:rsid w:val="289F7086"/>
    <w:rsid w:val="28C32028"/>
    <w:rsid w:val="28CC490F"/>
    <w:rsid w:val="28D61EBD"/>
    <w:rsid w:val="28D9041B"/>
    <w:rsid w:val="28DD6A42"/>
    <w:rsid w:val="28DE40AA"/>
    <w:rsid w:val="29096190"/>
    <w:rsid w:val="29333963"/>
    <w:rsid w:val="29345E77"/>
    <w:rsid w:val="29475CCC"/>
    <w:rsid w:val="294C65AD"/>
    <w:rsid w:val="294F692F"/>
    <w:rsid w:val="295D104C"/>
    <w:rsid w:val="295F594B"/>
    <w:rsid w:val="2965010A"/>
    <w:rsid w:val="29806583"/>
    <w:rsid w:val="298B3C4C"/>
    <w:rsid w:val="298F19EC"/>
    <w:rsid w:val="298F27C5"/>
    <w:rsid w:val="29AB0437"/>
    <w:rsid w:val="29BE79F2"/>
    <w:rsid w:val="29E344D0"/>
    <w:rsid w:val="29F10CFD"/>
    <w:rsid w:val="29F26D24"/>
    <w:rsid w:val="2A15033F"/>
    <w:rsid w:val="2A1662C1"/>
    <w:rsid w:val="2A1738F0"/>
    <w:rsid w:val="2A1C2CB5"/>
    <w:rsid w:val="2A1C7367"/>
    <w:rsid w:val="2A2658E2"/>
    <w:rsid w:val="2A2815FA"/>
    <w:rsid w:val="2A461AE0"/>
    <w:rsid w:val="2A522B7B"/>
    <w:rsid w:val="2A636B36"/>
    <w:rsid w:val="2A6D6092"/>
    <w:rsid w:val="2A715F67"/>
    <w:rsid w:val="2A7D76B4"/>
    <w:rsid w:val="2AA016B4"/>
    <w:rsid w:val="2AB56C65"/>
    <w:rsid w:val="2ADB32D0"/>
    <w:rsid w:val="2ADD2870"/>
    <w:rsid w:val="2AED6C7B"/>
    <w:rsid w:val="2B09293F"/>
    <w:rsid w:val="2B2E75CF"/>
    <w:rsid w:val="2B346CC0"/>
    <w:rsid w:val="2B437463"/>
    <w:rsid w:val="2B6A7747"/>
    <w:rsid w:val="2B7807EE"/>
    <w:rsid w:val="2B852AF3"/>
    <w:rsid w:val="2B9E5305"/>
    <w:rsid w:val="2BA50BF7"/>
    <w:rsid w:val="2BB2677A"/>
    <w:rsid w:val="2BBF00EC"/>
    <w:rsid w:val="2BC162D3"/>
    <w:rsid w:val="2BC37CFD"/>
    <w:rsid w:val="2BCC1370"/>
    <w:rsid w:val="2BD5237F"/>
    <w:rsid w:val="2BE536CE"/>
    <w:rsid w:val="2BE758D9"/>
    <w:rsid w:val="2BE9496F"/>
    <w:rsid w:val="2BF10171"/>
    <w:rsid w:val="2BF346BB"/>
    <w:rsid w:val="2C09049E"/>
    <w:rsid w:val="2C0A653C"/>
    <w:rsid w:val="2C0F02A3"/>
    <w:rsid w:val="2C191F85"/>
    <w:rsid w:val="2C1C51EE"/>
    <w:rsid w:val="2C31056E"/>
    <w:rsid w:val="2C384254"/>
    <w:rsid w:val="2C4E1120"/>
    <w:rsid w:val="2C581F9E"/>
    <w:rsid w:val="2C587AAB"/>
    <w:rsid w:val="2C5933A3"/>
    <w:rsid w:val="2C6554BB"/>
    <w:rsid w:val="2C792F4D"/>
    <w:rsid w:val="2CA115F1"/>
    <w:rsid w:val="2CE82D6F"/>
    <w:rsid w:val="2CF73565"/>
    <w:rsid w:val="2D0B17AA"/>
    <w:rsid w:val="2D151C3D"/>
    <w:rsid w:val="2D197980"/>
    <w:rsid w:val="2D1B463E"/>
    <w:rsid w:val="2D236108"/>
    <w:rsid w:val="2D293843"/>
    <w:rsid w:val="2D343236"/>
    <w:rsid w:val="2D357669"/>
    <w:rsid w:val="2D3B5B48"/>
    <w:rsid w:val="2D4F5849"/>
    <w:rsid w:val="2D5108DF"/>
    <w:rsid w:val="2D575011"/>
    <w:rsid w:val="2D714B55"/>
    <w:rsid w:val="2D8F7C42"/>
    <w:rsid w:val="2D9E4D24"/>
    <w:rsid w:val="2DAC5EA2"/>
    <w:rsid w:val="2DB11966"/>
    <w:rsid w:val="2DBE0ECB"/>
    <w:rsid w:val="2DD15014"/>
    <w:rsid w:val="2DD45655"/>
    <w:rsid w:val="2DE47F8D"/>
    <w:rsid w:val="2DE633E5"/>
    <w:rsid w:val="2DF72DE4"/>
    <w:rsid w:val="2E0220AF"/>
    <w:rsid w:val="2E184E1D"/>
    <w:rsid w:val="2E4A3E34"/>
    <w:rsid w:val="2E4B082A"/>
    <w:rsid w:val="2E55726A"/>
    <w:rsid w:val="2E5A0900"/>
    <w:rsid w:val="2E5D4E86"/>
    <w:rsid w:val="2E5D790B"/>
    <w:rsid w:val="2E6136A4"/>
    <w:rsid w:val="2E840A66"/>
    <w:rsid w:val="2E9A3C18"/>
    <w:rsid w:val="2E9A78DD"/>
    <w:rsid w:val="2EBB0FEE"/>
    <w:rsid w:val="2EC63002"/>
    <w:rsid w:val="2ECF08DB"/>
    <w:rsid w:val="2F0A6B38"/>
    <w:rsid w:val="2F1321AD"/>
    <w:rsid w:val="2F350375"/>
    <w:rsid w:val="2F3565C7"/>
    <w:rsid w:val="2F3E547B"/>
    <w:rsid w:val="2F4D1ED1"/>
    <w:rsid w:val="2F581A01"/>
    <w:rsid w:val="2F616D81"/>
    <w:rsid w:val="2F7760A6"/>
    <w:rsid w:val="2F7960D4"/>
    <w:rsid w:val="2F8772D8"/>
    <w:rsid w:val="2F8A246F"/>
    <w:rsid w:val="2F8D01B1"/>
    <w:rsid w:val="2F905058"/>
    <w:rsid w:val="2F946CCB"/>
    <w:rsid w:val="2F9E78A7"/>
    <w:rsid w:val="2FD25781"/>
    <w:rsid w:val="2FDC745C"/>
    <w:rsid w:val="2FE066AE"/>
    <w:rsid w:val="2FF434B5"/>
    <w:rsid w:val="2FFD7934"/>
    <w:rsid w:val="30134B5A"/>
    <w:rsid w:val="3053184D"/>
    <w:rsid w:val="30733ACD"/>
    <w:rsid w:val="308C3862"/>
    <w:rsid w:val="309379D8"/>
    <w:rsid w:val="30A270F7"/>
    <w:rsid w:val="30AA08EF"/>
    <w:rsid w:val="30B04157"/>
    <w:rsid w:val="30B11567"/>
    <w:rsid w:val="30C25A2F"/>
    <w:rsid w:val="30DF1478"/>
    <w:rsid w:val="30EC586F"/>
    <w:rsid w:val="30FD3EF5"/>
    <w:rsid w:val="30FF50DE"/>
    <w:rsid w:val="311734C2"/>
    <w:rsid w:val="311961A0"/>
    <w:rsid w:val="31413C4F"/>
    <w:rsid w:val="31501496"/>
    <w:rsid w:val="316513E5"/>
    <w:rsid w:val="31684A32"/>
    <w:rsid w:val="319C6071"/>
    <w:rsid w:val="319D4A39"/>
    <w:rsid w:val="319F38CE"/>
    <w:rsid w:val="31AC537E"/>
    <w:rsid w:val="31AE2A82"/>
    <w:rsid w:val="31C3610C"/>
    <w:rsid w:val="31C9409A"/>
    <w:rsid w:val="31E3679B"/>
    <w:rsid w:val="31E367AE"/>
    <w:rsid w:val="31E732FD"/>
    <w:rsid w:val="32055AA1"/>
    <w:rsid w:val="320C7229"/>
    <w:rsid w:val="32155CA9"/>
    <w:rsid w:val="32385D83"/>
    <w:rsid w:val="32427569"/>
    <w:rsid w:val="32517576"/>
    <w:rsid w:val="3258078F"/>
    <w:rsid w:val="32664E75"/>
    <w:rsid w:val="32764F2C"/>
    <w:rsid w:val="32A658FC"/>
    <w:rsid w:val="32BE5C2C"/>
    <w:rsid w:val="32C1342F"/>
    <w:rsid w:val="32CE6B16"/>
    <w:rsid w:val="32F103D0"/>
    <w:rsid w:val="32FA790B"/>
    <w:rsid w:val="32FB6478"/>
    <w:rsid w:val="33016EEC"/>
    <w:rsid w:val="33067D67"/>
    <w:rsid w:val="332629BB"/>
    <w:rsid w:val="33263B3F"/>
    <w:rsid w:val="33291F9F"/>
    <w:rsid w:val="332B21BB"/>
    <w:rsid w:val="3330157F"/>
    <w:rsid w:val="333C0319"/>
    <w:rsid w:val="335F3C12"/>
    <w:rsid w:val="3366631D"/>
    <w:rsid w:val="336963EB"/>
    <w:rsid w:val="336D45D4"/>
    <w:rsid w:val="33816EEB"/>
    <w:rsid w:val="339A10EE"/>
    <w:rsid w:val="33C543BD"/>
    <w:rsid w:val="33E764F4"/>
    <w:rsid w:val="33EB55CD"/>
    <w:rsid w:val="33EC4C02"/>
    <w:rsid w:val="340D2360"/>
    <w:rsid w:val="3410665D"/>
    <w:rsid w:val="34211214"/>
    <w:rsid w:val="342E63AB"/>
    <w:rsid w:val="34321327"/>
    <w:rsid w:val="34572B3B"/>
    <w:rsid w:val="345A1D9D"/>
    <w:rsid w:val="345D30FE"/>
    <w:rsid w:val="3460797A"/>
    <w:rsid w:val="34950E68"/>
    <w:rsid w:val="34986E94"/>
    <w:rsid w:val="34AF62C9"/>
    <w:rsid w:val="34CB4388"/>
    <w:rsid w:val="34D36172"/>
    <w:rsid w:val="34DD1293"/>
    <w:rsid w:val="34DD5737"/>
    <w:rsid w:val="34E602EB"/>
    <w:rsid w:val="34F90942"/>
    <w:rsid w:val="34FA6E12"/>
    <w:rsid w:val="350031D3"/>
    <w:rsid w:val="35066379"/>
    <w:rsid w:val="35092088"/>
    <w:rsid w:val="35132F06"/>
    <w:rsid w:val="354D7158"/>
    <w:rsid w:val="35692B6E"/>
    <w:rsid w:val="358B5193"/>
    <w:rsid w:val="358D5588"/>
    <w:rsid w:val="35AB75E3"/>
    <w:rsid w:val="35AF0CFE"/>
    <w:rsid w:val="35BA6F50"/>
    <w:rsid w:val="35DA3A24"/>
    <w:rsid w:val="35DF6310"/>
    <w:rsid w:val="361374D2"/>
    <w:rsid w:val="363A3B40"/>
    <w:rsid w:val="363B0967"/>
    <w:rsid w:val="364D2448"/>
    <w:rsid w:val="365302AE"/>
    <w:rsid w:val="365657A0"/>
    <w:rsid w:val="3660217B"/>
    <w:rsid w:val="36607A0A"/>
    <w:rsid w:val="366E227C"/>
    <w:rsid w:val="366F2E0D"/>
    <w:rsid w:val="36730100"/>
    <w:rsid w:val="367B6A5C"/>
    <w:rsid w:val="369C0E1F"/>
    <w:rsid w:val="369D2EA4"/>
    <w:rsid w:val="36A47687"/>
    <w:rsid w:val="36A74ADA"/>
    <w:rsid w:val="36AD60D5"/>
    <w:rsid w:val="36B224F9"/>
    <w:rsid w:val="36BA76ED"/>
    <w:rsid w:val="36C71359"/>
    <w:rsid w:val="36E20DE2"/>
    <w:rsid w:val="36E44D2C"/>
    <w:rsid w:val="36EC0CC9"/>
    <w:rsid w:val="36F90814"/>
    <w:rsid w:val="37195DD0"/>
    <w:rsid w:val="37386C54"/>
    <w:rsid w:val="373F410B"/>
    <w:rsid w:val="374B2E2B"/>
    <w:rsid w:val="374B4123"/>
    <w:rsid w:val="374B61CE"/>
    <w:rsid w:val="374E6478"/>
    <w:rsid w:val="3757538B"/>
    <w:rsid w:val="3769305E"/>
    <w:rsid w:val="37B24C58"/>
    <w:rsid w:val="37D351ED"/>
    <w:rsid w:val="37EE7094"/>
    <w:rsid w:val="37F4701F"/>
    <w:rsid w:val="37FA215C"/>
    <w:rsid w:val="380F20AB"/>
    <w:rsid w:val="38156F95"/>
    <w:rsid w:val="381D6FE1"/>
    <w:rsid w:val="38296C89"/>
    <w:rsid w:val="383002EB"/>
    <w:rsid w:val="38586797"/>
    <w:rsid w:val="385C20EE"/>
    <w:rsid w:val="385D15DF"/>
    <w:rsid w:val="386B4E07"/>
    <w:rsid w:val="386F25DF"/>
    <w:rsid w:val="387463B2"/>
    <w:rsid w:val="38787C50"/>
    <w:rsid w:val="38A5227D"/>
    <w:rsid w:val="38AC5B4C"/>
    <w:rsid w:val="38BC0149"/>
    <w:rsid w:val="38CD0DC8"/>
    <w:rsid w:val="38D80855"/>
    <w:rsid w:val="38D8372A"/>
    <w:rsid w:val="38D87D1C"/>
    <w:rsid w:val="38EB32BA"/>
    <w:rsid w:val="38EF77E6"/>
    <w:rsid w:val="391334D5"/>
    <w:rsid w:val="392E47B3"/>
    <w:rsid w:val="392E59B4"/>
    <w:rsid w:val="39300DFB"/>
    <w:rsid w:val="3948702E"/>
    <w:rsid w:val="394E275F"/>
    <w:rsid w:val="39636459"/>
    <w:rsid w:val="396B7F6C"/>
    <w:rsid w:val="39B417A9"/>
    <w:rsid w:val="39C66799"/>
    <w:rsid w:val="39FC5695"/>
    <w:rsid w:val="3A006D8E"/>
    <w:rsid w:val="3A0B20C4"/>
    <w:rsid w:val="3A0E0140"/>
    <w:rsid w:val="3A3651E5"/>
    <w:rsid w:val="3A744481"/>
    <w:rsid w:val="3A7601BF"/>
    <w:rsid w:val="3A8C7BEF"/>
    <w:rsid w:val="3A8F302F"/>
    <w:rsid w:val="3A906246"/>
    <w:rsid w:val="3AC54CA3"/>
    <w:rsid w:val="3ACA22B9"/>
    <w:rsid w:val="3AD06C17"/>
    <w:rsid w:val="3AFB6916"/>
    <w:rsid w:val="3AFF6407"/>
    <w:rsid w:val="3B2349B7"/>
    <w:rsid w:val="3B273F0F"/>
    <w:rsid w:val="3B2C0E8E"/>
    <w:rsid w:val="3B4007CD"/>
    <w:rsid w:val="3B5F2DA3"/>
    <w:rsid w:val="3B616CFF"/>
    <w:rsid w:val="3B6259F6"/>
    <w:rsid w:val="3B660234"/>
    <w:rsid w:val="3B976654"/>
    <w:rsid w:val="3B9C37F1"/>
    <w:rsid w:val="3BC01EFC"/>
    <w:rsid w:val="3BC66F24"/>
    <w:rsid w:val="3BC84D65"/>
    <w:rsid w:val="3BCA786A"/>
    <w:rsid w:val="3BD31E2F"/>
    <w:rsid w:val="3BEB698B"/>
    <w:rsid w:val="3BF15831"/>
    <w:rsid w:val="3BF747FC"/>
    <w:rsid w:val="3BF770DE"/>
    <w:rsid w:val="3C105946"/>
    <w:rsid w:val="3C2D6471"/>
    <w:rsid w:val="3C37397E"/>
    <w:rsid w:val="3C4443D8"/>
    <w:rsid w:val="3C471448"/>
    <w:rsid w:val="3C4E0AFB"/>
    <w:rsid w:val="3C536A3E"/>
    <w:rsid w:val="3C5F759A"/>
    <w:rsid w:val="3C6C295C"/>
    <w:rsid w:val="3C6C525A"/>
    <w:rsid w:val="3CAC52F3"/>
    <w:rsid w:val="3CB44AC3"/>
    <w:rsid w:val="3CCE23CB"/>
    <w:rsid w:val="3CD17D17"/>
    <w:rsid w:val="3CD94A35"/>
    <w:rsid w:val="3CDA39DE"/>
    <w:rsid w:val="3CE1321C"/>
    <w:rsid w:val="3D2C1009"/>
    <w:rsid w:val="3D3C7F39"/>
    <w:rsid w:val="3D440F09"/>
    <w:rsid w:val="3D4504A0"/>
    <w:rsid w:val="3D4A5E08"/>
    <w:rsid w:val="3D6458FA"/>
    <w:rsid w:val="3D6F788E"/>
    <w:rsid w:val="3D7E738B"/>
    <w:rsid w:val="3D855688"/>
    <w:rsid w:val="3D8734BB"/>
    <w:rsid w:val="3D8C5F4C"/>
    <w:rsid w:val="3D9A11D4"/>
    <w:rsid w:val="3DA16D89"/>
    <w:rsid w:val="3DA364BE"/>
    <w:rsid w:val="3DCD3E19"/>
    <w:rsid w:val="3DD75419"/>
    <w:rsid w:val="3DDE5FCA"/>
    <w:rsid w:val="3DE041CB"/>
    <w:rsid w:val="3E0855C8"/>
    <w:rsid w:val="3E0D48F6"/>
    <w:rsid w:val="3E1868B4"/>
    <w:rsid w:val="3E253286"/>
    <w:rsid w:val="3E377251"/>
    <w:rsid w:val="3E42664B"/>
    <w:rsid w:val="3E5A7334"/>
    <w:rsid w:val="3E7B5D6B"/>
    <w:rsid w:val="3E8421D7"/>
    <w:rsid w:val="3E843E66"/>
    <w:rsid w:val="3E8F51FE"/>
    <w:rsid w:val="3E926F87"/>
    <w:rsid w:val="3E9A59DE"/>
    <w:rsid w:val="3EAF4836"/>
    <w:rsid w:val="3EC13ECC"/>
    <w:rsid w:val="3EC33DFA"/>
    <w:rsid w:val="3ED656D0"/>
    <w:rsid w:val="3EEB27FE"/>
    <w:rsid w:val="3F060E16"/>
    <w:rsid w:val="3F0B5DBE"/>
    <w:rsid w:val="3F0D372E"/>
    <w:rsid w:val="3F1D1096"/>
    <w:rsid w:val="3F2F0234"/>
    <w:rsid w:val="3F4F5483"/>
    <w:rsid w:val="3F6363FE"/>
    <w:rsid w:val="3F6778AF"/>
    <w:rsid w:val="3F756B8F"/>
    <w:rsid w:val="3F7E53F5"/>
    <w:rsid w:val="3F95482B"/>
    <w:rsid w:val="3FB86B84"/>
    <w:rsid w:val="3FFF47B3"/>
    <w:rsid w:val="4019356B"/>
    <w:rsid w:val="402709BC"/>
    <w:rsid w:val="4041301D"/>
    <w:rsid w:val="40592157"/>
    <w:rsid w:val="406E1CAE"/>
    <w:rsid w:val="40896772"/>
    <w:rsid w:val="40A0133A"/>
    <w:rsid w:val="40B44A20"/>
    <w:rsid w:val="40B84A29"/>
    <w:rsid w:val="40BA66CD"/>
    <w:rsid w:val="40C31A53"/>
    <w:rsid w:val="40C70712"/>
    <w:rsid w:val="40CF687B"/>
    <w:rsid w:val="40D479EE"/>
    <w:rsid w:val="40E83499"/>
    <w:rsid w:val="40FF545D"/>
    <w:rsid w:val="410067C8"/>
    <w:rsid w:val="411424E0"/>
    <w:rsid w:val="41206E76"/>
    <w:rsid w:val="415D593F"/>
    <w:rsid w:val="41742F7F"/>
    <w:rsid w:val="41784401"/>
    <w:rsid w:val="4182569C"/>
    <w:rsid w:val="418F0D2A"/>
    <w:rsid w:val="41921B42"/>
    <w:rsid w:val="419B49AF"/>
    <w:rsid w:val="419E7F7B"/>
    <w:rsid w:val="41A85C21"/>
    <w:rsid w:val="41AA3FBE"/>
    <w:rsid w:val="41B12798"/>
    <w:rsid w:val="41D01505"/>
    <w:rsid w:val="41F93484"/>
    <w:rsid w:val="41FD7266"/>
    <w:rsid w:val="4215030D"/>
    <w:rsid w:val="42333392"/>
    <w:rsid w:val="42474939"/>
    <w:rsid w:val="424C3C57"/>
    <w:rsid w:val="4250579A"/>
    <w:rsid w:val="42613FF3"/>
    <w:rsid w:val="42660D96"/>
    <w:rsid w:val="428667D2"/>
    <w:rsid w:val="429C0C25"/>
    <w:rsid w:val="42B1494A"/>
    <w:rsid w:val="42BD0DA1"/>
    <w:rsid w:val="42CD1CE0"/>
    <w:rsid w:val="42D71A17"/>
    <w:rsid w:val="42E1381E"/>
    <w:rsid w:val="42ED6459"/>
    <w:rsid w:val="42FB45E4"/>
    <w:rsid w:val="42FE33C9"/>
    <w:rsid w:val="42FE58DD"/>
    <w:rsid w:val="43065E58"/>
    <w:rsid w:val="430C0B17"/>
    <w:rsid w:val="43105186"/>
    <w:rsid w:val="43174B3D"/>
    <w:rsid w:val="434B790E"/>
    <w:rsid w:val="43571A95"/>
    <w:rsid w:val="4360274F"/>
    <w:rsid w:val="436074C4"/>
    <w:rsid w:val="43747266"/>
    <w:rsid w:val="437C71E8"/>
    <w:rsid w:val="43880F63"/>
    <w:rsid w:val="43923B90"/>
    <w:rsid w:val="43977AB6"/>
    <w:rsid w:val="43A16BDA"/>
    <w:rsid w:val="43A3342B"/>
    <w:rsid w:val="43AF4742"/>
    <w:rsid w:val="43C77C27"/>
    <w:rsid w:val="43DB20E4"/>
    <w:rsid w:val="43DE09EE"/>
    <w:rsid w:val="43F06E29"/>
    <w:rsid w:val="43F22F31"/>
    <w:rsid w:val="44002FAD"/>
    <w:rsid w:val="441B764E"/>
    <w:rsid w:val="4479751F"/>
    <w:rsid w:val="448636F5"/>
    <w:rsid w:val="448E6105"/>
    <w:rsid w:val="449101DD"/>
    <w:rsid w:val="449D27EC"/>
    <w:rsid w:val="44AB6CB7"/>
    <w:rsid w:val="44BF6C07"/>
    <w:rsid w:val="44D02976"/>
    <w:rsid w:val="44DE1391"/>
    <w:rsid w:val="451B225C"/>
    <w:rsid w:val="45232CF2"/>
    <w:rsid w:val="452410C9"/>
    <w:rsid w:val="45260A34"/>
    <w:rsid w:val="45317DFB"/>
    <w:rsid w:val="453356DE"/>
    <w:rsid w:val="45433394"/>
    <w:rsid w:val="45586D59"/>
    <w:rsid w:val="455E1F7C"/>
    <w:rsid w:val="456D3CE4"/>
    <w:rsid w:val="4579042C"/>
    <w:rsid w:val="457F0571"/>
    <w:rsid w:val="45851176"/>
    <w:rsid w:val="458B7F8D"/>
    <w:rsid w:val="45935AF4"/>
    <w:rsid w:val="45C63B94"/>
    <w:rsid w:val="45D264C6"/>
    <w:rsid w:val="45D65FB6"/>
    <w:rsid w:val="460E7DA5"/>
    <w:rsid w:val="4628284A"/>
    <w:rsid w:val="462D72F1"/>
    <w:rsid w:val="46333408"/>
    <w:rsid w:val="46422483"/>
    <w:rsid w:val="4647199E"/>
    <w:rsid w:val="4659254A"/>
    <w:rsid w:val="465B0637"/>
    <w:rsid w:val="465E3F0D"/>
    <w:rsid w:val="466A16E6"/>
    <w:rsid w:val="46815F57"/>
    <w:rsid w:val="46893F2B"/>
    <w:rsid w:val="469D2F78"/>
    <w:rsid w:val="46C4686E"/>
    <w:rsid w:val="46D258A8"/>
    <w:rsid w:val="46E22739"/>
    <w:rsid w:val="46E55629"/>
    <w:rsid w:val="46F030A7"/>
    <w:rsid w:val="47156B58"/>
    <w:rsid w:val="475E6263"/>
    <w:rsid w:val="476741EB"/>
    <w:rsid w:val="477535AD"/>
    <w:rsid w:val="47797541"/>
    <w:rsid w:val="477B778F"/>
    <w:rsid w:val="478203EC"/>
    <w:rsid w:val="47833F1C"/>
    <w:rsid w:val="47A619B8"/>
    <w:rsid w:val="47B025FA"/>
    <w:rsid w:val="47B10A89"/>
    <w:rsid w:val="47F170D7"/>
    <w:rsid w:val="47FC658A"/>
    <w:rsid w:val="4809698F"/>
    <w:rsid w:val="480C3F11"/>
    <w:rsid w:val="4811697D"/>
    <w:rsid w:val="4812283E"/>
    <w:rsid w:val="4836049D"/>
    <w:rsid w:val="483E6094"/>
    <w:rsid w:val="48497416"/>
    <w:rsid w:val="487230E1"/>
    <w:rsid w:val="487A3E25"/>
    <w:rsid w:val="487B1097"/>
    <w:rsid w:val="488B5503"/>
    <w:rsid w:val="48937E21"/>
    <w:rsid w:val="48965ED0"/>
    <w:rsid w:val="489A0361"/>
    <w:rsid w:val="48A653A7"/>
    <w:rsid w:val="48B87BF5"/>
    <w:rsid w:val="48B94FF3"/>
    <w:rsid w:val="48BD345D"/>
    <w:rsid w:val="48E1714C"/>
    <w:rsid w:val="48E37AAB"/>
    <w:rsid w:val="48FD4B4C"/>
    <w:rsid w:val="490A68E0"/>
    <w:rsid w:val="491055FE"/>
    <w:rsid w:val="491110C7"/>
    <w:rsid w:val="49261002"/>
    <w:rsid w:val="493D634C"/>
    <w:rsid w:val="493F41BC"/>
    <w:rsid w:val="495F5B3E"/>
    <w:rsid w:val="496B6655"/>
    <w:rsid w:val="496F77D7"/>
    <w:rsid w:val="49706721"/>
    <w:rsid w:val="497654FD"/>
    <w:rsid w:val="49892E51"/>
    <w:rsid w:val="49AE2DA6"/>
    <w:rsid w:val="49B64211"/>
    <w:rsid w:val="49C8030C"/>
    <w:rsid w:val="49E26D28"/>
    <w:rsid w:val="49F6167F"/>
    <w:rsid w:val="4A064FA0"/>
    <w:rsid w:val="4A0F1A96"/>
    <w:rsid w:val="4A16615C"/>
    <w:rsid w:val="4A1B043B"/>
    <w:rsid w:val="4A365779"/>
    <w:rsid w:val="4A3A719C"/>
    <w:rsid w:val="4A4424D7"/>
    <w:rsid w:val="4A565766"/>
    <w:rsid w:val="4A5971B6"/>
    <w:rsid w:val="4A5C0203"/>
    <w:rsid w:val="4A7B35D0"/>
    <w:rsid w:val="4A7E7A76"/>
    <w:rsid w:val="4A82670C"/>
    <w:rsid w:val="4A9E5367"/>
    <w:rsid w:val="4AAA2D8A"/>
    <w:rsid w:val="4AB82D0F"/>
    <w:rsid w:val="4ABF34BD"/>
    <w:rsid w:val="4AE64290"/>
    <w:rsid w:val="4AEB7664"/>
    <w:rsid w:val="4AED7781"/>
    <w:rsid w:val="4AF34F14"/>
    <w:rsid w:val="4AFB5673"/>
    <w:rsid w:val="4AFD3FE5"/>
    <w:rsid w:val="4AFD7C19"/>
    <w:rsid w:val="4B0567D1"/>
    <w:rsid w:val="4B0E747A"/>
    <w:rsid w:val="4B236AAE"/>
    <w:rsid w:val="4B3F0159"/>
    <w:rsid w:val="4B412124"/>
    <w:rsid w:val="4B46373C"/>
    <w:rsid w:val="4B707271"/>
    <w:rsid w:val="4B7A70E2"/>
    <w:rsid w:val="4B887D52"/>
    <w:rsid w:val="4B9739F7"/>
    <w:rsid w:val="4BA206E8"/>
    <w:rsid w:val="4BB23021"/>
    <w:rsid w:val="4BBF5506"/>
    <w:rsid w:val="4BC0573E"/>
    <w:rsid w:val="4BCA036B"/>
    <w:rsid w:val="4BE331DB"/>
    <w:rsid w:val="4BEE2503"/>
    <w:rsid w:val="4BF11D83"/>
    <w:rsid w:val="4BFA0524"/>
    <w:rsid w:val="4BFC3701"/>
    <w:rsid w:val="4C092759"/>
    <w:rsid w:val="4C245A30"/>
    <w:rsid w:val="4C281285"/>
    <w:rsid w:val="4C307A20"/>
    <w:rsid w:val="4C352698"/>
    <w:rsid w:val="4C467AD9"/>
    <w:rsid w:val="4C6A145D"/>
    <w:rsid w:val="4C912599"/>
    <w:rsid w:val="4CB25804"/>
    <w:rsid w:val="4CB6685F"/>
    <w:rsid w:val="4CC367FE"/>
    <w:rsid w:val="4CEC2563"/>
    <w:rsid w:val="4CEF5BAF"/>
    <w:rsid w:val="4CF03E01"/>
    <w:rsid w:val="4D057467"/>
    <w:rsid w:val="4D077F3C"/>
    <w:rsid w:val="4D123355"/>
    <w:rsid w:val="4D1A0E7E"/>
    <w:rsid w:val="4D1F1B8A"/>
    <w:rsid w:val="4D227D33"/>
    <w:rsid w:val="4D2A3B31"/>
    <w:rsid w:val="4D312C52"/>
    <w:rsid w:val="4D31441A"/>
    <w:rsid w:val="4D371807"/>
    <w:rsid w:val="4D4B1038"/>
    <w:rsid w:val="4D4F574C"/>
    <w:rsid w:val="4D5D25E6"/>
    <w:rsid w:val="4D6E401D"/>
    <w:rsid w:val="4D905305"/>
    <w:rsid w:val="4D964A72"/>
    <w:rsid w:val="4D9B1643"/>
    <w:rsid w:val="4D9C1254"/>
    <w:rsid w:val="4DB1031F"/>
    <w:rsid w:val="4DBC3274"/>
    <w:rsid w:val="4DCB4CA4"/>
    <w:rsid w:val="4DD21759"/>
    <w:rsid w:val="4E050E3C"/>
    <w:rsid w:val="4E083A40"/>
    <w:rsid w:val="4E141D71"/>
    <w:rsid w:val="4E4F0F85"/>
    <w:rsid w:val="4E553494"/>
    <w:rsid w:val="4E793892"/>
    <w:rsid w:val="4E800872"/>
    <w:rsid w:val="4E90715E"/>
    <w:rsid w:val="4E9E319F"/>
    <w:rsid w:val="4EBD5F65"/>
    <w:rsid w:val="4EC569ED"/>
    <w:rsid w:val="4ECB354C"/>
    <w:rsid w:val="4ED50EA1"/>
    <w:rsid w:val="4EDA3270"/>
    <w:rsid w:val="4EEC050C"/>
    <w:rsid w:val="4EFC0F67"/>
    <w:rsid w:val="4F0C0C9A"/>
    <w:rsid w:val="4F104EC3"/>
    <w:rsid w:val="4F1633CA"/>
    <w:rsid w:val="4F196F13"/>
    <w:rsid w:val="4F47354A"/>
    <w:rsid w:val="4F5148FF"/>
    <w:rsid w:val="4F544C68"/>
    <w:rsid w:val="4F62571C"/>
    <w:rsid w:val="4F8A3233"/>
    <w:rsid w:val="4F911C54"/>
    <w:rsid w:val="4F9D5D96"/>
    <w:rsid w:val="4FC5018F"/>
    <w:rsid w:val="4FE625E0"/>
    <w:rsid w:val="4FF07658"/>
    <w:rsid w:val="50017FBF"/>
    <w:rsid w:val="500212D8"/>
    <w:rsid w:val="5021480F"/>
    <w:rsid w:val="50354221"/>
    <w:rsid w:val="504B393E"/>
    <w:rsid w:val="5076676F"/>
    <w:rsid w:val="50962ECB"/>
    <w:rsid w:val="50A42E38"/>
    <w:rsid w:val="50A4577F"/>
    <w:rsid w:val="50B73D1F"/>
    <w:rsid w:val="50BD5BC9"/>
    <w:rsid w:val="50C11EEE"/>
    <w:rsid w:val="50E97CFC"/>
    <w:rsid w:val="50EF43D0"/>
    <w:rsid w:val="50F11EF6"/>
    <w:rsid w:val="50F87FAC"/>
    <w:rsid w:val="50FA4028"/>
    <w:rsid w:val="510D65B7"/>
    <w:rsid w:val="511157AB"/>
    <w:rsid w:val="51165E00"/>
    <w:rsid w:val="51217F98"/>
    <w:rsid w:val="51256043"/>
    <w:rsid w:val="512A18AC"/>
    <w:rsid w:val="512F2A1E"/>
    <w:rsid w:val="5133550E"/>
    <w:rsid w:val="513C382A"/>
    <w:rsid w:val="5142540C"/>
    <w:rsid w:val="5148405F"/>
    <w:rsid w:val="518832C8"/>
    <w:rsid w:val="519D3C50"/>
    <w:rsid w:val="519D6B66"/>
    <w:rsid w:val="51A0432A"/>
    <w:rsid w:val="51A86090"/>
    <w:rsid w:val="51A87842"/>
    <w:rsid w:val="51A90A23"/>
    <w:rsid w:val="51B7396D"/>
    <w:rsid w:val="51C06FBC"/>
    <w:rsid w:val="51CC6EC2"/>
    <w:rsid w:val="51E710E2"/>
    <w:rsid w:val="52263AC6"/>
    <w:rsid w:val="522916A8"/>
    <w:rsid w:val="522E4CC3"/>
    <w:rsid w:val="5244713B"/>
    <w:rsid w:val="52615633"/>
    <w:rsid w:val="526F4DE4"/>
    <w:rsid w:val="5272134C"/>
    <w:rsid w:val="529214B7"/>
    <w:rsid w:val="52977FD4"/>
    <w:rsid w:val="529813CF"/>
    <w:rsid w:val="52A25790"/>
    <w:rsid w:val="52A96B6F"/>
    <w:rsid w:val="52B45975"/>
    <w:rsid w:val="52CA0C50"/>
    <w:rsid w:val="52D753D2"/>
    <w:rsid w:val="52D94AA4"/>
    <w:rsid w:val="52E760A8"/>
    <w:rsid w:val="52EA3A62"/>
    <w:rsid w:val="52EC0BF4"/>
    <w:rsid w:val="52F50BB8"/>
    <w:rsid w:val="53097272"/>
    <w:rsid w:val="532C6DCC"/>
    <w:rsid w:val="533F7D5C"/>
    <w:rsid w:val="53544462"/>
    <w:rsid w:val="53684B3C"/>
    <w:rsid w:val="53690469"/>
    <w:rsid w:val="536C5EBC"/>
    <w:rsid w:val="539179C0"/>
    <w:rsid w:val="5397158E"/>
    <w:rsid w:val="53F109E6"/>
    <w:rsid w:val="53FA2B91"/>
    <w:rsid w:val="54013861"/>
    <w:rsid w:val="540208BE"/>
    <w:rsid w:val="540F3ADB"/>
    <w:rsid w:val="54111402"/>
    <w:rsid w:val="54261771"/>
    <w:rsid w:val="542902D8"/>
    <w:rsid w:val="543C16DA"/>
    <w:rsid w:val="5444720F"/>
    <w:rsid w:val="54487265"/>
    <w:rsid w:val="544D6070"/>
    <w:rsid w:val="54521C9F"/>
    <w:rsid w:val="54564027"/>
    <w:rsid w:val="54605E1E"/>
    <w:rsid w:val="54613836"/>
    <w:rsid w:val="54880DC3"/>
    <w:rsid w:val="54B3506A"/>
    <w:rsid w:val="54C65448"/>
    <w:rsid w:val="54C90683"/>
    <w:rsid w:val="54CA0D16"/>
    <w:rsid w:val="54DD4057"/>
    <w:rsid w:val="54E7490F"/>
    <w:rsid w:val="550764A4"/>
    <w:rsid w:val="550B2BF6"/>
    <w:rsid w:val="550F3998"/>
    <w:rsid w:val="55214EB5"/>
    <w:rsid w:val="55364EFD"/>
    <w:rsid w:val="55422AB9"/>
    <w:rsid w:val="555D4828"/>
    <w:rsid w:val="556212EC"/>
    <w:rsid w:val="557929F4"/>
    <w:rsid w:val="557A4C8B"/>
    <w:rsid w:val="558931E1"/>
    <w:rsid w:val="55923347"/>
    <w:rsid w:val="55925180"/>
    <w:rsid w:val="55983B1B"/>
    <w:rsid w:val="55A8376B"/>
    <w:rsid w:val="55AF1B1C"/>
    <w:rsid w:val="55B611EB"/>
    <w:rsid w:val="55B73BD3"/>
    <w:rsid w:val="55C027DF"/>
    <w:rsid w:val="55C34853"/>
    <w:rsid w:val="55DC29B6"/>
    <w:rsid w:val="55DD4241"/>
    <w:rsid w:val="55E262B1"/>
    <w:rsid w:val="55EB6C16"/>
    <w:rsid w:val="55FF50B5"/>
    <w:rsid w:val="56195B27"/>
    <w:rsid w:val="561A5895"/>
    <w:rsid w:val="56336B0D"/>
    <w:rsid w:val="564112CA"/>
    <w:rsid w:val="56646524"/>
    <w:rsid w:val="566B6D1E"/>
    <w:rsid w:val="56AB69D0"/>
    <w:rsid w:val="56BB3481"/>
    <w:rsid w:val="56CC38D1"/>
    <w:rsid w:val="56E11E48"/>
    <w:rsid w:val="57032A2C"/>
    <w:rsid w:val="570F5219"/>
    <w:rsid w:val="571E4796"/>
    <w:rsid w:val="57295B58"/>
    <w:rsid w:val="575D12B5"/>
    <w:rsid w:val="57610A87"/>
    <w:rsid w:val="576178A6"/>
    <w:rsid w:val="57671164"/>
    <w:rsid w:val="576A2A02"/>
    <w:rsid w:val="577B1140"/>
    <w:rsid w:val="577B7F21"/>
    <w:rsid w:val="577F181B"/>
    <w:rsid w:val="57803FD4"/>
    <w:rsid w:val="57921984"/>
    <w:rsid w:val="579737F0"/>
    <w:rsid w:val="57A316AD"/>
    <w:rsid w:val="57AB7B30"/>
    <w:rsid w:val="57AE6D93"/>
    <w:rsid w:val="57AF5251"/>
    <w:rsid w:val="57B26373"/>
    <w:rsid w:val="57B63F04"/>
    <w:rsid w:val="57CD20C2"/>
    <w:rsid w:val="57D52571"/>
    <w:rsid w:val="57D675AB"/>
    <w:rsid w:val="57D73717"/>
    <w:rsid w:val="57D95FDD"/>
    <w:rsid w:val="57E22784"/>
    <w:rsid w:val="57E82409"/>
    <w:rsid w:val="584274DB"/>
    <w:rsid w:val="58490869"/>
    <w:rsid w:val="584A7BA0"/>
    <w:rsid w:val="58501BF8"/>
    <w:rsid w:val="587C3B8A"/>
    <w:rsid w:val="5886785B"/>
    <w:rsid w:val="5889040D"/>
    <w:rsid w:val="58892BEE"/>
    <w:rsid w:val="58900246"/>
    <w:rsid w:val="58917D2F"/>
    <w:rsid w:val="5894085C"/>
    <w:rsid w:val="58AE4F0C"/>
    <w:rsid w:val="58B85899"/>
    <w:rsid w:val="58E351BA"/>
    <w:rsid w:val="58E363A9"/>
    <w:rsid w:val="58EF598F"/>
    <w:rsid w:val="59166304"/>
    <w:rsid w:val="592F7A5F"/>
    <w:rsid w:val="59301424"/>
    <w:rsid w:val="59372DB8"/>
    <w:rsid w:val="593F6D80"/>
    <w:rsid w:val="5943175D"/>
    <w:rsid w:val="595E1678"/>
    <w:rsid w:val="596344E9"/>
    <w:rsid w:val="59645A89"/>
    <w:rsid w:val="596D5BD4"/>
    <w:rsid w:val="597332A9"/>
    <w:rsid w:val="5978041C"/>
    <w:rsid w:val="597E3DD8"/>
    <w:rsid w:val="59837DAB"/>
    <w:rsid w:val="59A0672C"/>
    <w:rsid w:val="59AC5554"/>
    <w:rsid w:val="59B352CD"/>
    <w:rsid w:val="59B711DC"/>
    <w:rsid w:val="59EF245F"/>
    <w:rsid w:val="59F80043"/>
    <w:rsid w:val="5A09252F"/>
    <w:rsid w:val="5A0B2778"/>
    <w:rsid w:val="5A144EA7"/>
    <w:rsid w:val="5A2A6C76"/>
    <w:rsid w:val="5A2A7C7B"/>
    <w:rsid w:val="5A36306F"/>
    <w:rsid w:val="5A3E2560"/>
    <w:rsid w:val="5A4932C9"/>
    <w:rsid w:val="5A5D3B6E"/>
    <w:rsid w:val="5A637A76"/>
    <w:rsid w:val="5A6D33BA"/>
    <w:rsid w:val="5A792B1F"/>
    <w:rsid w:val="5A874767"/>
    <w:rsid w:val="5A8A39A1"/>
    <w:rsid w:val="5AA84851"/>
    <w:rsid w:val="5AA85BE2"/>
    <w:rsid w:val="5AAD6F28"/>
    <w:rsid w:val="5AC0437F"/>
    <w:rsid w:val="5AC8016B"/>
    <w:rsid w:val="5AD22D98"/>
    <w:rsid w:val="5AD63A24"/>
    <w:rsid w:val="5AD74EFD"/>
    <w:rsid w:val="5AEB1E12"/>
    <w:rsid w:val="5AFF158F"/>
    <w:rsid w:val="5B2E1A1D"/>
    <w:rsid w:val="5B435A44"/>
    <w:rsid w:val="5B461090"/>
    <w:rsid w:val="5B48305A"/>
    <w:rsid w:val="5B7200D7"/>
    <w:rsid w:val="5B7322F6"/>
    <w:rsid w:val="5B794741"/>
    <w:rsid w:val="5B843432"/>
    <w:rsid w:val="5B843A1C"/>
    <w:rsid w:val="5B873E3F"/>
    <w:rsid w:val="5B90388B"/>
    <w:rsid w:val="5BBF5D60"/>
    <w:rsid w:val="5BEE3D39"/>
    <w:rsid w:val="5BF1724E"/>
    <w:rsid w:val="5C003935"/>
    <w:rsid w:val="5C02690E"/>
    <w:rsid w:val="5C196DA7"/>
    <w:rsid w:val="5C2A048C"/>
    <w:rsid w:val="5C3435DF"/>
    <w:rsid w:val="5C3C7C98"/>
    <w:rsid w:val="5C4A5F64"/>
    <w:rsid w:val="5C545A2F"/>
    <w:rsid w:val="5C5477DD"/>
    <w:rsid w:val="5C7C4C73"/>
    <w:rsid w:val="5C80234E"/>
    <w:rsid w:val="5C8A680C"/>
    <w:rsid w:val="5CE861E2"/>
    <w:rsid w:val="5CF76771"/>
    <w:rsid w:val="5CFA1A85"/>
    <w:rsid w:val="5D0B2591"/>
    <w:rsid w:val="5D0C4701"/>
    <w:rsid w:val="5D0F0395"/>
    <w:rsid w:val="5D123920"/>
    <w:rsid w:val="5D20178F"/>
    <w:rsid w:val="5D221076"/>
    <w:rsid w:val="5D2B1F4F"/>
    <w:rsid w:val="5D2C42B6"/>
    <w:rsid w:val="5D397964"/>
    <w:rsid w:val="5D467A6D"/>
    <w:rsid w:val="5D550132"/>
    <w:rsid w:val="5D5932FD"/>
    <w:rsid w:val="5D5A391C"/>
    <w:rsid w:val="5D5F10C0"/>
    <w:rsid w:val="5D662A4E"/>
    <w:rsid w:val="5D794F45"/>
    <w:rsid w:val="5D891B7B"/>
    <w:rsid w:val="5D982259"/>
    <w:rsid w:val="5D9F0F2C"/>
    <w:rsid w:val="5DA75383"/>
    <w:rsid w:val="5DAD38EE"/>
    <w:rsid w:val="5DB524FD"/>
    <w:rsid w:val="5DDE1A54"/>
    <w:rsid w:val="5E006862"/>
    <w:rsid w:val="5E0207B9"/>
    <w:rsid w:val="5E1834A1"/>
    <w:rsid w:val="5E261785"/>
    <w:rsid w:val="5E4045E7"/>
    <w:rsid w:val="5E4A7017"/>
    <w:rsid w:val="5E4B2D2D"/>
    <w:rsid w:val="5E543889"/>
    <w:rsid w:val="5E552BBA"/>
    <w:rsid w:val="5E561184"/>
    <w:rsid w:val="5E611C10"/>
    <w:rsid w:val="5E762B94"/>
    <w:rsid w:val="5E7A0F3F"/>
    <w:rsid w:val="5E993BCD"/>
    <w:rsid w:val="5ECA21DC"/>
    <w:rsid w:val="5EF37781"/>
    <w:rsid w:val="5EF7101F"/>
    <w:rsid w:val="5EFC7377"/>
    <w:rsid w:val="5F06174D"/>
    <w:rsid w:val="5F2A273D"/>
    <w:rsid w:val="5F3A3602"/>
    <w:rsid w:val="5F3E571F"/>
    <w:rsid w:val="5F45733B"/>
    <w:rsid w:val="5F465B03"/>
    <w:rsid w:val="5F4A1345"/>
    <w:rsid w:val="5F58362A"/>
    <w:rsid w:val="5F58413C"/>
    <w:rsid w:val="5F613AD9"/>
    <w:rsid w:val="5F6277C6"/>
    <w:rsid w:val="5F6D0B1D"/>
    <w:rsid w:val="5F7B6E87"/>
    <w:rsid w:val="5F844F80"/>
    <w:rsid w:val="5F8D0B82"/>
    <w:rsid w:val="5F9D61ED"/>
    <w:rsid w:val="5FAA6092"/>
    <w:rsid w:val="5FB23198"/>
    <w:rsid w:val="5FCC5339"/>
    <w:rsid w:val="5FD22BDF"/>
    <w:rsid w:val="5FD61B20"/>
    <w:rsid w:val="5FDF6C2A"/>
    <w:rsid w:val="5FE34A5B"/>
    <w:rsid w:val="5FEB709A"/>
    <w:rsid w:val="5FFD302E"/>
    <w:rsid w:val="5FFE1E36"/>
    <w:rsid w:val="60003F04"/>
    <w:rsid w:val="60221DB4"/>
    <w:rsid w:val="60232584"/>
    <w:rsid w:val="60233110"/>
    <w:rsid w:val="60252844"/>
    <w:rsid w:val="60316CD8"/>
    <w:rsid w:val="603B13E0"/>
    <w:rsid w:val="603C0A7F"/>
    <w:rsid w:val="605E6E7C"/>
    <w:rsid w:val="607330CE"/>
    <w:rsid w:val="60825176"/>
    <w:rsid w:val="608A5EC3"/>
    <w:rsid w:val="60982218"/>
    <w:rsid w:val="609F2AC4"/>
    <w:rsid w:val="60A9459B"/>
    <w:rsid w:val="60B766E2"/>
    <w:rsid w:val="60B82A30"/>
    <w:rsid w:val="60C330AE"/>
    <w:rsid w:val="60D62EB6"/>
    <w:rsid w:val="60E0295D"/>
    <w:rsid w:val="60EF159F"/>
    <w:rsid w:val="60FA2EE8"/>
    <w:rsid w:val="61054A27"/>
    <w:rsid w:val="610A52BC"/>
    <w:rsid w:val="61154AB0"/>
    <w:rsid w:val="611D2366"/>
    <w:rsid w:val="611F03B9"/>
    <w:rsid w:val="61257885"/>
    <w:rsid w:val="6141056D"/>
    <w:rsid w:val="61421856"/>
    <w:rsid w:val="61436338"/>
    <w:rsid w:val="615227C4"/>
    <w:rsid w:val="61526F6E"/>
    <w:rsid w:val="61551709"/>
    <w:rsid w:val="615E238B"/>
    <w:rsid w:val="61652E80"/>
    <w:rsid w:val="61654E3F"/>
    <w:rsid w:val="617F354E"/>
    <w:rsid w:val="6182292A"/>
    <w:rsid w:val="61826B9A"/>
    <w:rsid w:val="619A763E"/>
    <w:rsid w:val="619F7F92"/>
    <w:rsid w:val="61C105B5"/>
    <w:rsid w:val="61C15914"/>
    <w:rsid w:val="61C807BC"/>
    <w:rsid w:val="61E81EE3"/>
    <w:rsid w:val="61ED04B8"/>
    <w:rsid w:val="61F03696"/>
    <w:rsid w:val="61F94C26"/>
    <w:rsid w:val="62000E56"/>
    <w:rsid w:val="62043966"/>
    <w:rsid w:val="6228716A"/>
    <w:rsid w:val="6234698D"/>
    <w:rsid w:val="623F15C0"/>
    <w:rsid w:val="62467BC8"/>
    <w:rsid w:val="624F3E49"/>
    <w:rsid w:val="626200AF"/>
    <w:rsid w:val="62632286"/>
    <w:rsid w:val="627155B6"/>
    <w:rsid w:val="627B1F67"/>
    <w:rsid w:val="62885958"/>
    <w:rsid w:val="62EB24E4"/>
    <w:rsid w:val="62F27F5B"/>
    <w:rsid w:val="62F31C3F"/>
    <w:rsid w:val="62F40B65"/>
    <w:rsid w:val="62F6339C"/>
    <w:rsid w:val="62FC2CFE"/>
    <w:rsid w:val="63024505"/>
    <w:rsid w:val="630737FB"/>
    <w:rsid w:val="632C3B52"/>
    <w:rsid w:val="63302D52"/>
    <w:rsid w:val="633E7AEB"/>
    <w:rsid w:val="633F11E7"/>
    <w:rsid w:val="63454B2F"/>
    <w:rsid w:val="635600A5"/>
    <w:rsid w:val="635B1DB5"/>
    <w:rsid w:val="63711FED"/>
    <w:rsid w:val="63772BDE"/>
    <w:rsid w:val="63846BFA"/>
    <w:rsid w:val="63880DDC"/>
    <w:rsid w:val="63892462"/>
    <w:rsid w:val="638D750D"/>
    <w:rsid w:val="63AC6CC0"/>
    <w:rsid w:val="63B07EEF"/>
    <w:rsid w:val="63DC07E4"/>
    <w:rsid w:val="63E34D49"/>
    <w:rsid w:val="63F44234"/>
    <w:rsid w:val="63F44780"/>
    <w:rsid w:val="64055776"/>
    <w:rsid w:val="640F0FF9"/>
    <w:rsid w:val="64240056"/>
    <w:rsid w:val="64362A83"/>
    <w:rsid w:val="64365D05"/>
    <w:rsid w:val="643B1604"/>
    <w:rsid w:val="643E143A"/>
    <w:rsid w:val="644545DB"/>
    <w:rsid w:val="64491666"/>
    <w:rsid w:val="64537D6D"/>
    <w:rsid w:val="648B6EEF"/>
    <w:rsid w:val="64973826"/>
    <w:rsid w:val="64984234"/>
    <w:rsid w:val="649B41FB"/>
    <w:rsid w:val="64A44C91"/>
    <w:rsid w:val="64B647CB"/>
    <w:rsid w:val="64C158BF"/>
    <w:rsid w:val="64C813E1"/>
    <w:rsid w:val="64CE2EAA"/>
    <w:rsid w:val="64E35BA2"/>
    <w:rsid w:val="64E831B8"/>
    <w:rsid w:val="64F63B27"/>
    <w:rsid w:val="650A74A9"/>
    <w:rsid w:val="65294F03"/>
    <w:rsid w:val="653C3090"/>
    <w:rsid w:val="653D3504"/>
    <w:rsid w:val="65405401"/>
    <w:rsid w:val="655B2F90"/>
    <w:rsid w:val="655F0EAE"/>
    <w:rsid w:val="65644F35"/>
    <w:rsid w:val="65716E00"/>
    <w:rsid w:val="657809E0"/>
    <w:rsid w:val="65853702"/>
    <w:rsid w:val="65854376"/>
    <w:rsid w:val="658630FD"/>
    <w:rsid w:val="658767BE"/>
    <w:rsid w:val="658820E9"/>
    <w:rsid w:val="65892531"/>
    <w:rsid w:val="658F0D89"/>
    <w:rsid w:val="65AE4402"/>
    <w:rsid w:val="65CA0FDF"/>
    <w:rsid w:val="66195831"/>
    <w:rsid w:val="661B0E4D"/>
    <w:rsid w:val="662D5327"/>
    <w:rsid w:val="662E75B1"/>
    <w:rsid w:val="663012BB"/>
    <w:rsid w:val="663029BF"/>
    <w:rsid w:val="66342C2E"/>
    <w:rsid w:val="663E784C"/>
    <w:rsid w:val="665054B9"/>
    <w:rsid w:val="66535911"/>
    <w:rsid w:val="66560D21"/>
    <w:rsid w:val="66562503"/>
    <w:rsid w:val="665714FC"/>
    <w:rsid w:val="66805D9E"/>
    <w:rsid w:val="66862C89"/>
    <w:rsid w:val="668B6A45"/>
    <w:rsid w:val="66BA1100"/>
    <w:rsid w:val="66C51A03"/>
    <w:rsid w:val="66DB4D83"/>
    <w:rsid w:val="67076699"/>
    <w:rsid w:val="6727446C"/>
    <w:rsid w:val="67283D40"/>
    <w:rsid w:val="672F3F24"/>
    <w:rsid w:val="673E055F"/>
    <w:rsid w:val="6751439C"/>
    <w:rsid w:val="67551CE3"/>
    <w:rsid w:val="67584625"/>
    <w:rsid w:val="678554B6"/>
    <w:rsid w:val="6796339F"/>
    <w:rsid w:val="67A22552"/>
    <w:rsid w:val="67B22DCC"/>
    <w:rsid w:val="67BE71AA"/>
    <w:rsid w:val="67D90273"/>
    <w:rsid w:val="67DE5875"/>
    <w:rsid w:val="67E55852"/>
    <w:rsid w:val="67EA7CCE"/>
    <w:rsid w:val="67EB1AB4"/>
    <w:rsid w:val="67FA1285"/>
    <w:rsid w:val="68376577"/>
    <w:rsid w:val="684E345F"/>
    <w:rsid w:val="68551F4F"/>
    <w:rsid w:val="6864524C"/>
    <w:rsid w:val="68727968"/>
    <w:rsid w:val="687C07E7"/>
    <w:rsid w:val="687C10C9"/>
    <w:rsid w:val="68840C16"/>
    <w:rsid w:val="68866387"/>
    <w:rsid w:val="68876EFB"/>
    <w:rsid w:val="68884654"/>
    <w:rsid w:val="688C5948"/>
    <w:rsid w:val="689F444F"/>
    <w:rsid w:val="68B43ADD"/>
    <w:rsid w:val="68B82181"/>
    <w:rsid w:val="68B946CD"/>
    <w:rsid w:val="68B96DBB"/>
    <w:rsid w:val="68CA2805"/>
    <w:rsid w:val="68D0468F"/>
    <w:rsid w:val="68D27724"/>
    <w:rsid w:val="68DC4336"/>
    <w:rsid w:val="68E27DB9"/>
    <w:rsid w:val="68E4478A"/>
    <w:rsid w:val="68E937A3"/>
    <w:rsid w:val="68EC1B68"/>
    <w:rsid w:val="68FC1897"/>
    <w:rsid w:val="69132EFA"/>
    <w:rsid w:val="692A0C26"/>
    <w:rsid w:val="692B0A88"/>
    <w:rsid w:val="692F13B6"/>
    <w:rsid w:val="693E15D3"/>
    <w:rsid w:val="69407A67"/>
    <w:rsid w:val="69482477"/>
    <w:rsid w:val="694C1F68"/>
    <w:rsid w:val="69561038"/>
    <w:rsid w:val="695B6585"/>
    <w:rsid w:val="69627681"/>
    <w:rsid w:val="6977531D"/>
    <w:rsid w:val="69990490"/>
    <w:rsid w:val="69B32650"/>
    <w:rsid w:val="69CC2BFF"/>
    <w:rsid w:val="69F30635"/>
    <w:rsid w:val="69FD55B8"/>
    <w:rsid w:val="6A0B1C62"/>
    <w:rsid w:val="6A2406C8"/>
    <w:rsid w:val="6A440E91"/>
    <w:rsid w:val="6A445335"/>
    <w:rsid w:val="6A4F3F74"/>
    <w:rsid w:val="6A501E71"/>
    <w:rsid w:val="6A5C6E99"/>
    <w:rsid w:val="6A8224FD"/>
    <w:rsid w:val="6A881AD2"/>
    <w:rsid w:val="6A8D2838"/>
    <w:rsid w:val="6AA43E1A"/>
    <w:rsid w:val="6AA656A7"/>
    <w:rsid w:val="6AAB0F10"/>
    <w:rsid w:val="6AB50B02"/>
    <w:rsid w:val="6ADE0BD1"/>
    <w:rsid w:val="6AE15E54"/>
    <w:rsid w:val="6AE336EF"/>
    <w:rsid w:val="6AE96859"/>
    <w:rsid w:val="6AED1528"/>
    <w:rsid w:val="6AFB0AEC"/>
    <w:rsid w:val="6B053823"/>
    <w:rsid w:val="6B0B1856"/>
    <w:rsid w:val="6B0E7E91"/>
    <w:rsid w:val="6B147746"/>
    <w:rsid w:val="6B24787C"/>
    <w:rsid w:val="6B486645"/>
    <w:rsid w:val="6B573233"/>
    <w:rsid w:val="6B5B6274"/>
    <w:rsid w:val="6B847F5E"/>
    <w:rsid w:val="6B935D53"/>
    <w:rsid w:val="6C196F71"/>
    <w:rsid w:val="6C1A56A3"/>
    <w:rsid w:val="6C226FCB"/>
    <w:rsid w:val="6C2B5723"/>
    <w:rsid w:val="6C2F0215"/>
    <w:rsid w:val="6C31226F"/>
    <w:rsid w:val="6C552F0B"/>
    <w:rsid w:val="6C677FCB"/>
    <w:rsid w:val="6C700663"/>
    <w:rsid w:val="6C7843B5"/>
    <w:rsid w:val="6C7D1436"/>
    <w:rsid w:val="6C8B0FF9"/>
    <w:rsid w:val="6C8C67B7"/>
    <w:rsid w:val="6C937EAD"/>
    <w:rsid w:val="6C9D744C"/>
    <w:rsid w:val="6CAA005C"/>
    <w:rsid w:val="6CB93DB8"/>
    <w:rsid w:val="6CBD5B5E"/>
    <w:rsid w:val="6CC71F8E"/>
    <w:rsid w:val="6D16656B"/>
    <w:rsid w:val="6D167928"/>
    <w:rsid w:val="6D1A237D"/>
    <w:rsid w:val="6D26299B"/>
    <w:rsid w:val="6D4772EC"/>
    <w:rsid w:val="6D48513C"/>
    <w:rsid w:val="6D8228B3"/>
    <w:rsid w:val="6D9078AF"/>
    <w:rsid w:val="6DA00AD4"/>
    <w:rsid w:val="6DA0348B"/>
    <w:rsid w:val="6DAA3FEF"/>
    <w:rsid w:val="6DB12CE1"/>
    <w:rsid w:val="6DBD3434"/>
    <w:rsid w:val="6DC0172B"/>
    <w:rsid w:val="6DCB690C"/>
    <w:rsid w:val="6DD15131"/>
    <w:rsid w:val="6DD41A5B"/>
    <w:rsid w:val="6DF43C2E"/>
    <w:rsid w:val="6DF50F7D"/>
    <w:rsid w:val="6DF51CA3"/>
    <w:rsid w:val="6E1119D2"/>
    <w:rsid w:val="6E11552E"/>
    <w:rsid w:val="6E182D60"/>
    <w:rsid w:val="6E1E5318"/>
    <w:rsid w:val="6E243EAA"/>
    <w:rsid w:val="6E8335BD"/>
    <w:rsid w:val="6E8E12EF"/>
    <w:rsid w:val="6E972936"/>
    <w:rsid w:val="6EAB3BD4"/>
    <w:rsid w:val="6EB40202"/>
    <w:rsid w:val="6EB70AEA"/>
    <w:rsid w:val="6EC30F1E"/>
    <w:rsid w:val="6ED446C5"/>
    <w:rsid w:val="6EFA06B8"/>
    <w:rsid w:val="6F130D38"/>
    <w:rsid w:val="6F2A7D94"/>
    <w:rsid w:val="6F8331F1"/>
    <w:rsid w:val="6F8A0D9E"/>
    <w:rsid w:val="6FA67EF8"/>
    <w:rsid w:val="6FAE1A09"/>
    <w:rsid w:val="6FAF3250"/>
    <w:rsid w:val="6FD75BF8"/>
    <w:rsid w:val="6FD76303"/>
    <w:rsid w:val="6FF922DA"/>
    <w:rsid w:val="70052546"/>
    <w:rsid w:val="700659F8"/>
    <w:rsid w:val="700C06A3"/>
    <w:rsid w:val="700D583A"/>
    <w:rsid w:val="70297111"/>
    <w:rsid w:val="702C2AF3"/>
    <w:rsid w:val="704020FA"/>
    <w:rsid w:val="70671D7D"/>
    <w:rsid w:val="70741DA4"/>
    <w:rsid w:val="707723D0"/>
    <w:rsid w:val="707D1F53"/>
    <w:rsid w:val="708F2CC4"/>
    <w:rsid w:val="70961D03"/>
    <w:rsid w:val="70B054D2"/>
    <w:rsid w:val="70E60EF4"/>
    <w:rsid w:val="70F133F4"/>
    <w:rsid w:val="70F5661B"/>
    <w:rsid w:val="70FE283F"/>
    <w:rsid w:val="71031AA6"/>
    <w:rsid w:val="71033854"/>
    <w:rsid w:val="71125845"/>
    <w:rsid w:val="71357CB6"/>
    <w:rsid w:val="71360107"/>
    <w:rsid w:val="713B688E"/>
    <w:rsid w:val="71456569"/>
    <w:rsid w:val="714A4C8C"/>
    <w:rsid w:val="714B0200"/>
    <w:rsid w:val="714E061E"/>
    <w:rsid w:val="71610A36"/>
    <w:rsid w:val="716342F2"/>
    <w:rsid w:val="718F3EC8"/>
    <w:rsid w:val="71A6677C"/>
    <w:rsid w:val="71AF1970"/>
    <w:rsid w:val="71D43752"/>
    <w:rsid w:val="71F1796A"/>
    <w:rsid w:val="71FA6539"/>
    <w:rsid w:val="72134A59"/>
    <w:rsid w:val="72154626"/>
    <w:rsid w:val="72262B5D"/>
    <w:rsid w:val="72283FF7"/>
    <w:rsid w:val="722E7212"/>
    <w:rsid w:val="7232489D"/>
    <w:rsid w:val="723A0474"/>
    <w:rsid w:val="723F5896"/>
    <w:rsid w:val="72577AFD"/>
    <w:rsid w:val="725923E4"/>
    <w:rsid w:val="72611747"/>
    <w:rsid w:val="7262796D"/>
    <w:rsid w:val="727918F3"/>
    <w:rsid w:val="728531A8"/>
    <w:rsid w:val="72864BF7"/>
    <w:rsid w:val="728F1117"/>
    <w:rsid w:val="729023FC"/>
    <w:rsid w:val="72A2709C"/>
    <w:rsid w:val="72AB139A"/>
    <w:rsid w:val="733C304D"/>
    <w:rsid w:val="734A4C49"/>
    <w:rsid w:val="735A1831"/>
    <w:rsid w:val="73773186"/>
    <w:rsid w:val="73BF36C6"/>
    <w:rsid w:val="73C0646E"/>
    <w:rsid w:val="73CB43D1"/>
    <w:rsid w:val="73D9089C"/>
    <w:rsid w:val="73D96AEE"/>
    <w:rsid w:val="73DD70C9"/>
    <w:rsid w:val="742222F5"/>
    <w:rsid w:val="74476126"/>
    <w:rsid w:val="74513E69"/>
    <w:rsid w:val="746C7962"/>
    <w:rsid w:val="74706664"/>
    <w:rsid w:val="747D56CB"/>
    <w:rsid w:val="747F3682"/>
    <w:rsid w:val="74930F19"/>
    <w:rsid w:val="749C4185"/>
    <w:rsid w:val="74AF48D2"/>
    <w:rsid w:val="74BB61F3"/>
    <w:rsid w:val="74D96457"/>
    <w:rsid w:val="74ED5B50"/>
    <w:rsid w:val="75067759"/>
    <w:rsid w:val="750904FE"/>
    <w:rsid w:val="752E6DCD"/>
    <w:rsid w:val="754D68B1"/>
    <w:rsid w:val="7551380D"/>
    <w:rsid w:val="75600BE5"/>
    <w:rsid w:val="7564475C"/>
    <w:rsid w:val="75645430"/>
    <w:rsid w:val="75736ACE"/>
    <w:rsid w:val="757E2C26"/>
    <w:rsid w:val="757F36C5"/>
    <w:rsid w:val="7583797F"/>
    <w:rsid w:val="75917B29"/>
    <w:rsid w:val="759A405B"/>
    <w:rsid w:val="75B07D22"/>
    <w:rsid w:val="75B74C0D"/>
    <w:rsid w:val="75C01326"/>
    <w:rsid w:val="75CC1203"/>
    <w:rsid w:val="75D20F1D"/>
    <w:rsid w:val="75DA2C18"/>
    <w:rsid w:val="75DA6B4D"/>
    <w:rsid w:val="75DD4A5B"/>
    <w:rsid w:val="75ED6880"/>
    <w:rsid w:val="75F54412"/>
    <w:rsid w:val="760A3A78"/>
    <w:rsid w:val="761D08E0"/>
    <w:rsid w:val="765D347C"/>
    <w:rsid w:val="76607052"/>
    <w:rsid w:val="766755D0"/>
    <w:rsid w:val="76826699"/>
    <w:rsid w:val="76A870A5"/>
    <w:rsid w:val="76C53B1E"/>
    <w:rsid w:val="76C87133"/>
    <w:rsid w:val="76CD08D5"/>
    <w:rsid w:val="76CF5F86"/>
    <w:rsid w:val="76D161A2"/>
    <w:rsid w:val="76DB4B92"/>
    <w:rsid w:val="77052AA4"/>
    <w:rsid w:val="77136511"/>
    <w:rsid w:val="77143A5D"/>
    <w:rsid w:val="77170059"/>
    <w:rsid w:val="77340A39"/>
    <w:rsid w:val="77351FD0"/>
    <w:rsid w:val="77472422"/>
    <w:rsid w:val="774C5829"/>
    <w:rsid w:val="774F0B38"/>
    <w:rsid w:val="77564CF6"/>
    <w:rsid w:val="77784870"/>
    <w:rsid w:val="777F31F2"/>
    <w:rsid w:val="77B2760C"/>
    <w:rsid w:val="77B75398"/>
    <w:rsid w:val="77BF0168"/>
    <w:rsid w:val="77C163F0"/>
    <w:rsid w:val="77CC7F28"/>
    <w:rsid w:val="77CD629B"/>
    <w:rsid w:val="77D1700D"/>
    <w:rsid w:val="77E06BB1"/>
    <w:rsid w:val="77E44E04"/>
    <w:rsid w:val="77E74418"/>
    <w:rsid w:val="77EC04CC"/>
    <w:rsid w:val="78075902"/>
    <w:rsid w:val="780C2EA6"/>
    <w:rsid w:val="780E4529"/>
    <w:rsid w:val="7831514A"/>
    <w:rsid w:val="78450BF6"/>
    <w:rsid w:val="7866354D"/>
    <w:rsid w:val="786B1CDE"/>
    <w:rsid w:val="78775729"/>
    <w:rsid w:val="787943FB"/>
    <w:rsid w:val="788D60F9"/>
    <w:rsid w:val="78A42DB0"/>
    <w:rsid w:val="78A656AB"/>
    <w:rsid w:val="78B2245C"/>
    <w:rsid w:val="78B81351"/>
    <w:rsid w:val="78C80EDF"/>
    <w:rsid w:val="78E172CC"/>
    <w:rsid w:val="78E315A2"/>
    <w:rsid w:val="78EA1D1F"/>
    <w:rsid w:val="7904172F"/>
    <w:rsid w:val="790C1713"/>
    <w:rsid w:val="790F7E27"/>
    <w:rsid w:val="79265C73"/>
    <w:rsid w:val="792A231A"/>
    <w:rsid w:val="79316829"/>
    <w:rsid w:val="7956298E"/>
    <w:rsid w:val="796C1A43"/>
    <w:rsid w:val="797D52E3"/>
    <w:rsid w:val="797E66A9"/>
    <w:rsid w:val="798518A4"/>
    <w:rsid w:val="7993773F"/>
    <w:rsid w:val="79A034AD"/>
    <w:rsid w:val="79A13C0A"/>
    <w:rsid w:val="79A25BD4"/>
    <w:rsid w:val="79A77132"/>
    <w:rsid w:val="79A97383"/>
    <w:rsid w:val="79B74B08"/>
    <w:rsid w:val="79E27E8B"/>
    <w:rsid w:val="79E47F9A"/>
    <w:rsid w:val="79ED50A1"/>
    <w:rsid w:val="79F850CE"/>
    <w:rsid w:val="79FD443C"/>
    <w:rsid w:val="7A1D1975"/>
    <w:rsid w:val="7A2126FE"/>
    <w:rsid w:val="7A3E5150"/>
    <w:rsid w:val="7A4670D6"/>
    <w:rsid w:val="7A490096"/>
    <w:rsid w:val="7A534B63"/>
    <w:rsid w:val="7A615382"/>
    <w:rsid w:val="7A6651A1"/>
    <w:rsid w:val="7A67303B"/>
    <w:rsid w:val="7A707A80"/>
    <w:rsid w:val="7A7E5845"/>
    <w:rsid w:val="7A990D85"/>
    <w:rsid w:val="7AAB1D04"/>
    <w:rsid w:val="7AB23C8F"/>
    <w:rsid w:val="7ABA4368"/>
    <w:rsid w:val="7AC04563"/>
    <w:rsid w:val="7AC57DCC"/>
    <w:rsid w:val="7AD05746"/>
    <w:rsid w:val="7AD93877"/>
    <w:rsid w:val="7AEF4F54"/>
    <w:rsid w:val="7B072192"/>
    <w:rsid w:val="7B0B0CDB"/>
    <w:rsid w:val="7B152B01"/>
    <w:rsid w:val="7B257FFD"/>
    <w:rsid w:val="7B32182A"/>
    <w:rsid w:val="7B343476"/>
    <w:rsid w:val="7B5A2978"/>
    <w:rsid w:val="7B5A7E4C"/>
    <w:rsid w:val="7B667AF9"/>
    <w:rsid w:val="7B7468F8"/>
    <w:rsid w:val="7B954A8C"/>
    <w:rsid w:val="7BAD3D31"/>
    <w:rsid w:val="7BEE0103"/>
    <w:rsid w:val="7C0A0FE4"/>
    <w:rsid w:val="7C1427AB"/>
    <w:rsid w:val="7C254906"/>
    <w:rsid w:val="7C2720BC"/>
    <w:rsid w:val="7C280612"/>
    <w:rsid w:val="7C362E56"/>
    <w:rsid w:val="7C37059C"/>
    <w:rsid w:val="7C455B73"/>
    <w:rsid w:val="7C590818"/>
    <w:rsid w:val="7C7C10F6"/>
    <w:rsid w:val="7C853BEA"/>
    <w:rsid w:val="7C881368"/>
    <w:rsid w:val="7C8820A3"/>
    <w:rsid w:val="7C8E31B6"/>
    <w:rsid w:val="7C954AD2"/>
    <w:rsid w:val="7C972F41"/>
    <w:rsid w:val="7C99506C"/>
    <w:rsid w:val="7CA57EB5"/>
    <w:rsid w:val="7CA67789"/>
    <w:rsid w:val="7CDC13FD"/>
    <w:rsid w:val="7CE27788"/>
    <w:rsid w:val="7CFA4669"/>
    <w:rsid w:val="7D080444"/>
    <w:rsid w:val="7D0C32F1"/>
    <w:rsid w:val="7D0F408D"/>
    <w:rsid w:val="7D126BCC"/>
    <w:rsid w:val="7D276B1C"/>
    <w:rsid w:val="7D42543C"/>
    <w:rsid w:val="7D456FA2"/>
    <w:rsid w:val="7D470F6C"/>
    <w:rsid w:val="7D491C6C"/>
    <w:rsid w:val="7D512C06"/>
    <w:rsid w:val="7D5429C0"/>
    <w:rsid w:val="7D6E6D43"/>
    <w:rsid w:val="7D8D09BB"/>
    <w:rsid w:val="7D974B56"/>
    <w:rsid w:val="7D9A6CF6"/>
    <w:rsid w:val="7DB57A34"/>
    <w:rsid w:val="7DBC2663"/>
    <w:rsid w:val="7DE60973"/>
    <w:rsid w:val="7DE65520"/>
    <w:rsid w:val="7DE80ECF"/>
    <w:rsid w:val="7DEF0916"/>
    <w:rsid w:val="7DF7793E"/>
    <w:rsid w:val="7E105802"/>
    <w:rsid w:val="7E1E5218"/>
    <w:rsid w:val="7E2C27CE"/>
    <w:rsid w:val="7E400BDC"/>
    <w:rsid w:val="7E437985"/>
    <w:rsid w:val="7E4C41F6"/>
    <w:rsid w:val="7E5E46CC"/>
    <w:rsid w:val="7E7C0680"/>
    <w:rsid w:val="7E8B2AD2"/>
    <w:rsid w:val="7E906943"/>
    <w:rsid w:val="7E916B3D"/>
    <w:rsid w:val="7E9A4E1F"/>
    <w:rsid w:val="7EA7723A"/>
    <w:rsid w:val="7EC34F75"/>
    <w:rsid w:val="7ECC39DB"/>
    <w:rsid w:val="7ECF1219"/>
    <w:rsid w:val="7ED44A81"/>
    <w:rsid w:val="7ED755DB"/>
    <w:rsid w:val="7EE03426"/>
    <w:rsid w:val="7EEA2CAD"/>
    <w:rsid w:val="7EF56FBB"/>
    <w:rsid w:val="7F0768EB"/>
    <w:rsid w:val="7F143BEC"/>
    <w:rsid w:val="7F3215D4"/>
    <w:rsid w:val="7F3966A3"/>
    <w:rsid w:val="7F531E4A"/>
    <w:rsid w:val="7F6477A9"/>
    <w:rsid w:val="7F656813"/>
    <w:rsid w:val="7F715AF2"/>
    <w:rsid w:val="7F751BB7"/>
    <w:rsid w:val="7F886E69"/>
    <w:rsid w:val="7F897F47"/>
    <w:rsid w:val="7FA93818"/>
    <w:rsid w:val="7FBB1BD1"/>
    <w:rsid w:val="7FE2068F"/>
    <w:rsid w:val="7FF60A27"/>
    <w:rsid w:val="7FF8654D"/>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3"/>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7"/>
    <w:autoRedefine/>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3"/>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22"/>
    <w:autoRedefine/>
    <w:qFormat/>
    <w:uiPriority w:val="0"/>
    <w:pPr>
      <w:adjustRightInd/>
      <w:spacing w:after="120" w:line="240" w:lineRule="auto"/>
      <w:ind w:left="420" w:leftChars="200" w:firstLine="210"/>
    </w:pPr>
    <w:rPr>
      <w:sz w:val="21"/>
    </w:rPr>
  </w:style>
  <w:style w:type="paragraph" w:styleId="3">
    <w:name w:val="Body Text Indent"/>
    <w:basedOn w:val="1"/>
    <w:link w:val="265"/>
    <w:autoRedefine/>
    <w:qFormat/>
    <w:uiPriority w:val="0"/>
    <w:pPr>
      <w:spacing w:line="480" w:lineRule="exact"/>
      <w:ind w:firstLine="480" w:firstLineChars="200"/>
    </w:pPr>
    <w:rPr>
      <w:rFonts w:ascii="宋体" w:hAnsi="宋体"/>
      <w:sz w:val="24"/>
    </w:rPr>
  </w:style>
  <w:style w:type="paragraph" w:styleId="7">
    <w:name w:val="Normal Indent"/>
    <w:basedOn w:val="1"/>
    <w:next w:val="1"/>
    <w:link w:val="194"/>
    <w:autoRedefine/>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30"/>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3"/>
    <w:autoRedefine/>
    <w:qFormat/>
    <w:uiPriority w:val="0"/>
    <w:pPr>
      <w:shd w:val="clear" w:color="auto" w:fill="000080"/>
    </w:pPr>
  </w:style>
  <w:style w:type="paragraph" w:styleId="21">
    <w:name w:val="annotation text"/>
    <w:basedOn w:val="1"/>
    <w:link w:val="344"/>
    <w:autoRedefine/>
    <w:qFormat/>
    <w:uiPriority w:val="99"/>
    <w:pPr>
      <w:jc w:val="left"/>
    </w:pPr>
  </w:style>
  <w:style w:type="paragraph" w:styleId="22">
    <w:name w:val="Salutation"/>
    <w:basedOn w:val="1"/>
    <w:next w:val="1"/>
    <w:link w:val="298"/>
    <w:autoRedefine/>
    <w:qFormat/>
    <w:uiPriority w:val="0"/>
    <w:rPr>
      <w:rFonts w:ascii="仿宋_GB2312" w:eastAsia="仿宋_GB2312"/>
      <w:sz w:val="28"/>
      <w:szCs w:val="20"/>
    </w:rPr>
  </w:style>
  <w:style w:type="paragraph" w:styleId="23">
    <w:name w:val="Body Text 3"/>
    <w:basedOn w:val="1"/>
    <w:link w:val="330"/>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link w:val="430"/>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0"/>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6"/>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2"/>
    <w:autoRedefine/>
    <w:qFormat/>
    <w:uiPriority w:val="0"/>
    <w:pPr>
      <w:ind w:left="100" w:leftChars="2500"/>
    </w:pPr>
    <w:rPr>
      <w:rFonts w:ascii="宋体"/>
      <w:sz w:val="24"/>
      <w:szCs w:val="21"/>
      <w:lang w:val="zh-CN"/>
    </w:rPr>
  </w:style>
  <w:style w:type="paragraph" w:styleId="37">
    <w:name w:val="Body Text Indent 2"/>
    <w:basedOn w:val="1"/>
    <w:link w:val="308"/>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29"/>
    <w:autoRedefine/>
    <w:qFormat/>
    <w:uiPriority w:val="0"/>
    <w:rPr>
      <w:lang w:val="zh-CN"/>
    </w:rPr>
  </w:style>
  <w:style w:type="paragraph" w:styleId="39">
    <w:name w:val="Balloon Text"/>
    <w:basedOn w:val="1"/>
    <w:link w:val="189"/>
    <w:autoRedefine/>
    <w:qFormat/>
    <w:uiPriority w:val="0"/>
    <w:rPr>
      <w:sz w:val="18"/>
      <w:szCs w:val="18"/>
    </w:rPr>
  </w:style>
  <w:style w:type="paragraph" w:styleId="40">
    <w:name w:val="footer"/>
    <w:basedOn w:val="1"/>
    <w:link w:val="383"/>
    <w:autoRedefine/>
    <w:qFormat/>
    <w:uiPriority w:val="99"/>
    <w:pPr>
      <w:tabs>
        <w:tab w:val="center" w:pos="4153"/>
        <w:tab w:val="right" w:pos="8306"/>
      </w:tabs>
      <w:snapToGrid w:val="0"/>
      <w:jc w:val="left"/>
    </w:pPr>
    <w:rPr>
      <w:sz w:val="18"/>
      <w:szCs w:val="18"/>
    </w:rPr>
  </w:style>
  <w:style w:type="paragraph" w:styleId="41">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next w:val="1"/>
    <w:link w:val="134"/>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7"/>
    <w:link w:val="310"/>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5"/>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2"/>
    <w:autoRedefine/>
    <w:qFormat/>
    <w:uiPriority w:val="0"/>
    <w:pPr>
      <w:spacing w:after="120" w:line="480" w:lineRule="auto"/>
    </w:pPr>
  </w:style>
  <w:style w:type="paragraph" w:styleId="57">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7"/>
    <w:autoRedefine/>
    <w:qFormat/>
    <w:uiPriority w:val="0"/>
    <w:rPr>
      <w:b/>
      <w:bCs/>
    </w:rPr>
  </w:style>
  <w:style w:type="paragraph" w:styleId="61">
    <w:name w:val="Body Text First Indent"/>
    <w:basedOn w:val="1"/>
    <w:link w:val="321"/>
    <w:autoRedefine/>
    <w:qFormat/>
    <w:uiPriority w:val="0"/>
    <w:pPr>
      <w:ind w:firstLine="420"/>
    </w:pPr>
    <w:rPr>
      <w:rFonts w:hAnsi="Calibri"/>
      <w:szCs w:val="20"/>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样式3"/>
    <w:basedOn w:val="33"/>
    <w:autoRedefine/>
    <w:qFormat/>
    <w:uiPriority w:val="0"/>
    <w:pPr>
      <w:tabs>
        <w:tab w:val="left" w:pos="2790"/>
        <w:tab w:val="left" w:pos="4230"/>
      </w:tabs>
      <w:spacing w:before="312" w:beforeLines="100"/>
      <w:jc w:val="left"/>
    </w:pPr>
  </w:style>
  <w:style w:type="paragraph" w:customStyle="1" w:styleId="8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1">
    <w:name w:val="_Style 3"/>
    <w:basedOn w:val="1"/>
    <w:autoRedefine/>
    <w:qFormat/>
    <w:uiPriority w:val="0"/>
    <w:pPr>
      <w:adjustRightInd/>
      <w:ind w:firstLine="420" w:firstLineChars="200"/>
    </w:pPr>
    <w:rPr>
      <w:rFonts w:eastAsia="仿宋_GB2312"/>
      <w:sz w:val="28"/>
    </w:rPr>
  </w:style>
  <w:style w:type="paragraph" w:styleId="82">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83">
    <w:name w:val="表格非标题文字 Char"/>
    <w:link w:val="84"/>
    <w:autoRedefine/>
    <w:qFormat/>
    <w:uiPriority w:val="0"/>
    <w:rPr>
      <w:rFonts w:ascii="Futura Bk" w:hAnsi="Futura Bk"/>
      <w:kern w:val="2"/>
      <w:sz w:val="18"/>
      <w:szCs w:val="21"/>
      <w:lang w:val="en-US" w:eastAsia="zh-CN" w:bidi="ar-SA"/>
    </w:rPr>
  </w:style>
  <w:style w:type="paragraph" w:customStyle="1" w:styleId="84">
    <w:name w:val="表格非标题文字"/>
    <w:link w:val="83"/>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autoRedefine/>
    <w:qFormat/>
    <w:locked/>
    <w:uiPriority w:val="0"/>
    <w:rPr>
      <w:rFonts w:ascii="宋体" w:hAnsi="宋体"/>
      <w:sz w:val="24"/>
    </w:rPr>
  </w:style>
  <w:style w:type="paragraph" w:customStyle="1" w:styleId="86">
    <w:name w:val="*正文"/>
    <w:basedOn w:val="1"/>
    <w:link w:val="85"/>
    <w:autoRedefine/>
    <w:qFormat/>
    <w:uiPriority w:val="0"/>
    <w:pPr>
      <w:snapToGrid w:val="0"/>
      <w:spacing w:line="360" w:lineRule="auto"/>
      <w:ind w:firstLine="482"/>
      <w:jc w:val="left"/>
    </w:pPr>
    <w:rPr>
      <w:rFonts w:ascii="宋体" w:hAnsi="宋体"/>
      <w:kern w:val="0"/>
      <w:sz w:val="24"/>
      <w:szCs w:val="20"/>
    </w:rPr>
  </w:style>
  <w:style w:type="character" w:customStyle="1" w:styleId="87">
    <w:name w:val="Char Char71"/>
    <w:autoRedefine/>
    <w:semiHidden/>
    <w:qFormat/>
    <w:uiPriority w:val="0"/>
    <w:rPr>
      <w:rFonts w:eastAsia="宋体"/>
      <w:kern w:val="2"/>
      <w:sz w:val="21"/>
      <w:szCs w:val="24"/>
      <w:lang w:val="en-US" w:eastAsia="zh-CN" w:bidi="ar-SA"/>
    </w:rPr>
  </w:style>
  <w:style w:type="character" w:customStyle="1" w:styleId="88">
    <w:name w:val="Char Char6"/>
    <w:autoRedefine/>
    <w:qFormat/>
    <w:uiPriority w:val="0"/>
    <w:rPr>
      <w:rFonts w:eastAsia="宋体"/>
      <w:kern w:val="2"/>
      <w:sz w:val="21"/>
      <w:szCs w:val="24"/>
      <w:lang w:val="en-US" w:eastAsia="zh-CN" w:bidi="ar-SA"/>
    </w:rPr>
  </w:style>
  <w:style w:type="character" w:customStyle="1" w:styleId="89">
    <w:name w:val="正文缩进 Char"/>
    <w:autoRedefine/>
    <w:qFormat/>
    <w:uiPriority w:val="0"/>
    <w:rPr>
      <w:rFonts w:eastAsia="宋体"/>
      <w:kern w:val="2"/>
      <w:sz w:val="21"/>
      <w:lang w:val="en-US" w:eastAsia="zh-CN"/>
    </w:rPr>
  </w:style>
  <w:style w:type="character" w:customStyle="1" w:styleId="90">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1">
    <w:name w:val="Char Char28"/>
    <w:autoRedefine/>
    <w:qFormat/>
    <w:uiPriority w:val="6"/>
    <w:rPr>
      <w:rFonts w:ascii="仿宋_GB2312" w:hAnsi="仿宋_GB2312" w:eastAsia="仿宋_GB2312"/>
      <w:kern w:val="1"/>
      <w:sz w:val="28"/>
    </w:rPr>
  </w:style>
  <w:style w:type="character" w:customStyle="1" w:styleId="9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autoRedefine/>
    <w:qFormat/>
    <w:uiPriority w:val="6"/>
    <w:rPr>
      <w:rFonts w:ascii="Times New Roman" w:hAnsi="Times New Roman" w:eastAsia="黑体" w:cs="Times New Roman"/>
      <w:b/>
      <w:kern w:val="0"/>
      <w:sz w:val="24"/>
      <w:szCs w:val="24"/>
    </w:rPr>
  </w:style>
  <w:style w:type="character" w:customStyle="1" w:styleId="94">
    <w:name w:val="U_正文 Char"/>
    <w:link w:val="95"/>
    <w:autoRedefine/>
    <w:qFormat/>
    <w:uiPriority w:val="0"/>
    <w:rPr>
      <w:sz w:val="24"/>
      <w:szCs w:val="24"/>
    </w:rPr>
  </w:style>
  <w:style w:type="paragraph" w:customStyle="1" w:styleId="95">
    <w:name w:val="U_正文"/>
    <w:basedOn w:val="1"/>
    <w:link w:val="94"/>
    <w:autoRedefine/>
    <w:qFormat/>
    <w:uiPriority w:val="0"/>
    <w:pPr>
      <w:adjustRightInd/>
      <w:spacing w:beforeLines="20" w:afterLines="20" w:line="300" w:lineRule="auto"/>
      <w:ind w:firstLine="200" w:firstLineChars="200"/>
    </w:pPr>
    <w:rPr>
      <w:kern w:val="0"/>
      <w:sz w:val="24"/>
    </w:rPr>
  </w:style>
  <w:style w:type="character" w:customStyle="1" w:styleId="96">
    <w:name w:val="HTML 地址 Char1"/>
    <w:autoRedefine/>
    <w:qFormat/>
    <w:uiPriority w:val="0"/>
    <w:rPr>
      <w:rFonts w:ascii="Times New Roman" w:hAnsi="Times New Roman" w:eastAsia="宋体" w:cs="Times New Roman"/>
      <w:i/>
      <w:iCs/>
      <w:szCs w:val="24"/>
    </w:rPr>
  </w:style>
  <w:style w:type="character" w:customStyle="1" w:styleId="97">
    <w:name w:val="批注主题 字符"/>
    <w:link w:val="60"/>
    <w:autoRedefine/>
    <w:qFormat/>
    <w:uiPriority w:val="0"/>
    <w:rPr>
      <w:b/>
      <w:bCs/>
      <w:kern w:val="2"/>
      <w:sz w:val="21"/>
      <w:szCs w:val="24"/>
    </w:rPr>
  </w:style>
  <w:style w:type="character" w:customStyle="1" w:styleId="98">
    <w:name w:val="Char Char51"/>
    <w:autoRedefine/>
    <w:qFormat/>
    <w:uiPriority w:val="0"/>
    <w:rPr>
      <w:rFonts w:ascii="宋体" w:hAnsi="Courier New" w:eastAsia="宋体"/>
      <w:kern w:val="2"/>
      <w:sz w:val="21"/>
      <w:lang w:val="en-US" w:eastAsia="zh-CN"/>
    </w:rPr>
  </w:style>
  <w:style w:type="character" w:customStyle="1" w:styleId="99">
    <w:name w:val="表正文 Char"/>
    <w:autoRedefine/>
    <w:qFormat/>
    <w:uiPriority w:val="0"/>
    <w:rPr>
      <w:rFonts w:ascii="宋体" w:eastAsia="宋体"/>
      <w:snapToGrid w:val="0"/>
      <w:color w:val="000000"/>
      <w:kern w:val="28"/>
      <w:sz w:val="28"/>
      <w:lang w:val="en-US" w:eastAsia="zh-CN" w:bidi="ar-SA"/>
    </w:rPr>
  </w:style>
  <w:style w:type="character" w:customStyle="1" w:styleId="100">
    <w:name w:val="Char Char34"/>
    <w:autoRedefine/>
    <w:qFormat/>
    <w:uiPriority w:val="6"/>
    <w:rPr>
      <w:b/>
      <w:kern w:val="1"/>
      <w:sz w:val="28"/>
      <w:szCs w:val="28"/>
    </w:rPr>
  </w:style>
  <w:style w:type="character" w:customStyle="1" w:styleId="101">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autoRedefine/>
    <w:qFormat/>
    <w:uiPriority w:val="0"/>
    <w:rPr>
      <w:rFonts w:ascii="宋体" w:hAnsi="宋体" w:eastAsia="宋体"/>
      <w:kern w:val="2"/>
      <w:sz w:val="24"/>
      <w:lang w:bidi="ar-SA"/>
    </w:rPr>
  </w:style>
  <w:style w:type="paragraph" w:customStyle="1" w:styleId="103">
    <w:name w:val="哈哈正文"/>
    <w:basedOn w:val="1"/>
    <w:link w:val="102"/>
    <w:autoRedefine/>
    <w:qFormat/>
    <w:uiPriority w:val="0"/>
    <w:pPr>
      <w:adjustRightInd/>
      <w:spacing w:line="360" w:lineRule="auto"/>
      <w:ind w:firstLine="200" w:firstLineChars="200"/>
    </w:pPr>
    <w:rPr>
      <w:rFonts w:ascii="宋体" w:hAnsi="宋体"/>
      <w:sz w:val="24"/>
      <w:szCs w:val="20"/>
    </w:rPr>
  </w:style>
  <w:style w:type="character" w:customStyle="1" w:styleId="104">
    <w:name w:val="未处理的提及1"/>
    <w:autoRedefine/>
    <w:qFormat/>
    <w:uiPriority w:val="0"/>
    <w:rPr>
      <w:color w:val="808080"/>
      <w:shd w:val="clear" w:color="auto" w:fill="E6E6E6"/>
    </w:rPr>
  </w:style>
  <w:style w:type="character" w:customStyle="1" w:styleId="105">
    <w:name w:val="txt"/>
    <w:autoRedefine/>
    <w:qFormat/>
    <w:uiPriority w:val="0"/>
    <w:rPr>
      <w:rFonts w:ascii="仿宋_GB2312" w:eastAsia="微软雅黑"/>
      <w:b/>
      <w:kern w:val="2"/>
      <w:sz w:val="32"/>
      <w:szCs w:val="32"/>
      <w:lang w:val="en-US" w:eastAsia="zh-CN" w:bidi="ar-SA"/>
    </w:rPr>
  </w:style>
  <w:style w:type="character" w:customStyle="1" w:styleId="10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7">
    <w:name w:val="Char Char32"/>
    <w:autoRedefine/>
    <w:qFormat/>
    <w:uiPriority w:val="6"/>
    <w:rPr>
      <w:b/>
      <w:kern w:val="1"/>
      <w:sz w:val="24"/>
      <w:szCs w:val="24"/>
    </w:rPr>
  </w:style>
  <w:style w:type="character" w:customStyle="1" w:styleId="108">
    <w:name w:val="PI Char1"/>
    <w:autoRedefine/>
    <w:qFormat/>
    <w:uiPriority w:val="0"/>
    <w:rPr>
      <w:rFonts w:ascii="宋体" w:hAnsi="宋体"/>
      <w:kern w:val="2"/>
      <w:sz w:val="24"/>
      <w:szCs w:val="24"/>
    </w:rPr>
  </w:style>
  <w:style w:type="character" w:customStyle="1" w:styleId="109">
    <w:name w:val="tw4winTerm"/>
    <w:autoRedefine/>
    <w:qFormat/>
    <w:uiPriority w:val="0"/>
    <w:rPr>
      <w:color w:val="0000FF"/>
    </w:rPr>
  </w:style>
  <w:style w:type="character" w:customStyle="1" w:styleId="110">
    <w:name w:val="Footer Char"/>
    <w:autoRedefine/>
    <w:qFormat/>
    <w:locked/>
    <w:uiPriority w:val="0"/>
    <w:rPr>
      <w:rFonts w:eastAsia="宋体"/>
      <w:kern w:val="2"/>
      <w:sz w:val="18"/>
      <w:lang w:val="en-US" w:eastAsia="zh-CN" w:bidi="ar-SA"/>
    </w:rPr>
  </w:style>
  <w:style w:type="character" w:customStyle="1" w:styleId="111">
    <w:name w:val="普通文字 Char Char1"/>
    <w:autoRedefine/>
    <w:qFormat/>
    <w:uiPriority w:val="0"/>
    <w:rPr>
      <w:rFonts w:ascii="宋体" w:hAnsi="Courier New"/>
      <w:kern w:val="2"/>
      <w:sz w:val="21"/>
    </w:rPr>
  </w:style>
  <w:style w:type="character" w:customStyle="1" w:styleId="112">
    <w:name w:val="Char Char101"/>
    <w:autoRedefine/>
    <w:qFormat/>
    <w:uiPriority w:val="6"/>
    <w:rPr>
      <w:rFonts w:ascii="宋体" w:hAnsi="宋体"/>
      <w:kern w:val="2"/>
      <w:sz w:val="21"/>
      <w:szCs w:val="24"/>
      <w:lang w:val="en-US" w:eastAsia="zh-CN"/>
    </w:rPr>
  </w:style>
  <w:style w:type="character" w:customStyle="1" w:styleId="113">
    <w:name w:val="标题 4 Char"/>
    <w:autoRedefine/>
    <w:qFormat/>
    <w:uiPriority w:val="0"/>
    <w:rPr>
      <w:rFonts w:ascii="Arial" w:hAnsi="Arial" w:eastAsia="黑体"/>
      <w:b/>
      <w:kern w:val="2"/>
      <w:sz w:val="28"/>
    </w:rPr>
  </w:style>
  <w:style w:type="character" w:customStyle="1" w:styleId="114">
    <w:name w:val="链接"/>
    <w:autoRedefine/>
    <w:qFormat/>
    <w:uiPriority w:val="0"/>
    <w:rPr>
      <w:color w:val="0000FF"/>
      <w:sz w:val="21"/>
      <w:szCs w:val="21"/>
      <w:u w:val="single"/>
    </w:rPr>
  </w:style>
  <w:style w:type="character" w:customStyle="1" w:styleId="115">
    <w:name w:val="h4 Char"/>
    <w:autoRedefine/>
    <w:qFormat/>
    <w:uiPriority w:val="0"/>
    <w:rPr>
      <w:rFonts w:ascii="Arial" w:hAnsi="Arial" w:eastAsia="黑体"/>
      <w:b/>
      <w:bCs/>
      <w:kern w:val="2"/>
      <w:sz w:val="28"/>
      <w:szCs w:val="28"/>
      <w:lang w:val="zh-CN" w:eastAsia="zh-CN" w:bidi="ar-SA"/>
    </w:rPr>
  </w:style>
  <w:style w:type="character" w:customStyle="1" w:styleId="116">
    <w:name w:val="5正文 Char"/>
    <w:link w:val="117"/>
    <w:autoRedefine/>
    <w:qFormat/>
    <w:uiPriority w:val="0"/>
    <w:rPr>
      <w:rFonts w:ascii="仿宋_GB2312" w:hAnsi="微软雅黑" w:eastAsia="仿宋_GB2312"/>
      <w:sz w:val="28"/>
      <w:szCs w:val="21"/>
    </w:rPr>
  </w:style>
  <w:style w:type="paragraph" w:customStyle="1" w:styleId="117">
    <w:name w:val="5正文"/>
    <w:basedOn w:val="1"/>
    <w:link w:val="116"/>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autoRedefine/>
    <w:qFormat/>
    <w:uiPriority w:val="9"/>
    <w:rPr>
      <w:b/>
      <w:bCs/>
      <w:kern w:val="2"/>
      <w:sz w:val="32"/>
      <w:szCs w:val="32"/>
    </w:rPr>
  </w:style>
  <w:style w:type="character" w:customStyle="1" w:styleId="119">
    <w:name w:val="样式6 Char"/>
    <w:autoRedefine/>
    <w:qFormat/>
    <w:uiPriority w:val="0"/>
    <w:rPr>
      <w:rFonts w:ascii="仿宋_GB2312" w:hAnsi="宋体" w:eastAsia="仿宋_GB2312"/>
      <w:b/>
      <w:bCs/>
      <w:kern w:val="2"/>
      <w:sz w:val="24"/>
      <w:szCs w:val="24"/>
      <w:lang w:val="en-US" w:eastAsia="zh-CN" w:bidi="ar-SA"/>
    </w:rPr>
  </w:style>
  <w:style w:type="character" w:customStyle="1" w:styleId="120">
    <w:name w:val="Char Char14"/>
    <w:autoRedefine/>
    <w:qFormat/>
    <w:uiPriority w:val="6"/>
    <w:rPr>
      <w:rFonts w:ascii="黑体" w:hAnsi="黑体" w:eastAsia="黑体"/>
    </w:rPr>
  </w:style>
  <w:style w:type="character" w:customStyle="1" w:styleId="121">
    <w:name w:val="Heading 2 Hidden Char"/>
    <w:autoRedefine/>
    <w:qFormat/>
    <w:uiPriority w:val="0"/>
    <w:rPr>
      <w:rFonts w:ascii="仿宋_GB2312" w:eastAsia="仿宋_GB2312"/>
      <w:b/>
      <w:bCs/>
      <w:kern w:val="2"/>
      <w:sz w:val="24"/>
      <w:szCs w:val="24"/>
      <w:lang w:val="zh-CN" w:eastAsia="zh-CN" w:bidi="ar-SA"/>
    </w:rPr>
  </w:style>
  <w:style w:type="character" w:customStyle="1" w:styleId="122">
    <w:name w:val="正文文本首行缩进 2 字符"/>
    <w:link w:val="2"/>
    <w:autoRedefine/>
    <w:qFormat/>
    <w:uiPriority w:val="0"/>
    <w:rPr>
      <w:rFonts w:ascii="宋体" w:hAnsi="宋体"/>
      <w:kern w:val="2"/>
      <w:sz w:val="21"/>
      <w:szCs w:val="24"/>
    </w:rPr>
  </w:style>
  <w:style w:type="character" w:customStyle="1" w:styleId="123">
    <w:name w:val="font11"/>
    <w:basedOn w:val="69"/>
    <w:autoRedefine/>
    <w:qFormat/>
    <w:uiPriority w:val="0"/>
    <w:rPr>
      <w:rFonts w:hint="default" w:ascii="Times New Roman" w:hAnsi="Times New Roman" w:cs="Times New Roman"/>
      <w:color w:val="000000"/>
      <w:sz w:val="22"/>
      <w:szCs w:val="22"/>
      <w:u w:val="none"/>
    </w:rPr>
  </w:style>
  <w:style w:type="character" w:customStyle="1" w:styleId="124">
    <w:name w:val="表正文 Char1"/>
    <w:autoRedefine/>
    <w:qFormat/>
    <w:uiPriority w:val="0"/>
    <w:rPr>
      <w:rFonts w:ascii="宋体" w:eastAsia="宋体"/>
      <w:snapToGrid w:val="0"/>
      <w:color w:val="000000"/>
      <w:kern w:val="28"/>
      <w:sz w:val="28"/>
    </w:rPr>
  </w:style>
  <w:style w:type="character" w:customStyle="1" w:styleId="125">
    <w:name w:val="blue1"/>
    <w:basedOn w:val="69"/>
    <w:autoRedefine/>
    <w:qFormat/>
    <w:uiPriority w:val="0"/>
    <w:rPr>
      <w:rFonts w:ascii="Arial" w:hAnsi="Arial" w:eastAsia="黑体" w:cs="Arial"/>
      <w:snapToGrid w:val="0"/>
      <w:kern w:val="0"/>
      <w:szCs w:val="21"/>
    </w:rPr>
  </w:style>
  <w:style w:type="character" w:customStyle="1" w:styleId="126">
    <w:name w:val="纯文本 字符1"/>
    <w:link w:val="33"/>
    <w:autoRedefine/>
    <w:qFormat/>
    <w:uiPriority w:val="0"/>
    <w:rPr>
      <w:rFonts w:ascii="宋体" w:hAnsi="Courier New" w:eastAsia="宋体" w:cs="Arial"/>
      <w:snapToGrid w:val="0"/>
      <w:kern w:val="2"/>
      <w:sz w:val="21"/>
      <w:szCs w:val="21"/>
      <w:lang w:val="en-US" w:eastAsia="zh-CN" w:bidi="ar-SA"/>
    </w:rPr>
  </w:style>
  <w:style w:type="character" w:customStyle="1" w:styleId="127">
    <w:name w:val="标书1 Char"/>
    <w:autoRedefine/>
    <w:qFormat/>
    <w:uiPriority w:val="0"/>
    <w:rPr>
      <w:rFonts w:eastAsia="宋体"/>
      <w:b/>
      <w:bCs/>
      <w:kern w:val="44"/>
      <w:sz w:val="44"/>
      <w:szCs w:val="44"/>
      <w:lang w:val="en-US" w:eastAsia="zh-CN" w:bidi="ar-SA"/>
    </w:rPr>
  </w:style>
  <w:style w:type="character" w:customStyle="1" w:styleId="128">
    <w:name w:val="样式5 Char"/>
    <w:autoRedefine/>
    <w:qFormat/>
    <w:uiPriority w:val="0"/>
    <w:rPr>
      <w:rFonts w:ascii="仿宋_GB2312" w:hAnsi="仿宋" w:eastAsia="仿宋_GB2312"/>
      <w:kern w:val="2"/>
      <w:sz w:val="24"/>
      <w:szCs w:val="24"/>
    </w:rPr>
  </w:style>
  <w:style w:type="character" w:customStyle="1" w:styleId="129">
    <w:name w:val="样式4 Char"/>
    <w:autoRedefine/>
    <w:qFormat/>
    <w:uiPriority w:val="0"/>
    <w:rPr>
      <w:rFonts w:ascii="仿宋_GB2312" w:hAnsi="仿宋" w:eastAsia="仿宋_GB2312"/>
      <w:b/>
      <w:kern w:val="2"/>
      <w:sz w:val="32"/>
      <w:szCs w:val="32"/>
      <w:lang w:bidi="ar-SA"/>
    </w:rPr>
  </w:style>
  <w:style w:type="character" w:customStyle="1" w:styleId="130">
    <w:name w:val="插图说明 Char"/>
    <w:autoRedefine/>
    <w:qFormat/>
    <w:uiPriority w:val="0"/>
    <w:rPr>
      <w:rFonts w:eastAsia="黑体"/>
      <w:sz w:val="24"/>
      <w:lang w:val="en-US" w:eastAsia="zh-CN"/>
    </w:rPr>
  </w:style>
  <w:style w:type="character" w:customStyle="1" w:styleId="131">
    <w:name w:val="正文2 Char Char"/>
    <w:link w:val="132"/>
    <w:autoRedefine/>
    <w:qFormat/>
    <w:uiPriority w:val="0"/>
    <w:rPr>
      <w:rFonts w:eastAsia="宋体"/>
      <w:kern w:val="2"/>
      <w:sz w:val="24"/>
      <w:lang w:val="en-US" w:eastAsia="zh-CN" w:bidi="ar-SA"/>
    </w:rPr>
  </w:style>
  <w:style w:type="paragraph" w:customStyle="1" w:styleId="132">
    <w:name w:val="正文2"/>
    <w:basedOn w:val="1"/>
    <w:link w:val="131"/>
    <w:autoRedefine/>
    <w:qFormat/>
    <w:uiPriority w:val="0"/>
    <w:pPr>
      <w:spacing w:before="156" w:line="360" w:lineRule="auto"/>
      <w:ind w:firstLine="510" w:firstLineChars="200"/>
    </w:pPr>
    <w:rPr>
      <w:sz w:val="24"/>
      <w:szCs w:val="20"/>
    </w:rPr>
  </w:style>
  <w:style w:type="character" w:customStyle="1" w:styleId="133">
    <w:name w:val="Char Char24"/>
    <w:autoRedefine/>
    <w:qFormat/>
    <w:uiPriority w:val="6"/>
    <w:rPr>
      <w:kern w:val="1"/>
      <w:sz w:val="21"/>
    </w:rPr>
  </w:style>
  <w:style w:type="character" w:customStyle="1" w:styleId="134">
    <w:name w:val="副标题 字符"/>
    <w:link w:val="47"/>
    <w:autoRedefine/>
    <w:qFormat/>
    <w:uiPriority w:val="0"/>
    <w:rPr>
      <w:rFonts w:ascii="Arial" w:hAnsi="Arial" w:eastAsia="隶书"/>
      <w:b/>
      <w:bCs/>
      <w:kern w:val="28"/>
      <w:sz w:val="44"/>
      <w:szCs w:val="32"/>
      <w:lang w:val="en-US" w:eastAsia="zh-CN" w:bidi="ar-SA"/>
    </w:rPr>
  </w:style>
  <w:style w:type="character" w:customStyle="1" w:styleId="135">
    <w:name w:val="普通文字 Char1 Char"/>
    <w:autoRedefine/>
    <w:qFormat/>
    <w:uiPriority w:val="0"/>
    <w:rPr>
      <w:rFonts w:ascii="宋体" w:hAnsi="Courier New" w:eastAsia="宋体"/>
      <w:kern w:val="2"/>
      <w:sz w:val="21"/>
      <w:szCs w:val="24"/>
      <w:lang w:val="en-US" w:eastAsia="zh-CN" w:bidi="ar-SA"/>
    </w:rPr>
  </w:style>
  <w:style w:type="character" w:customStyle="1" w:styleId="136">
    <w:name w:val="h3 Char1"/>
    <w:autoRedefine/>
    <w:qFormat/>
    <w:uiPriority w:val="0"/>
    <w:rPr>
      <w:rFonts w:eastAsia="宋体"/>
      <w:b/>
      <w:bCs/>
      <w:kern w:val="2"/>
      <w:sz w:val="32"/>
      <w:szCs w:val="32"/>
      <w:lang w:bidi="ar-SA"/>
    </w:rPr>
  </w:style>
  <w:style w:type="character" w:customStyle="1" w:styleId="137">
    <w:name w:val="标题 Char1"/>
    <w:autoRedefine/>
    <w:qFormat/>
    <w:uiPriority w:val="0"/>
    <w:rPr>
      <w:rFonts w:ascii="Cambria" w:hAnsi="Cambria" w:eastAsia="宋体" w:cs="Times New Roman"/>
      <w:b/>
      <w:bCs/>
      <w:sz w:val="32"/>
      <w:szCs w:val="32"/>
      <w:lang w:bidi="ar-SA"/>
    </w:rPr>
  </w:style>
  <w:style w:type="character" w:customStyle="1" w:styleId="138">
    <w:name w:val="gf正文1 Char"/>
    <w:autoRedefine/>
    <w:qFormat/>
    <w:uiPriority w:val="0"/>
    <w:rPr>
      <w:rFonts w:ascii="宋体" w:hAnsi="宋体" w:eastAsia="宋体" w:cs="宋体"/>
      <w:kern w:val="2"/>
      <w:sz w:val="24"/>
      <w:szCs w:val="24"/>
      <w:lang w:val="en-US" w:eastAsia="zh-CN" w:bidi="ar-SA"/>
    </w:rPr>
  </w:style>
  <w:style w:type="character" w:customStyle="1" w:styleId="139">
    <w:name w:val="正文文本缩进 Char1"/>
    <w:autoRedefine/>
    <w:qFormat/>
    <w:uiPriority w:val="0"/>
    <w:rPr>
      <w:rFonts w:ascii="Calibri" w:hAnsi="Calibri"/>
      <w:sz w:val="28"/>
    </w:rPr>
  </w:style>
  <w:style w:type="character" w:customStyle="1" w:styleId="140">
    <w:name w:val="No Spacing Char"/>
    <w:link w:val="141"/>
    <w:autoRedefine/>
    <w:qFormat/>
    <w:uiPriority w:val="1"/>
    <w:rPr>
      <w:sz w:val="22"/>
      <w:szCs w:val="22"/>
      <w:lang w:val="en-US" w:eastAsia="zh-CN" w:bidi="ar-SA"/>
    </w:rPr>
  </w:style>
  <w:style w:type="paragraph" w:customStyle="1" w:styleId="141">
    <w:name w:val="无间隔1"/>
    <w:link w:val="140"/>
    <w:autoRedefine/>
    <w:qFormat/>
    <w:uiPriority w:val="1"/>
    <w:rPr>
      <w:rFonts w:ascii="Times New Roman" w:hAnsi="Times New Roman" w:eastAsia="宋体" w:cs="Times New Roman"/>
      <w:sz w:val="22"/>
      <w:szCs w:val="22"/>
      <w:lang w:val="en-US" w:eastAsia="zh-CN" w:bidi="ar-SA"/>
    </w:rPr>
  </w:style>
  <w:style w:type="character" w:customStyle="1" w:styleId="142">
    <w:name w:val="样式7 Char"/>
    <w:autoRedefine/>
    <w:qFormat/>
    <w:uiPriority w:val="0"/>
    <w:rPr>
      <w:rFonts w:ascii="仿宋_GB2312" w:hAnsi="仿宋" w:eastAsia="仿宋_GB2312"/>
      <w:b/>
      <w:kern w:val="2"/>
      <w:sz w:val="24"/>
      <w:szCs w:val="24"/>
    </w:rPr>
  </w:style>
  <w:style w:type="character" w:customStyle="1" w:styleId="143">
    <w:name w:val="font12gray1"/>
    <w:autoRedefine/>
    <w:qFormat/>
    <w:uiPriority w:val="0"/>
    <w:rPr>
      <w:rFonts w:ascii="仿宋_GB2312" w:eastAsia="微软雅黑"/>
      <w:b/>
      <w:spacing w:val="300"/>
      <w:kern w:val="2"/>
      <w:sz w:val="18"/>
      <w:szCs w:val="18"/>
      <w:lang w:val="en-US" w:eastAsia="zh-CN" w:bidi="ar-SA"/>
    </w:rPr>
  </w:style>
  <w:style w:type="character" w:customStyle="1" w:styleId="144">
    <w:name w:val="Char Char7"/>
    <w:autoRedefine/>
    <w:semiHidden/>
    <w:qFormat/>
    <w:uiPriority w:val="0"/>
    <w:rPr>
      <w:rFonts w:eastAsia="宋体"/>
      <w:kern w:val="2"/>
      <w:sz w:val="21"/>
      <w:szCs w:val="24"/>
      <w:lang w:val="en-US" w:eastAsia="zh-CN" w:bidi="ar-SA"/>
    </w:rPr>
  </w:style>
  <w:style w:type="character" w:customStyle="1" w:styleId="145">
    <w:name w:val="表名 Char"/>
    <w:autoRedefine/>
    <w:qFormat/>
    <w:uiPriority w:val="0"/>
    <w:rPr>
      <w:rFonts w:eastAsia="宋体"/>
      <w:b/>
      <w:bCs/>
      <w:kern w:val="2"/>
      <w:sz w:val="24"/>
      <w:szCs w:val="24"/>
      <w:lang w:val="en-US" w:eastAsia="zh-CN" w:bidi="ar-SA"/>
    </w:rPr>
  </w:style>
  <w:style w:type="character" w:customStyle="1" w:styleId="146">
    <w:name w:val="Document Map Char"/>
    <w:autoRedefine/>
    <w:qFormat/>
    <w:locked/>
    <w:uiPriority w:val="0"/>
    <w:rPr>
      <w:rFonts w:eastAsia="宋体"/>
      <w:kern w:val="2"/>
      <w:sz w:val="21"/>
      <w:szCs w:val="24"/>
      <w:lang w:val="en-US" w:eastAsia="zh-CN" w:bidi="ar-SA"/>
    </w:rPr>
  </w:style>
  <w:style w:type="character" w:customStyle="1" w:styleId="147">
    <w:name w:val="font41"/>
    <w:basedOn w:val="69"/>
    <w:autoRedefine/>
    <w:qFormat/>
    <w:uiPriority w:val="0"/>
    <w:rPr>
      <w:rFonts w:hint="eastAsia" w:ascii="仿宋_GB2312" w:eastAsia="仿宋_GB2312" w:cs="仿宋_GB2312"/>
      <w:color w:val="000000"/>
      <w:sz w:val="22"/>
      <w:szCs w:val="22"/>
      <w:u w:val="none"/>
    </w:rPr>
  </w:style>
  <w:style w:type="character" w:customStyle="1" w:styleId="148">
    <w:name w:val="标题 6 字符"/>
    <w:link w:val="10"/>
    <w:autoRedefine/>
    <w:qFormat/>
    <w:uiPriority w:val="0"/>
    <w:rPr>
      <w:rFonts w:ascii="Arial" w:hAnsi="Arial" w:eastAsia="黑体"/>
      <w:b/>
      <w:bCs/>
      <w:kern w:val="2"/>
      <w:sz w:val="24"/>
      <w:szCs w:val="24"/>
    </w:rPr>
  </w:style>
  <w:style w:type="character" w:customStyle="1" w:styleId="149">
    <w:name w:val="纯文本 Char_0"/>
    <w:link w:val="150"/>
    <w:autoRedefine/>
    <w:qFormat/>
    <w:uiPriority w:val="0"/>
    <w:rPr>
      <w:rFonts w:ascii="宋体" w:hAnsi="Courier New"/>
      <w:kern w:val="2"/>
      <w:sz w:val="21"/>
      <w:szCs w:val="21"/>
      <w:lang w:val="en-US" w:eastAsia="zh-CN"/>
    </w:rPr>
  </w:style>
  <w:style w:type="paragraph" w:customStyle="1" w:styleId="150">
    <w:name w:val="纯文本_0_0"/>
    <w:basedOn w:val="151"/>
    <w:link w:val="149"/>
    <w:autoRedefine/>
    <w:qFormat/>
    <w:uiPriority w:val="0"/>
    <w:rPr>
      <w:rFonts w:ascii="宋体" w:hAnsi="Courier New"/>
      <w:szCs w:val="21"/>
    </w:rPr>
  </w:style>
  <w:style w:type="paragraph" w:customStyle="1" w:styleId="15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autoRedefine/>
    <w:qFormat/>
    <w:locked/>
    <w:uiPriority w:val="0"/>
    <w:rPr>
      <w:rFonts w:eastAsia="宋体"/>
      <w:kern w:val="2"/>
      <w:sz w:val="18"/>
      <w:szCs w:val="18"/>
      <w:lang w:val="en-US" w:eastAsia="zh-CN" w:bidi="ar-SA"/>
    </w:rPr>
  </w:style>
  <w:style w:type="character" w:customStyle="1" w:styleId="153">
    <w:name w:val="正文 项目2 Char"/>
    <w:basedOn w:val="154"/>
    <w:autoRedefine/>
    <w:qFormat/>
    <w:uiPriority w:val="0"/>
    <w:rPr>
      <w:rFonts w:ascii="仿宋_GB2312" w:hAnsi="仿宋_GB2312" w:eastAsia="仿宋_GB2312"/>
      <w:kern w:val="2"/>
      <w:sz w:val="24"/>
      <w:lang w:bidi="ar-SA"/>
    </w:rPr>
  </w:style>
  <w:style w:type="character" w:customStyle="1" w:styleId="154">
    <w:name w:val="正文 项目 Char"/>
    <w:autoRedefine/>
    <w:qFormat/>
    <w:uiPriority w:val="0"/>
    <w:rPr>
      <w:rFonts w:ascii="仿宋_GB2312" w:hAnsi="仿宋_GB2312" w:eastAsia="仿宋_GB2312"/>
      <w:kern w:val="2"/>
      <w:sz w:val="24"/>
      <w:lang w:bidi="ar-SA"/>
    </w:rPr>
  </w:style>
  <w:style w:type="character" w:customStyle="1" w:styleId="155">
    <w:name w:val="h Char Char1"/>
    <w:autoRedefine/>
    <w:qFormat/>
    <w:uiPriority w:val="0"/>
    <w:rPr>
      <w:rFonts w:eastAsia="宋体"/>
      <w:kern w:val="2"/>
      <w:sz w:val="18"/>
      <w:szCs w:val="18"/>
      <w:lang w:val="en-US" w:eastAsia="zh-CN" w:bidi="ar-SA"/>
    </w:rPr>
  </w:style>
  <w:style w:type="character" w:customStyle="1" w:styleId="156">
    <w:name w:val="Char Char27"/>
    <w:autoRedefine/>
    <w:qFormat/>
    <w:uiPriority w:val="6"/>
    <w:rPr>
      <w:rFonts w:ascii="宋体" w:hAnsi="宋体" w:eastAsia="宋体"/>
      <w:color w:val="000000"/>
      <w:kern w:val="1"/>
      <w:sz w:val="28"/>
      <w:lang w:val="en-US" w:eastAsia="zh-CN" w:bidi="ar-SA"/>
    </w:rPr>
  </w:style>
  <w:style w:type="character" w:customStyle="1" w:styleId="157">
    <w:name w:val="px14"/>
    <w:autoRedefine/>
    <w:qFormat/>
    <w:uiPriority w:val="0"/>
    <w:rPr>
      <w:rFonts w:ascii="仿宋_GB2312" w:eastAsia="微软雅黑" w:cs="Times New Roman"/>
      <w:b/>
      <w:kern w:val="2"/>
      <w:sz w:val="32"/>
      <w:szCs w:val="32"/>
      <w:lang w:val="en-US" w:eastAsia="zh-CN" w:bidi="ar-SA"/>
    </w:rPr>
  </w:style>
  <w:style w:type="character" w:customStyle="1" w:styleId="158">
    <w:name w:val="HTML 预设格式 Char1"/>
    <w:autoRedefine/>
    <w:qFormat/>
    <w:uiPriority w:val="0"/>
    <w:rPr>
      <w:rFonts w:ascii="Courier New" w:hAnsi="Courier New" w:eastAsia="宋体" w:cs="Courier New"/>
      <w:sz w:val="20"/>
      <w:szCs w:val="20"/>
    </w:rPr>
  </w:style>
  <w:style w:type="character" w:customStyle="1" w:styleId="159">
    <w:name w:val="普通文字 Char1"/>
    <w:autoRedefine/>
    <w:qFormat/>
    <w:uiPriority w:val="0"/>
    <w:rPr>
      <w:rFonts w:ascii="宋体" w:hAnsi="Courier New" w:eastAsia="宋体"/>
      <w:kern w:val="2"/>
      <w:sz w:val="21"/>
      <w:lang w:val="en-US" w:eastAsia="zh-CN"/>
    </w:rPr>
  </w:style>
  <w:style w:type="character" w:customStyle="1" w:styleId="160">
    <w:name w:val="hei16b1"/>
    <w:autoRedefine/>
    <w:qFormat/>
    <w:uiPriority w:val="0"/>
    <w:rPr>
      <w:rFonts w:hint="default" w:ascii="Arial" w:hAnsi="Arial" w:cs="Arial"/>
      <w:b/>
      <w:bCs/>
      <w:color w:val="000000"/>
      <w:sz w:val="24"/>
      <w:szCs w:val="24"/>
    </w:rPr>
  </w:style>
  <w:style w:type="character" w:customStyle="1" w:styleId="161">
    <w:name w:val="正文（绿盟科技） Char"/>
    <w:link w:val="162"/>
    <w:autoRedefine/>
    <w:qFormat/>
    <w:uiPriority w:val="0"/>
    <w:rPr>
      <w:rFonts w:ascii="Arial" w:hAnsi="Arial"/>
      <w:sz w:val="21"/>
      <w:szCs w:val="21"/>
    </w:rPr>
  </w:style>
  <w:style w:type="paragraph" w:customStyle="1" w:styleId="162">
    <w:name w:val="正文（绿盟科技）"/>
    <w:link w:val="161"/>
    <w:autoRedefine/>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autoRedefine/>
    <w:qFormat/>
    <w:uiPriority w:val="6"/>
    <w:rPr>
      <w:rFonts w:ascii="宋体" w:hAnsi="宋体"/>
      <w:i/>
      <w:sz w:val="24"/>
      <w:szCs w:val="24"/>
    </w:rPr>
  </w:style>
  <w:style w:type="character" w:customStyle="1" w:styleId="164">
    <w:name w:val="页脚 Char"/>
    <w:autoRedefine/>
    <w:qFormat/>
    <w:uiPriority w:val="0"/>
    <w:rPr>
      <w:rFonts w:eastAsia="仿宋_GB2312"/>
      <w:kern w:val="2"/>
      <w:sz w:val="18"/>
      <w:lang w:val="en-US" w:eastAsia="zh-CN"/>
    </w:rPr>
  </w:style>
  <w:style w:type="character" w:customStyle="1" w:styleId="165">
    <w:name w:val="批注主题 Char"/>
    <w:autoRedefine/>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autoRedefine/>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autoRedefine/>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autoRedefine/>
    <w:qFormat/>
    <w:uiPriority w:val="0"/>
    <w:rPr>
      <w:sz w:val="32"/>
    </w:rPr>
  </w:style>
  <w:style w:type="paragraph" w:customStyle="1" w:styleId="172">
    <w:name w:val="表格名称"/>
    <w:basedOn w:val="5"/>
    <w:link w:val="171"/>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autoRedefine/>
    <w:qFormat/>
    <w:uiPriority w:val="0"/>
    <w:rPr>
      <w:rFonts w:eastAsia="宋体"/>
      <w:b/>
      <w:sz w:val="24"/>
      <w:lang w:val="en-GB" w:eastAsia="zh-CN" w:bidi="ar-SA"/>
    </w:rPr>
  </w:style>
  <w:style w:type="character" w:customStyle="1" w:styleId="174">
    <w:name w:val="c7 style3"/>
    <w:autoRedefine/>
    <w:qFormat/>
    <w:uiPriority w:val="0"/>
  </w:style>
  <w:style w:type="character" w:customStyle="1" w:styleId="175">
    <w:name w:val="正文文本 3 Char1"/>
    <w:autoRedefine/>
    <w:semiHidden/>
    <w:qFormat/>
    <w:uiPriority w:val="99"/>
    <w:rPr>
      <w:rFonts w:ascii="Times New Roman" w:hAnsi="Times New Roman" w:eastAsia="宋体" w:cs="Times New Roman"/>
      <w:sz w:val="16"/>
      <w:szCs w:val="16"/>
    </w:rPr>
  </w:style>
  <w:style w:type="character" w:customStyle="1" w:styleId="176">
    <w:name w:val="tw4winInternal"/>
    <w:autoRedefine/>
    <w:qFormat/>
    <w:uiPriority w:val="0"/>
    <w:rPr>
      <w:rFonts w:ascii="Courier New" w:hAnsi="Courier New" w:cs="Courier New"/>
      <w:color w:val="FF0000"/>
      <w:lang w:val="en-US" w:eastAsia="zh-CN"/>
    </w:rPr>
  </w:style>
  <w:style w:type="character" w:customStyle="1" w:styleId="177">
    <w:name w:val="Char Char10"/>
    <w:autoRedefine/>
    <w:semiHidden/>
    <w:qFormat/>
    <w:uiPriority w:val="0"/>
    <w:rPr>
      <w:rFonts w:ascii="宋体" w:hAnsi="宋体"/>
      <w:kern w:val="2"/>
      <w:sz w:val="21"/>
      <w:szCs w:val="24"/>
      <w:lang w:val="en-US" w:eastAsia="zh-CN"/>
    </w:rPr>
  </w:style>
  <w:style w:type="character" w:customStyle="1" w:styleId="178">
    <w:name w:val="shadow11"/>
    <w:autoRedefine/>
    <w:qFormat/>
    <w:uiPriority w:val="0"/>
    <w:rPr>
      <w:color w:val="000000"/>
      <w:sz w:val="21"/>
    </w:rPr>
  </w:style>
  <w:style w:type="character" w:customStyle="1" w:styleId="179">
    <w:name w:val="正文非缩进 Char3"/>
    <w:autoRedefine/>
    <w:qFormat/>
    <w:uiPriority w:val="0"/>
    <w:rPr>
      <w:rFonts w:ascii="宋体" w:eastAsia="宋体"/>
      <w:snapToGrid w:val="0"/>
      <w:color w:val="000000"/>
      <w:kern w:val="28"/>
      <w:sz w:val="28"/>
      <w:lang w:val="en-US" w:eastAsia="zh-CN" w:bidi="ar-SA"/>
    </w:rPr>
  </w:style>
  <w:style w:type="character" w:customStyle="1" w:styleId="180">
    <w:name w:val="Char Char"/>
    <w:autoRedefine/>
    <w:qFormat/>
    <w:uiPriority w:val="0"/>
    <w:rPr>
      <w:rFonts w:ascii="宋体" w:hAnsi="Courier New" w:eastAsia="宋体"/>
      <w:kern w:val="2"/>
      <w:sz w:val="21"/>
      <w:lang w:val="en-US" w:eastAsia="zh-CN" w:bidi="ar-SA"/>
    </w:rPr>
  </w:style>
  <w:style w:type="character" w:customStyle="1" w:styleId="181">
    <w:name w:val="签名 Char1"/>
    <w:autoRedefine/>
    <w:qFormat/>
    <w:uiPriority w:val="0"/>
    <w:rPr>
      <w:rFonts w:ascii="Times New Roman" w:hAnsi="Times New Roman" w:eastAsia="宋体" w:cs="Times New Roman"/>
      <w:szCs w:val="24"/>
    </w:rPr>
  </w:style>
  <w:style w:type="character" w:customStyle="1" w:styleId="182">
    <w:name w:val="日期 字符"/>
    <w:link w:val="36"/>
    <w:autoRedefine/>
    <w:qFormat/>
    <w:uiPriority w:val="0"/>
    <w:rPr>
      <w:rFonts w:ascii="宋体"/>
      <w:kern w:val="2"/>
      <w:sz w:val="24"/>
      <w:szCs w:val="21"/>
      <w:lang w:val="zh-CN"/>
    </w:rPr>
  </w:style>
  <w:style w:type="character" w:customStyle="1" w:styleId="183">
    <w:name w:val="标题 9 字符"/>
    <w:link w:val="13"/>
    <w:autoRedefine/>
    <w:qFormat/>
    <w:uiPriority w:val="0"/>
    <w:rPr>
      <w:rFonts w:ascii="Arial" w:hAnsi="Arial" w:eastAsia="黑体"/>
      <w:kern w:val="2"/>
      <w:sz w:val="21"/>
      <w:szCs w:val="21"/>
    </w:rPr>
  </w:style>
  <w:style w:type="character" w:customStyle="1" w:styleId="184">
    <w:name w:val="Char Char18"/>
    <w:autoRedefine/>
    <w:qFormat/>
    <w:uiPriority w:val="6"/>
    <w:rPr>
      <w:rFonts w:ascii="宋体" w:hAnsi="宋体"/>
      <w:sz w:val="28"/>
    </w:rPr>
  </w:style>
  <w:style w:type="character" w:customStyle="1" w:styleId="185">
    <w:name w:val="批注文字 Char"/>
    <w:autoRedefine/>
    <w:qFormat/>
    <w:uiPriority w:val="0"/>
    <w:rPr>
      <w:kern w:val="2"/>
      <w:sz w:val="21"/>
      <w:szCs w:val="24"/>
    </w:rPr>
  </w:style>
  <w:style w:type="character" w:customStyle="1" w:styleId="186">
    <w:name w:val="Char Char22"/>
    <w:autoRedefine/>
    <w:qFormat/>
    <w:uiPriority w:val="6"/>
    <w:rPr>
      <w:rFonts w:ascii="宋体" w:hAnsi="宋体"/>
      <w:kern w:val="1"/>
      <w:sz w:val="24"/>
      <w:szCs w:val="24"/>
    </w:rPr>
  </w:style>
  <w:style w:type="character" w:customStyle="1" w:styleId="187">
    <w:name w:val="pt141"/>
    <w:autoRedefine/>
    <w:qFormat/>
    <w:uiPriority w:val="0"/>
    <w:rPr>
      <w:color w:val="330066"/>
      <w:sz w:val="22"/>
      <w:szCs w:val="22"/>
    </w:rPr>
  </w:style>
  <w:style w:type="character" w:customStyle="1" w:styleId="188">
    <w:name w:val="正文文本缩进 2 Char1"/>
    <w:autoRedefine/>
    <w:semiHidden/>
    <w:qFormat/>
    <w:uiPriority w:val="99"/>
    <w:rPr>
      <w:rFonts w:ascii="Times New Roman" w:hAnsi="Times New Roman" w:eastAsia="宋体" w:cs="Times New Roman"/>
      <w:szCs w:val="24"/>
    </w:rPr>
  </w:style>
  <w:style w:type="character" w:customStyle="1" w:styleId="189">
    <w:name w:val="批注框文本 字符1"/>
    <w:link w:val="39"/>
    <w:autoRedefine/>
    <w:qFormat/>
    <w:uiPriority w:val="0"/>
    <w:rPr>
      <w:kern w:val="2"/>
      <w:sz w:val="18"/>
      <w:szCs w:val="18"/>
    </w:rPr>
  </w:style>
  <w:style w:type="character" w:customStyle="1" w:styleId="190">
    <w:name w:val="Char Char611"/>
    <w:autoRedefine/>
    <w:qFormat/>
    <w:uiPriority w:val="0"/>
    <w:rPr>
      <w:rFonts w:eastAsia="宋体"/>
      <w:kern w:val="2"/>
      <w:sz w:val="21"/>
      <w:szCs w:val="24"/>
      <w:lang w:val="en-US" w:eastAsia="zh-CN" w:bidi="ar-SA"/>
    </w:rPr>
  </w:style>
  <w:style w:type="character" w:customStyle="1" w:styleId="191">
    <w:name w:val="highlight1"/>
    <w:autoRedefine/>
    <w:qFormat/>
    <w:uiPriority w:val="0"/>
    <w:rPr>
      <w:rFonts w:ascii="仿宋_GB2312" w:eastAsia="微软雅黑"/>
      <w:b/>
      <w:kern w:val="2"/>
      <w:sz w:val="23"/>
      <w:szCs w:val="23"/>
      <w:lang w:val="en-US" w:eastAsia="zh-CN" w:bidi="ar-SA"/>
    </w:rPr>
  </w:style>
  <w:style w:type="character" w:customStyle="1" w:styleId="192">
    <w:name w:val="my正文 Char"/>
    <w:link w:val="193"/>
    <w:autoRedefine/>
    <w:qFormat/>
    <w:locked/>
    <w:uiPriority w:val="0"/>
    <w:rPr>
      <w:rFonts w:ascii="Tahoma" w:hAnsi="Tahoma"/>
      <w:sz w:val="24"/>
      <w:szCs w:val="24"/>
    </w:rPr>
  </w:style>
  <w:style w:type="paragraph" w:customStyle="1" w:styleId="193">
    <w:name w:val="my正文"/>
    <w:basedOn w:val="1"/>
    <w:link w:val="192"/>
    <w:autoRedefine/>
    <w:qFormat/>
    <w:uiPriority w:val="0"/>
    <w:pPr>
      <w:adjustRightInd/>
      <w:spacing w:line="360" w:lineRule="auto"/>
      <w:ind w:firstLine="480" w:firstLineChars="200"/>
    </w:pPr>
    <w:rPr>
      <w:rFonts w:ascii="Tahoma" w:hAnsi="Tahoma"/>
      <w:kern w:val="0"/>
      <w:sz w:val="24"/>
    </w:rPr>
  </w:style>
  <w:style w:type="character" w:customStyle="1" w:styleId="194">
    <w:name w:val="正文缩进 字符2"/>
    <w:link w:val="7"/>
    <w:autoRedefine/>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autoRedefine/>
    <w:qFormat/>
    <w:uiPriority w:val="0"/>
    <w:rPr>
      <w:color w:val="0000FF"/>
      <w:sz w:val="21"/>
    </w:rPr>
  </w:style>
  <w:style w:type="character" w:customStyle="1" w:styleId="196">
    <w:name w:val="页眉 Char"/>
    <w:autoRedefine/>
    <w:qFormat/>
    <w:uiPriority w:val="0"/>
    <w:rPr>
      <w:rFonts w:eastAsia="仿宋_GB2312"/>
      <w:kern w:val="2"/>
      <w:sz w:val="18"/>
      <w:lang w:val="en-US" w:eastAsia="zh-CN"/>
    </w:rPr>
  </w:style>
  <w:style w:type="character" w:customStyle="1" w:styleId="197">
    <w:name w:val="FA正文 Char Char"/>
    <w:autoRedefine/>
    <w:qFormat/>
    <w:uiPriority w:val="0"/>
    <w:rPr>
      <w:rFonts w:hAnsi="宋体"/>
      <w:kern w:val="2"/>
      <w:sz w:val="24"/>
      <w:lang w:bidi="ar-SA"/>
    </w:rPr>
  </w:style>
  <w:style w:type="character" w:customStyle="1" w:styleId="198">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autoRedefine/>
    <w:qFormat/>
    <w:uiPriority w:val="0"/>
    <w:rPr>
      <w:rFonts w:ascii="宋体" w:hAnsi="宋体"/>
      <w:b/>
      <w:bCs/>
      <w:snapToGrid/>
      <w:sz w:val="28"/>
    </w:rPr>
  </w:style>
  <w:style w:type="paragraph" w:customStyle="1" w:styleId="200">
    <w:name w:val="3级"/>
    <w:basedOn w:val="201"/>
    <w:link w:val="199"/>
    <w:autoRedefine/>
    <w:qFormat/>
    <w:uiPriority w:val="0"/>
    <w:pPr>
      <w:ind w:left="0" w:right="466" w:firstLine="288"/>
    </w:pPr>
    <w:rPr>
      <w:rFonts w:hAnsi="宋体"/>
      <w:snapToGrid/>
    </w:rPr>
  </w:style>
  <w:style w:type="paragraph" w:customStyle="1" w:styleId="201">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autoRedefine/>
    <w:qFormat/>
    <w:uiPriority w:val="0"/>
    <w:rPr>
      <w:rFonts w:ascii="仿宋_GB2312" w:eastAsia="微软雅黑"/>
      <w:b/>
      <w:kern w:val="2"/>
      <w:sz w:val="32"/>
      <w:szCs w:val="32"/>
      <w:lang w:val="en-US" w:eastAsia="zh-CN" w:bidi="ar-SA"/>
    </w:rPr>
  </w:style>
  <w:style w:type="character" w:customStyle="1" w:styleId="203">
    <w:name w:val="文档结构图 字符"/>
    <w:link w:val="20"/>
    <w:autoRedefine/>
    <w:qFormat/>
    <w:uiPriority w:val="0"/>
    <w:rPr>
      <w:kern w:val="2"/>
      <w:sz w:val="21"/>
      <w:szCs w:val="24"/>
      <w:shd w:val="clear" w:color="auto" w:fill="000080"/>
    </w:rPr>
  </w:style>
  <w:style w:type="character" w:customStyle="1" w:styleId="204">
    <w:name w:val="H6 Char"/>
    <w:autoRedefine/>
    <w:qFormat/>
    <w:uiPriority w:val="0"/>
    <w:rPr>
      <w:rFonts w:ascii="Arial" w:hAnsi="Arial" w:eastAsia="黑体"/>
      <w:b/>
      <w:bCs/>
      <w:kern w:val="2"/>
      <w:sz w:val="24"/>
      <w:szCs w:val="24"/>
    </w:rPr>
  </w:style>
  <w:style w:type="character" w:customStyle="1" w:styleId="205">
    <w:name w:val="Char Char91"/>
    <w:autoRedefine/>
    <w:qFormat/>
    <w:uiPriority w:val="0"/>
    <w:rPr>
      <w:rFonts w:eastAsia="宋体"/>
      <w:kern w:val="2"/>
      <w:sz w:val="18"/>
      <w:szCs w:val="18"/>
      <w:lang w:val="en-US" w:eastAsia="zh-CN" w:bidi="ar-SA"/>
    </w:rPr>
  </w:style>
  <w:style w:type="character" w:customStyle="1" w:styleId="206">
    <w:name w:val="副标题 Char1"/>
    <w:autoRedefine/>
    <w:qFormat/>
    <w:uiPriority w:val="0"/>
    <w:rPr>
      <w:rFonts w:ascii="Cambria" w:hAnsi="Cambria" w:eastAsia="宋体" w:cs="Times New Roman"/>
      <w:b/>
      <w:bCs/>
      <w:snapToGrid w:val="0"/>
      <w:kern w:val="28"/>
      <w:sz w:val="32"/>
      <w:szCs w:val="32"/>
    </w:rPr>
  </w:style>
  <w:style w:type="character" w:customStyle="1" w:styleId="207">
    <w:name w:val="font61"/>
    <w:basedOn w:val="69"/>
    <w:autoRedefine/>
    <w:qFormat/>
    <w:uiPriority w:val="0"/>
    <w:rPr>
      <w:rFonts w:hint="eastAsia" w:ascii="仿宋" w:hAnsi="仿宋" w:eastAsia="仿宋" w:cs="仿宋"/>
      <w:color w:val="000000"/>
      <w:sz w:val="20"/>
      <w:szCs w:val="20"/>
      <w:u w:val="none"/>
    </w:rPr>
  </w:style>
  <w:style w:type="character" w:customStyle="1" w:styleId="208">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autoRedefine/>
    <w:qFormat/>
    <w:uiPriority w:val="0"/>
    <w:rPr>
      <w:rFonts w:eastAsia="宋体"/>
      <w:b/>
      <w:bCs/>
      <w:kern w:val="2"/>
      <w:sz w:val="21"/>
      <w:szCs w:val="24"/>
      <w:lang w:val="en-US" w:eastAsia="zh-CN" w:bidi="ar-SA"/>
    </w:rPr>
  </w:style>
  <w:style w:type="character" w:customStyle="1" w:styleId="210">
    <w:name w:val="标题 2 Char"/>
    <w:autoRedefine/>
    <w:qFormat/>
    <w:uiPriority w:val="0"/>
    <w:rPr>
      <w:rFonts w:ascii="Arial" w:hAnsi="Arial" w:eastAsia="黑体"/>
      <w:b/>
      <w:kern w:val="2"/>
      <w:sz w:val="32"/>
      <w:lang w:val="en-US" w:eastAsia="zh-CN"/>
    </w:rPr>
  </w:style>
  <w:style w:type="character" w:customStyle="1" w:styleId="211">
    <w:name w:val="maywed421"/>
    <w:autoRedefine/>
    <w:qFormat/>
    <w:uiPriority w:val="0"/>
    <w:rPr>
      <w:color w:val="366FB6"/>
      <w:u w:val="none"/>
    </w:rPr>
  </w:style>
  <w:style w:type="character" w:customStyle="1" w:styleId="212">
    <w:name w:val="正文文本缩进 Char"/>
    <w:autoRedefine/>
    <w:qFormat/>
    <w:uiPriority w:val="0"/>
    <w:rPr>
      <w:rFonts w:ascii="宋体" w:hAnsi="宋体"/>
      <w:kern w:val="2"/>
      <w:sz w:val="24"/>
      <w:szCs w:val="24"/>
    </w:rPr>
  </w:style>
  <w:style w:type="character" w:customStyle="1" w:styleId="213">
    <w:name w:val="Char Char102"/>
    <w:autoRedefine/>
    <w:semiHidden/>
    <w:qFormat/>
    <w:uiPriority w:val="0"/>
    <w:rPr>
      <w:rFonts w:ascii="宋体" w:hAnsi="宋体"/>
      <w:kern w:val="2"/>
      <w:sz w:val="21"/>
      <w:szCs w:val="24"/>
      <w:lang w:val="en-US" w:eastAsia="zh-CN"/>
    </w:rPr>
  </w:style>
  <w:style w:type="character" w:customStyle="1" w:styleId="214">
    <w:name w:val="页眉 Char1"/>
    <w:autoRedefine/>
    <w:qFormat/>
    <w:uiPriority w:val="0"/>
    <w:rPr>
      <w:rFonts w:eastAsia="宋体"/>
      <w:kern w:val="2"/>
      <w:sz w:val="18"/>
      <w:szCs w:val="18"/>
      <w:lang w:val="en-US" w:eastAsia="zh-CN" w:bidi="ar-SA"/>
    </w:rPr>
  </w:style>
  <w:style w:type="character" w:customStyle="1" w:styleId="215">
    <w:name w:val="md"/>
    <w:basedOn w:val="69"/>
    <w:autoRedefine/>
    <w:qFormat/>
    <w:uiPriority w:val="0"/>
    <w:rPr>
      <w:rFonts w:ascii="Arial" w:hAnsi="Arial" w:eastAsia="黑体" w:cs="Arial"/>
      <w:snapToGrid w:val="0"/>
      <w:kern w:val="0"/>
      <w:szCs w:val="21"/>
    </w:rPr>
  </w:style>
  <w:style w:type="character" w:customStyle="1" w:styleId="216">
    <w:name w:val="big1"/>
    <w:autoRedefine/>
    <w:qFormat/>
    <w:uiPriority w:val="0"/>
    <w:rPr>
      <w:rFonts w:hint="eastAsia" w:ascii="宋体" w:hAnsi="宋体" w:eastAsia="宋体"/>
      <w:color w:val="333333"/>
      <w:sz w:val="22"/>
      <w:szCs w:val="22"/>
    </w:rPr>
  </w:style>
  <w:style w:type="character" w:customStyle="1" w:styleId="217">
    <w:name w:val="Char Char311"/>
    <w:autoRedefine/>
    <w:qFormat/>
    <w:uiPriority w:val="0"/>
    <w:rPr>
      <w:rFonts w:eastAsia="宋体"/>
      <w:kern w:val="2"/>
      <w:sz w:val="21"/>
      <w:szCs w:val="24"/>
      <w:lang w:val="en-US" w:eastAsia="zh-CN" w:bidi="ar-SA"/>
    </w:rPr>
  </w:style>
  <w:style w:type="character" w:customStyle="1" w:styleId="218">
    <w:name w:val="Char Char81"/>
    <w:autoRedefine/>
    <w:qFormat/>
    <w:uiPriority w:val="6"/>
    <w:rPr>
      <w:rFonts w:eastAsia="宋体"/>
      <w:b/>
      <w:sz w:val="24"/>
      <w:lang w:val="en-GB" w:eastAsia="zh-CN"/>
    </w:rPr>
  </w:style>
  <w:style w:type="character" w:customStyle="1" w:styleId="219">
    <w:name w:val="样式3 Char"/>
    <w:basedOn w:val="170"/>
    <w:autoRedefine/>
    <w:qFormat/>
    <w:uiPriority w:val="0"/>
    <w:rPr>
      <w:rFonts w:ascii="仿宋_GB2312" w:hAnsi="仿宋" w:eastAsia="仿宋_GB2312" w:cs="仿宋_GB2312"/>
      <w:sz w:val="32"/>
      <w:szCs w:val="30"/>
      <w:lang w:val="zh-CN"/>
    </w:rPr>
  </w:style>
  <w:style w:type="character" w:customStyle="1" w:styleId="220">
    <w:name w:val="HTML 地址 字符"/>
    <w:link w:val="30"/>
    <w:autoRedefine/>
    <w:qFormat/>
    <w:uiPriority w:val="0"/>
    <w:rPr>
      <w:rFonts w:ascii="宋体" w:hAnsi="宋体"/>
      <w:i/>
      <w:iCs/>
      <w:sz w:val="24"/>
      <w:szCs w:val="24"/>
    </w:rPr>
  </w:style>
  <w:style w:type="character" w:customStyle="1" w:styleId="221">
    <w:name w:val="正文首行缩进 2 Char1"/>
    <w:autoRedefine/>
    <w:qFormat/>
    <w:uiPriority w:val="0"/>
    <w:rPr>
      <w:rFonts w:ascii="Times New Roman" w:hAnsi="Times New Roman" w:eastAsia="宋体" w:cs="Times New Roman"/>
      <w:kern w:val="2"/>
      <w:sz w:val="24"/>
      <w:szCs w:val="24"/>
    </w:rPr>
  </w:style>
  <w:style w:type="character" w:customStyle="1" w:styleId="222">
    <w:name w:val="副标题 Char2"/>
    <w:autoRedefine/>
    <w:qFormat/>
    <w:uiPriority w:val="0"/>
    <w:rPr>
      <w:rFonts w:ascii="Cambria" w:hAnsi="Cambria" w:eastAsia="宋体" w:cs="Times New Roman"/>
      <w:b/>
      <w:bCs/>
      <w:snapToGrid w:val="0"/>
      <w:kern w:val="28"/>
      <w:sz w:val="32"/>
      <w:szCs w:val="32"/>
    </w:rPr>
  </w:style>
  <w:style w:type="character" w:customStyle="1" w:styleId="223">
    <w:name w:val="标题4-dyf Char"/>
    <w:link w:val="224"/>
    <w:autoRedefine/>
    <w:qFormat/>
    <w:uiPriority w:val="0"/>
    <w:rPr>
      <w:rFonts w:ascii="Cambria" w:hAnsi="Cambria"/>
      <w:b/>
      <w:bCs/>
      <w:color w:val="000000"/>
      <w:kern w:val="2"/>
      <w:sz w:val="21"/>
      <w:szCs w:val="21"/>
    </w:rPr>
  </w:style>
  <w:style w:type="paragraph" w:customStyle="1" w:styleId="224">
    <w:name w:val="标题4-dyf"/>
    <w:basedOn w:val="8"/>
    <w:link w:val="223"/>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autoRedefine/>
    <w:qFormat/>
    <w:uiPriority w:val="0"/>
    <w:rPr>
      <w:rFonts w:ascii="宋体" w:hAnsi="宋体" w:eastAsia="宋体"/>
      <w:color w:val="333333"/>
      <w:sz w:val="21"/>
      <w:szCs w:val="21"/>
      <w:u w:val="none"/>
    </w:rPr>
  </w:style>
  <w:style w:type="character" w:customStyle="1" w:styleId="226">
    <w:name w:val="冯 Char"/>
    <w:link w:val="227"/>
    <w:autoRedefine/>
    <w:qFormat/>
    <w:uiPriority w:val="0"/>
    <w:rPr>
      <w:rFonts w:ascii="宋体" w:hAnsi="宋体"/>
      <w:color w:val="000000"/>
      <w:sz w:val="24"/>
      <w:szCs w:val="24"/>
    </w:rPr>
  </w:style>
  <w:style w:type="paragraph" w:customStyle="1" w:styleId="227">
    <w:name w:val="冯"/>
    <w:basedOn w:val="1"/>
    <w:link w:val="226"/>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autoRedefine/>
    <w:qFormat/>
    <w:locked/>
    <w:uiPriority w:val="0"/>
    <w:rPr>
      <w:rFonts w:eastAsia="宋体"/>
      <w:kern w:val="2"/>
      <w:sz w:val="18"/>
      <w:szCs w:val="18"/>
      <w:lang w:val="en-US" w:eastAsia="zh-CN" w:bidi="ar-SA"/>
    </w:rPr>
  </w:style>
  <w:style w:type="character" w:customStyle="1" w:styleId="229">
    <w:name w:val="Char Char12"/>
    <w:autoRedefine/>
    <w:qFormat/>
    <w:uiPriority w:val="0"/>
    <w:rPr>
      <w:rFonts w:ascii="仿宋_GB2312" w:eastAsia="仿宋_GB2312"/>
      <w:b/>
      <w:bCs/>
      <w:kern w:val="2"/>
      <w:sz w:val="24"/>
      <w:szCs w:val="24"/>
      <w:lang w:val="zh-CN" w:eastAsia="zh-CN" w:bidi="ar-SA"/>
    </w:rPr>
  </w:style>
  <w:style w:type="character" w:customStyle="1" w:styleId="230">
    <w:name w:val="题注 字符"/>
    <w:link w:val="18"/>
    <w:autoRedefine/>
    <w:qFormat/>
    <w:uiPriority w:val="0"/>
    <w:rPr>
      <w:b/>
      <w:kern w:val="2"/>
      <w:sz w:val="28"/>
    </w:rPr>
  </w:style>
  <w:style w:type="character" w:customStyle="1" w:styleId="231">
    <w:name w:val="普通文字 Char3"/>
    <w:autoRedefine/>
    <w:qFormat/>
    <w:uiPriority w:val="0"/>
    <w:rPr>
      <w:rFonts w:ascii="宋体" w:hAnsi="Courier New" w:eastAsia="宋体"/>
      <w:kern w:val="2"/>
      <w:sz w:val="21"/>
      <w:lang w:val="en-US" w:eastAsia="zh-CN" w:bidi="ar-SA"/>
    </w:rPr>
  </w:style>
  <w:style w:type="character" w:customStyle="1" w:styleId="232">
    <w:name w:val="公文正文 Char"/>
    <w:autoRedefine/>
    <w:qFormat/>
    <w:uiPriority w:val="0"/>
    <w:rPr>
      <w:rFonts w:ascii="仿宋_GB2312" w:eastAsia="仿宋_GB2312"/>
      <w:kern w:val="2"/>
      <w:sz w:val="24"/>
      <w:szCs w:val="24"/>
      <w:lang w:val="en-US" w:eastAsia="zh-CN" w:bidi="ar-SA"/>
    </w:rPr>
  </w:style>
  <w:style w:type="character" w:customStyle="1" w:styleId="233">
    <w:name w:val="正文首行缩进 Char Char Char Char Char"/>
    <w:autoRedefine/>
    <w:qFormat/>
    <w:uiPriority w:val="0"/>
    <w:rPr>
      <w:rFonts w:ascii="宋体"/>
      <w:kern w:val="2"/>
      <w:sz w:val="24"/>
      <w:lang w:val="zh-CN"/>
    </w:rPr>
  </w:style>
  <w:style w:type="character" w:customStyle="1" w:styleId="234">
    <w:name w:val="PI Char"/>
    <w:autoRedefine/>
    <w:qFormat/>
    <w:uiPriority w:val="0"/>
    <w:rPr>
      <w:rFonts w:ascii="宋体" w:hAnsi="宋体" w:eastAsia="宋体"/>
      <w:kern w:val="2"/>
      <w:sz w:val="24"/>
      <w:szCs w:val="24"/>
      <w:lang w:val="en-US" w:eastAsia="zh-CN" w:bidi="ar-SA"/>
    </w:rPr>
  </w:style>
  <w:style w:type="character" w:customStyle="1" w:styleId="235">
    <w:name w:val="Default Char"/>
    <w:link w:val="236"/>
    <w:autoRedefine/>
    <w:qFormat/>
    <w:uiPriority w:val="0"/>
    <w:rPr>
      <w:rFonts w:ascii="仿宋_GB2312" w:eastAsia="仿宋_GB2312" w:cs="仿宋_GB2312"/>
      <w:color w:val="000000"/>
      <w:sz w:val="24"/>
      <w:szCs w:val="24"/>
      <w:lang w:val="en-US" w:eastAsia="zh-CN" w:bidi="ar-SA"/>
    </w:rPr>
  </w:style>
  <w:style w:type="paragraph" w:customStyle="1" w:styleId="236">
    <w:name w:val="Default"/>
    <w:link w:val="23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autoRedefine/>
    <w:qFormat/>
    <w:uiPriority w:val="0"/>
    <w:rPr>
      <w:color w:val="333333"/>
    </w:rPr>
  </w:style>
  <w:style w:type="character" w:customStyle="1" w:styleId="238">
    <w:name w:val="列出段落 Char2"/>
    <w:autoRedefine/>
    <w:qFormat/>
    <w:uiPriority w:val="34"/>
    <w:rPr>
      <w:rFonts w:ascii="Calibri" w:hAnsi="Calibri"/>
      <w:kern w:val="2"/>
      <w:sz w:val="28"/>
    </w:rPr>
  </w:style>
  <w:style w:type="character" w:customStyle="1" w:styleId="239">
    <w:name w:val="mdeck"/>
    <w:autoRedefine/>
    <w:qFormat/>
    <w:uiPriority w:val="0"/>
    <w:rPr>
      <w:rFonts w:ascii="仿宋_GB2312" w:eastAsia="微软雅黑"/>
      <w:b/>
      <w:kern w:val="2"/>
      <w:sz w:val="32"/>
      <w:szCs w:val="32"/>
      <w:lang w:val="en-US" w:eastAsia="zh-CN" w:bidi="ar-SA"/>
    </w:rPr>
  </w:style>
  <w:style w:type="character" w:customStyle="1" w:styleId="240">
    <w:name w:val="unnamed11"/>
    <w:autoRedefine/>
    <w:qFormat/>
    <w:uiPriority w:val="0"/>
    <w:rPr>
      <w:sz w:val="20"/>
      <w:szCs w:val="20"/>
    </w:rPr>
  </w:style>
  <w:style w:type="character" w:customStyle="1" w:styleId="241">
    <w:name w:val="正文文本 Char2"/>
    <w:autoRedefine/>
    <w:semiHidden/>
    <w:qFormat/>
    <w:uiPriority w:val="99"/>
    <w:rPr>
      <w:rFonts w:ascii="Times New Roman" w:hAnsi="Times New Roman" w:eastAsia="宋体" w:cs="Times New Roman"/>
      <w:snapToGrid w:val="0"/>
      <w:kern w:val="0"/>
      <w:szCs w:val="24"/>
    </w:rPr>
  </w:style>
  <w:style w:type="character" w:customStyle="1" w:styleId="242">
    <w:name w:val="标书正文格式 Char"/>
    <w:autoRedefine/>
    <w:qFormat/>
    <w:uiPriority w:val="0"/>
    <w:rPr>
      <w:rFonts w:eastAsia="楷体_GB2312"/>
      <w:kern w:val="2"/>
      <w:sz w:val="24"/>
      <w:szCs w:val="24"/>
      <w:lang w:bidi="ar-SA"/>
    </w:rPr>
  </w:style>
  <w:style w:type="character" w:customStyle="1" w:styleId="243">
    <w:name w:val="Char Char11"/>
    <w:autoRedefine/>
    <w:qFormat/>
    <w:locked/>
    <w:uiPriority w:val="0"/>
    <w:rPr>
      <w:rFonts w:ascii="宋体" w:hAnsi="宋体" w:eastAsia="宋体"/>
      <w:b/>
      <w:kern w:val="2"/>
      <w:sz w:val="24"/>
      <w:szCs w:val="24"/>
      <w:lang w:val="en-US" w:eastAsia="zh-CN" w:bidi="ar-SA"/>
    </w:rPr>
  </w:style>
  <w:style w:type="character" w:customStyle="1" w:styleId="244">
    <w:name w:val="ca-131"/>
    <w:autoRedefine/>
    <w:qFormat/>
    <w:uiPriority w:val="0"/>
    <w:rPr>
      <w:rFonts w:hint="eastAsia" w:ascii="仿宋_GB2312" w:eastAsia="仿宋_GB2312"/>
      <w:b/>
      <w:bCs/>
      <w:color w:val="000000"/>
      <w:spacing w:val="-20"/>
      <w:sz w:val="24"/>
      <w:szCs w:val="24"/>
    </w:rPr>
  </w:style>
  <w:style w:type="character" w:customStyle="1" w:styleId="245">
    <w:name w:val="tw4winMark"/>
    <w:autoRedefine/>
    <w:qFormat/>
    <w:uiPriority w:val="0"/>
    <w:rPr>
      <w:rFonts w:ascii="Courier New" w:hAnsi="Courier New" w:cs="Courier New"/>
      <w:vanish/>
      <w:color w:val="800080"/>
      <w:sz w:val="24"/>
      <w:szCs w:val="24"/>
      <w:vertAlign w:val="subscript"/>
    </w:rPr>
  </w:style>
  <w:style w:type="character" w:customStyle="1" w:styleId="246">
    <w:name w:val="正文样式 Char"/>
    <w:link w:val="247"/>
    <w:autoRedefine/>
    <w:qFormat/>
    <w:uiPriority w:val="0"/>
    <w:rPr>
      <w:rFonts w:ascii="Calibri" w:hAnsi="Calibri"/>
      <w:sz w:val="24"/>
      <w:szCs w:val="24"/>
    </w:rPr>
  </w:style>
  <w:style w:type="paragraph" w:customStyle="1" w:styleId="247">
    <w:name w:val="正文样式"/>
    <w:basedOn w:val="1"/>
    <w:link w:val="246"/>
    <w:autoRedefine/>
    <w:qFormat/>
    <w:uiPriority w:val="0"/>
    <w:pPr>
      <w:adjustRightInd/>
      <w:spacing w:line="360" w:lineRule="auto"/>
      <w:ind w:firstLine="480" w:firstLineChars="200"/>
    </w:pPr>
    <w:rPr>
      <w:kern w:val="0"/>
      <w:sz w:val="24"/>
    </w:rPr>
  </w:style>
  <w:style w:type="character" w:customStyle="1" w:styleId="248">
    <w:name w:val="表正文 Char3"/>
    <w:autoRedefine/>
    <w:qFormat/>
    <w:uiPriority w:val="0"/>
    <w:rPr>
      <w:rFonts w:eastAsia="宋体"/>
    </w:rPr>
  </w:style>
  <w:style w:type="character" w:customStyle="1" w:styleId="249">
    <w:name w:val="H5 Char"/>
    <w:autoRedefine/>
    <w:qFormat/>
    <w:uiPriority w:val="0"/>
    <w:rPr>
      <w:b/>
      <w:bCs/>
      <w:kern w:val="2"/>
      <w:sz w:val="28"/>
      <w:szCs w:val="28"/>
    </w:rPr>
  </w:style>
  <w:style w:type="character" w:customStyle="1" w:styleId="250">
    <w:name w:val="Char Char3"/>
    <w:autoRedefine/>
    <w:qFormat/>
    <w:uiPriority w:val="0"/>
    <w:rPr>
      <w:rFonts w:eastAsia="宋体"/>
      <w:kern w:val="2"/>
      <w:sz w:val="21"/>
      <w:szCs w:val="24"/>
      <w:lang w:val="en-US" w:eastAsia="zh-CN" w:bidi="ar-SA"/>
    </w:rPr>
  </w:style>
  <w:style w:type="character" w:customStyle="1" w:styleId="251">
    <w:name w:val="正文 编号 Char"/>
    <w:autoRedefine/>
    <w:qFormat/>
    <w:uiPriority w:val="0"/>
    <w:rPr>
      <w:rFonts w:ascii="仿宋_GB2312" w:hAnsi="仿宋_GB2312" w:eastAsia="仿宋_GB2312"/>
      <w:kern w:val="2"/>
      <w:sz w:val="24"/>
      <w:lang w:bidi="ar-SA"/>
    </w:rPr>
  </w:style>
  <w:style w:type="character" w:customStyle="1" w:styleId="252">
    <w:name w:val="question-title2"/>
    <w:autoRedefine/>
    <w:qFormat/>
    <w:uiPriority w:val="6"/>
    <w:rPr>
      <w:rFonts w:ascii="Arial" w:hAnsi="Arial" w:eastAsia="黑体" w:cs="Arial"/>
      <w:snapToGrid w:val="0"/>
      <w:kern w:val="0"/>
      <w:szCs w:val="21"/>
    </w:rPr>
  </w:style>
  <w:style w:type="character" w:customStyle="1" w:styleId="253">
    <w:name w:val="gf正文1 Char Char"/>
    <w:link w:val="254"/>
    <w:autoRedefine/>
    <w:qFormat/>
    <w:uiPriority w:val="0"/>
    <w:rPr>
      <w:rFonts w:ascii="宋体" w:hAnsi="宋体" w:cs="宋体"/>
      <w:kern w:val="2"/>
      <w:sz w:val="24"/>
      <w:szCs w:val="24"/>
    </w:rPr>
  </w:style>
  <w:style w:type="paragraph" w:customStyle="1" w:styleId="254">
    <w:name w:val="gf正文1"/>
    <w:basedOn w:val="1"/>
    <w:link w:val="253"/>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autoRedefine/>
    <w:qFormat/>
    <w:uiPriority w:val="6"/>
    <w:rPr>
      <w:rFonts w:ascii="宋体" w:hAnsi="宋体"/>
      <w:kern w:val="1"/>
      <w:sz w:val="21"/>
    </w:rPr>
  </w:style>
  <w:style w:type="character" w:customStyle="1" w:styleId="256">
    <w:name w:val="正文缩进 Char3"/>
    <w:autoRedefine/>
    <w:qFormat/>
    <w:uiPriority w:val="0"/>
    <w:rPr>
      <w:rFonts w:ascii="宋体" w:eastAsia="宋体"/>
      <w:snapToGrid w:val="0"/>
      <w:color w:val="000000"/>
      <w:kern w:val="28"/>
      <w:sz w:val="28"/>
      <w:lang w:val="en-US" w:eastAsia="zh-CN" w:bidi="ar-SA"/>
    </w:rPr>
  </w:style>
  <w:style w:type="character" w:customStyle="1" w:styleId="257">
    <w:name w:val="列出段落 Char1"/>
    <w:link w:val="258"/>
    <w:autoRedefine/>
    <w:qFormat/>
    <w:uiPriority w:val="0"/>
    <w:rPr>
      <w:rFonts w:ascii="Calibri" w:hAnsi="Calibri"/>
      <w:sz w:val="24"/>
      <w:lang w:eastAsia="en-US"/>
    </w:rPr>
  </w:style>
  <w:style w:type="paragraph" w:customStyle="1" w:styleId="258">
    <w:name w:val="列表1"/>
    <w:basedOn w:val="1"/>
    <w:next w:val="82"/>
    <w:link w:val="257"/>
    <w:autoRedefine/>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autoRedefine/>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autoRedefine/>
    <w:qFormat/>
    <w:uiPriority w:val="0"/>
    <w:rPr>
      <w:rFonts w:ascii="仿宋_GB2312" w:eastAsia="仿宋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字符1"/>
    <w:link w:val="3"/>
    <w:autoRedefine/>
    <w:qFormat/>
    <w:uiPriority w:val="0"/>
    <w:rPr>
      <w:rFonts w:ascii="宋体" w:hAnsi="宋体"/>
      <w:kern w:val="2"/>
      <w:sz w:val="24"/>
      <w:szCs w:val="24"/>
    </w:rPr>
  </w:style>
  <w:style w:type="character" w:customStyle="1" w:styleId="266">
    <w:name w:val="font01"/>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autoRedefine/>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autoRedefine/>
    <w:qFormat/>
    <w:uiPriority w:val="9"/>
    <w:rPr>
      <w:rFonts w:ascii="Cambria" w:hAnsi="Cambria" w:eastAsia="宋体" w:cs="Times New Roman"/>
      <w:b/>
      <w:bCs/>
      <w:kern w:val="2"/>
      <w:sz w:val="28"/>
      <w:szCs w:val="28"/>
    </w:rPr>
  </w:style>
  <w:style w:type="character" w:customStyle="1" w:styleId="270">
    <w:name w:val="批注文字 Char2"/>
    <w:autoRedefine/>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autoRedefine/>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autoRedefine/>
    <w:qFormat/>
    <w:uiPriority w:val="0"/>
    <w:rPr>
      <w:rFonts w:ascii="Arial" w:hAnsi="Arial" w:eastAsia="黑体" w:cs="Arial"/>
      <w:snapToGrid w:val="0"/>
      <w:kern w:val="0"/>
      <w:sz w:val="18"/>
      <w:szCs w:val="18"/>
    </w:rPr>
  </w:style>
  <w:style w:type="character" w:customStyle="1" w:styleId="276">
    <w:name w:val="纯文本 Char2"/>
    <w:autoRedefine/>
    <w:semiHidden/>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
    <w:autoRedefine/>
    <w:qFormat/>
    <w:locked/>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标题 1 字符1"/>
    <w:link w:val="4"/>
    <w:autoRedefine/>
    <w:qFormat/>
    <w:uiPriority w:val="9"/>
    <w:rPr>
      <w:b/>
      <w:bCs/>
      <w:kern w:val="44"/>
      <w:sz w:val="44"/>
      <w:szCs w:val="44"/>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字符"/>
    <w:link w:val="59"/>
    <w:autoRedefine/>
    <w:qFormat/>
    <w:uiPriority w:val="10"/>
    <w:rPr>
      <w:b/>
      <w:sz w:val="24"/>
      <w:lang w:val="en-GB"/>
    </w:rPr>
  </w:style>
  <w:style w:type="character" w:customStyle="1" w:styleId="287">
    <w:name w:val="font81"/>
    <w:basedOn w:val="69"/>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字符"/>
    <w:link w:val="9"/>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字符"/>
    <w:link w:val="22"/>
    <w:autoRedefine/>
    <w:qFormat/>
    <w:uiPriority w:val="0"/>
    <w:rPr>
      <w:rFonts w:ascii="仿宋_GB2312" w:eastAsia="仿宋_GB2312"/>
      <w:kern w:val="2"/>
      <w:sz w:val="28"/>
    </w:rPr>
  </w:style>
  <w:style w:type="character" w:customStyle="1" w:styleId="299">
    <w:name w:val="文本正文 Char Char"/>
    <w:autoRedefine/>
    <w:qFormat/>
    <w:locked/>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字符"/>
    <w:link w:val="57"/>
    <w:autoRedefine/>
    <w:qFormat/>
    <w:uiPriority w:val="0"/>
    <w:rPr>
      <w:rFonts w:ascii="黑体" w:hAnsi="Courier New" w:eastAsia="黑体"/>
    </w:rPr>
  </w:style>
  <w:style w:type="character" w:customStyle="1" w:styleId="302">
    <w:name w:val="正文文本 2 字符1"/>
    <w:link w:val="56"/>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8"/>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字符"/>
    <w:link w:val="11"/>
    <w:autoRedefine/>
    <w:qFormat/>
    <w:uiPriority w:val="0"/>
    <w:rPr>
      <w:b/>
      <w:bCs/>
      <w:kern w:val="2"/>
      <w:sz w:val="24"/>
      <w:szCs w:val="24"/>
    </w:rPr>
  </w:style>
  <w:style w:type="character" w:customStyle="1" w:styleId="308">
    <w:name w:val="正文文本缩进 2 字符"/>
    <w:link w:val="37"/>
    <w:autoRedefine/>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字符"/>
    <w:link w:val="50"/>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basedOn w:val="69"/>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文本首行缩进 字符"/>
    <w:link w:val="61"/>
    <w:autoRedefine/>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qFormat/>
    <w:uiPriority w:val="0"/>
  </w:style>
  <w:style w:type="character" w:customStyle="1" w:styleId="327">
    <w:name w:val="标题 4 字符1"/>
    <w:link w:val="8"/>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字符"/>
    <w:link w:val="23"/>
    <w:autoRedefine/>
    <w:qFormat/>
    <w:uiPriority w:val="0"/>
    <w:rPr>
      <w:kern w:val="2"/>
      <w:sz w:val="21"/>
    </w:rPr>
  </w:style>
  <w:style w:type="character" w:customStyle="1" w:styleId="331">
    <w:name w:val="font31"/>
    <w:autoRedefine/>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字符1"/>
    <w:link w:val="21"/>
    <w:autoRedefine/>
    <w:qFormat/>
    <w:uiPriority w:val="0"/>
    <w:rPr>
      <w:kern w:val="2"/>
      <w:sz w:val="21"/>
      <w:szCs w:val="24"/>
    </w:rPr>
  </w:style>
  <w:style w:type="character" w:customStyle="1" w:styleId="345">
    <w:name w:val="签名 字符"/>
    <w:link w:val="42"/>
    <w:autoRedefine/>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autoRedefine/>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semiHidden/>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2"/>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basedOn w:val="69"/>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字符"/>
    <w:link w:val="53"/>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字符2"/>
    <w:link w:val="40"/>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字符2"/>
    <w:link w:val="41"/>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156"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69"/>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7"/>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5"/>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69"/>
    <w:autoRedefine/>
    <w:qFormat/>
    <w:uiPriority w:val="0"/>
    <w:rPr>
      <w:rFonts w:ascii="Arial" w:hAnsi="Arial" w:eastAsia="黑体" w:cs="Arial"/>
      <w:snapToGrid w:val="0"/>
      <w:kern w:val="0"/>
      <w:szCs w:val="21"/>
    </w:rPr>
  </w:style>
  <w:style w:type="character" w:customStyle="1" w:styleId="432">
    <w:name w:val="hui"/>
    <w:basedOn w:val="69"/>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3"/>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5"/>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82"/>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10"/>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5"/>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6"/>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9"/>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32"/>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6"/>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7"/>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1"/>
    <w:autoRedefine/>
    <w:qFormat/>
    <w:uiPriority w:val="0"/>
    <w:pPr>
      <w:tabs>
        <w:tab w:val="left" w:pos="840"/>
      </w:tabs>
      <w:adjustRightInd/>
      <w:spacing w:before="20" w:after="20" w:line="300" w:lineRule="auto"/>
      <w:ind w:left="840" w:hanging="420"/>
    </w:pPr>
    <w:rPr>
      <w:rFonts w:ascii="Tahoma" w:hAnsi="Tahoma"/>
      <w:kern w:val="0"/>
      <w:szCs w:val="21"/>
    </w:rPr>
  </w:style>
  <w:style w:type="paragraph" w:customStyle="1" w:styleId="521">
    <w:name w:val="左对齐表格文字"/>
    <w:basedOn w:val="1"/>
    <w:autoRedefine/>
    <w:qFormat/>
    <w:uiPriority w:val="0"/>
    <w:pPr>
      <w:adjustRightInd/>
      <w:ind w:firstLine="200" w:firstLineChars="200"/>
      <w:jc w:val="right"/>
    </w:pPr>
  </w:style>
  <w:style w:type="paragraph" w:customStyle="1" w:styleId="522">
    <w:name w:val="Char Char11 Char Char Char Char Char Char Char Char Char"/>
    <w:basedOn w:val="1"/>
    <w:autoRedefine/>
    <w:qFormat/>
    <w:uiPriority w:val="0"/>
    <w:pPr>
      <w:spacing w:line="360" w:lineRule="auto"/>
    </w:pPr>
    <w:rPr>
      <w:szCs w:val="20"/>
    </w:rPr>
  </w:style>
  <w:style w:type="paragraph" w:customStyle="1" w:styleId="523">
    <w:name w:val="正文1.25"/>
    <w:basedOn w:val="1"/>
    <w:autoRedefine/>
    <w:qFormat/>
    <w:uiPriority w:val="0"/>
    <w:pPr>
      <w:adjustRightInd/>
      <w:spacing w:line="300" w:lineRule="auto"/>
      <w:ind w:firstLine="480" w:firstLineChars="200"/>
    </w:pPr>
    <w:rPr>
      <w:sz w:val="24"/>
      <w:szCs w:val="20"/>
    </w:rPr>
  </w:style>
  <w:style w:type="paragraph" w:customStyle="1" w:styleId="524">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autoRedefine/>
    <w:qFormat/>
    <w:uiPriority w:val="6"/>
    <w:rPr>
      <w:rFonts w:ascii="仿宋_GB2312" w:eastAsia="仿宋_GB2312"/>
      <w:b/>
      <w:sz w:val="32"/>
      <w:szCs w:val="20"/>
    </w:rPr>
  </w:style>
  <w:style w:type="paragraph" w:customStyle="1" w:styleId="528">
    <w:name w:val="列出段落2"/>
    <w:basedOn w:val="1"/>
    <w:autoRedefine/>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autoRedefine/>
    <w:qFormat/>
    <w:uiPriority w:val="0"/>
    <w:rPr>
      <w:rFonts w:eastAsia="仿宋_GB2312"/>
      <w:sz w:val="28"/>
      <w:szCs w:val="20"/>
    </w:rPr>
  </w:style>
  <w:style w:type="paragraph" w:customStyle="1" w:styleId="530">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8"/>
    <w:autoRedefine/>
    <w:qFormat/>
    <w:uiPriority w:val="0"/>
    <w:pPr>
      <w:widowControl/>
      <w:jc w:val="left"/>
    </w:pPr>
    <w:rPr>
      <w:rFonts w:cs="宋体"/>
      <w:sz w:val="24"/>
      <w:szCs w:val="20"/>
    </w:rPr>
  </w:style>
  <w:style w:type="paragraph" w:customStyle="1" w:styleId="532">
    <w:name w:val="彩色列表 - 强调文字颜色 11"/>
    <w:basedOn w:val="1"/>
    <w:autoRedefine/>
    <w:qFormat/>
    <w:uiPriority w:val="0"/>
    <w:pPr>
      <w:adjustRightInd/>
      <w:ind w:firstLine="420" w:firstLineChars="200"/>
    </w:pPr>
    <w:rPr>
      <w:rFonts w:ascii="Calibri" w:hAnsi="Calibri"/>
      <w:szCs w:val="22"/>
    </w:rPr>
  </w:style>
  <w:style w:type="paragraph" w:customStyle="1" w:styleId="533">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autoRedefine/>
    <w:qFormat/>
    <w:uiPriority w:val="6"/>
    <w:rPr>
      <w:szCs w:val="20"/>
    </w:rPr>
  </w:style>
  <w:style w:type="paragraph" w:customStyle="1" w:styleId="53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6"/>
    <w:next w:val="236"/>
    <w:autoRedefine/>
    <w:qFormat/>
    <w:uiPriority w:val="0"/>
    <w:pPr>
      <w:spacing w:after="68"/>
    </w:pPr>
    <w:rPr>
      <w:rFonts w:ascii="FHLHE E+ Futura Bk" w:eastAsia="FHLHE E+ Futura Bk" w:cs="Times New Roman"/>
      <w:color w:val="auto"/>
    </w:rPr>
  </w:style>
  <w:style w:type="paragraph" w:customStyle="1" w:styleId="543">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6"/>
    <w:next w:val="236"/>
    <w:autoRedefine/>
    <w:qFormat/>
    <w:uiPriority w:val="0"/>
    <w:rPr>
      <w:rFonts w:ascii="宋体" w:eastAsia="宋体" w:cs="Times New Roman"/>
      <w:color w:val="auto"/>
    </w:rPr>
  </w:style>
  <w:style w:type="paragraph" w:customStyle="1" w:styleId="547">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autoRedefine/>
    <w:qFormat/>
    <w:uiPriority w:val="0"/>
    <w:rPr>
      <w:rFonts w:ascii="仿宋_GB2312" w:eastAsia="仿宋_GB2312"/>
      <w:b/>
      <w:sz w:val="32"/>
      <w:szCs w:val="32"/>
    </w:rPr>
  </w:style>
  <w:style w:type="paragraph" w:customStyle="1" w:styleId="549">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autoRedefine/>
    <w:qFormat/>
    <w:uiPriority w:val="0"/>
    <w:pPr>
      <w:spacing w:line="360" w:lineRule="auto"/>
    </w:pPr>
    <w:rPr>
      <w:szCs w:val="20"/>
    </w:rPr>
  </w:style>
  <w:style w:type="paragraph" w:customStyle="1" w:styleId="552">
    <w:name w:val="Char"/>
    <w:basedOn w:val="1"/>
    <w:autoRedefine/>
    <w:qFormat/>
    <w:uiPriority w:val="0"/>
    <w:rPr>
      <w:rFonts w:ascii="仿宋_GB2312" w:eastAsia="仿宋_GB2312"/>
      <w:b/>
      <w:sz w:val="32"/>
      <w:szCs w:val="32"/>
    </w:rPr>
  </w:style>
  <w:style w:type="paragraph" w:customStyle="1" w:styleId="55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autoRedefine/>
    <w:qFormat/>
    <w:uiPriority w:val="0"/>
    <w:rPr>
      <w:szCs w:val="20"/>
    </w:rPr>
  </w:style>
  <w:style w:type="paragraph" w:customStyle="1" w:styleId="556">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7">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5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autoRedefine/>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1">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2">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3"/>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autoRedefine/>
    <w:qFormat/>
    <w:uiPriority w:val="0"/>
    <w:rPr>
      <w:szCs w:val="20"/>
    </w:rPr>
  </w:style>
  <w:style w:type="paragraph" w:customStyle="1" w:styleId="579">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autoRedefine/>
    <w:qFormat/>
    <w:uiPriority w:val="0"/>
    <w:rPr>
      <w:rFonts w:ascii="Tahoma" w:hAnsi="Tahoma"/>
      <w:sz w:val="24"/>
      <w:szCs w:val="20"/>
    </w:rPr>
  </w:style>
  <w:style w:type="paragraph" w:customStyle="1" w:styleId="581">
    <w:name w:val="标题五"/>
    <w:basedOn w:val="1"/>
    <w:autoRedefine/>
    <w:qFormat/>
    <w:uiPriority w:val="0"/>
    <w:pPr>
      <w:adjustRightInd/>
      <w:spacing w:before="156" w:beforeLines="50" w:line="360" w:lineRule="auto"/>
    </w:pPr>
    <w:rPr>
      <w:b/>
      <w:sz w:val="24"/>
    </w:rPr>
  </w:style>
  <w:style w:type="paragraph" w:customStyle="1" w:styleId="582">
    <w:name w:val="Char Char1101"/>
    <w:basedOn w:val="1"/>
    <w:autoRedefine/>
    <w:qFormat/>
    <w:uiPriority w:val="0"/>
    <w:pPr>
      <w:spacing w:line="360" w:lineRule="auto"/>
    </w:pPr>
    <w:rPr>
      <w:rFonts w:ascii="Tahoma" w:hAnsi="Tahoma"/>
      <w:sz w:val="24"/>
      <w:szCs w:val="20"/>
    </w:rPr>
  </w:style>
  <w:style w:type="paragraph" w:customStyle="1" w:styleId="583">
    <w:name w:val="Char Char Char Char Char Char Char Char1"/>
    <w:basedOn w:val="1"/>
    <w:autoRedefine/>
    <w:qFormat/>
    <w:uiPriority w:val="0"/>
    <w:pPr>
      <w:tabs>
        <w:tab w:val="left" w:pos="360"/>
      </w:tabs>
    </w:pPr>
    <w:rPr>
      <w:sz w:val="24"/>
      <w:szCs w:val="20"/>
    </w:rPr>
  </w:style>
  <w:style w:type="paragraph" w:customStyle="1" w:styleId="584">
    <w:name w:val="Char Char Char 字元 字元"/>
    <w:basedOn w:val="1"/>
    <w:autoRedefine/>
    <w:qFormat/>
    <w:uiPriority w:val="0"/>
    <w:pPr>
      <w:adjustRightInd/>
      <w:spacing w:line="360" w:lineRule="auto"/>
      <w:ind w:firstLine="200" w:firstLineChars="200"/>
    </w:pPr>
    <w:rPr>
      <w:szCs w:val="20"/>
    </w:rPr>
  </w:style>
  <w:style w:type="paragraph" w:customStyle="1" w:styleId="585">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autoRedefine/>
    <w:qFormat/>
    <w:uiPriority w:val="0"/>
    <w:rPr>
      <w:rFonts w:ascii="仿宋_GB2312" w:eastAsia="仿宋_GB2312"/>
      <w:b/>
      <w:sz w:val="32"/>
      <w:szCs w:val="32"/>
    </w:rPr>
  </w:style>
  <w:style w:type="paragraph" w:customStyle="1" w:styleId="58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autoRedefine/>
    <w:qFormat/>
    <w:uiPriority w:val="0"/>
    <w:pPr>
      <w:adjustRightInd/>
    </w:pPr>
    <w:rPr>
      <w:sz w:val="18"/>
      <w:szCs w:val="20"/>
    </w:rPr>
  </w:style>
  <w:style w:type="paragraph" w:customStyle="1" w:styleId="59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7">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3"/>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autoRedefine/>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autoRedefine/>
    <w:qFormat/>
    <w:uiPriority w:val="0"/>
    <w:pPr>
      <w:snapToGrid w:val="0"/>
      <w:spacing w:line="360" w:lineRule="auto"/>
    </w:pPr>
    <w:rPr>
      <w:rFonts w:ascii="宋体"/>
      <w:b/>
      <w:sz w:val="24"/>
      <w:szCs w:val="20"/>
    </w:rPr>
  </w:style>
  <w:style w:type="paragraph" w:customStyle="1" w:styleId="602">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autoRedefine/>
    <w:qFormat/>
    <w:uiPriority w:val="7"/>
    <w:pPr>
      <w:adjustRightInd/>
    </w:pPr>
    <w:rPr>
      <w:rFonts w:ascii="宋体" w:hAnsi="Courier New"/>
    </w:rPr>
  </w:style>
  <w:style w:type="paragraph" w:customStyle="1" w:styleId="605">
    <w:name w:val="Char3"/>
    <w:basedOn w:val="1"/>
    <w:autoRedefine/>
    <w:qFormat/>
    <w:uiPriority w:val="0"/>
    <w:pPr>
      <w:adjustRightInd/>
    </w:pPr>
    <w:rPr>
      <w:rFonts w:ascii="仿宋_GB2312" w:eastAsia="仿宋_GB2312"/>
      <w:b/>
      <w:sz w:val="32"/>
      <w:szCs w:val="32"/>
    </w:rPr>
  </w:style>
  <w:style w:type="paragraph" w:customStyle="1" w:styleId="60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autoRedefine/>
    <w:qFormat/>
    <w:uiPriority w:val="0"/>
    <w:pPr>
      <w:widowControl/>
      <w:adjustRightInd/>
      <w:spacing w:after="160" w:line="240" w:lineRule="exact"/>
      <w:jc w:val="left"/>
    </w:pPr>
    <w:rPr>
      <w:szCs w:val="20"/>
    </w:rPr>
  </w:style>
  <w:style w:type="paragraph" w:customStyle="1" w:styleId="614">
    <w:name w:val="表格标题2"/>
    <w:basedOn w:val="615"/>
    <w:autoRedefine/>
    <w:qFormat/>
    <w:uiPriority w:val="0"/>
    <w:rPr>
      <w:b/>
    </w:rPr>
  </w:style>
  <w:style w:type="paragraph" w:customStyle="1" w:styleId="615">
    <w:name w:val="表格内文"/>
    <w:basedOn w:val="1"/>
    <w:autoRedefine/>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autoRedefine/>
    <w:qFormat/>
    <w:uiPriority w:val="0"/>
    <w:rPr>
      <w:rFonts w:ascii="仿宋_GB2312" w:eastAsia="仿宋_GB2312"/>
      <w:b/>
      <w:sz w:val="32"/>
      <w:szCs w:val="32"/>
    </w:rPr>
  </w:style>
  <w:style w:type="paragraph" w:customStyle="1" w:styleId="617">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autoRedefine/>
    <w:qFormat/>
    <w:uiPriority w:val="0"/>
    <w:pPr>
      <w:spacing w:line="360" w:lineRule="auto"/>
    </w:pPr>
    <w:rPr>
      <w:szCs w:val="20"/>
    </w:rPr>
  </w:style>
  <w:style w:type="paragraph" w:customStyle="1" w:styleId="62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2">
    <w:name w:val="MM Topic 1"/>
    <w:basedOn w:val="4"/>
    <w:autoRedefine/>
    <w:qFormat/>
    <w:uiPriority w:val="0"/>
    <w:pPr>
      <w:tabs>
        <w:tab w:val="left" w:pos="840"/>
      </w:tabs>
      <w:adjustRightInd/>
      <w:ind w:left="840" w:hanging="420"/>
    </w:pPr>
  </w:style>
  <w:style w:type="paragraph" w:customStyle="1" w:styleId="623">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autoRedefine/>
    <w:qFormat/>
    <w:uiPriority w:val="0"/>
    <w:pPr>
      <w:spacing w:line="360" w:lineRule="auto"/>
      <w:ind w:firstLine="200" w:firstLineChars="200"/>
    </w:pPr>
    <w:rPr>
      <w:kern w:val="0"/>
      <w:sz w:val="24"/>
      <w:szCs w:val="20"/>
    </w:rPr>
  </w:style>
  <w:style w:type="paragraph" w:customStyle="1" w:styleId="625">
    <w:name w:val="表格"/>
    <w:basedOn w:val="1"/>
    <w:autoRedefine/>
    <w:qFormat/>
    <w:uiPriority w:val="0"/>
    <w:pPr>
      <w:snapToGrid w:val="0"/>
      <w:ind w:firstLine="42" w:firstLineChars="21"/>
    </w:pPr>
    <w:rPr>
      <w:rFonts w:ascii="宋体" w:hAnsi="宋体"/>
      <w:kern w:val="0"/>
      <w:sz w:val="20"/>
      <w:szCs w:val="20"/>
    </w:rPr>
  </w:style>
  <w:style w:type="paragraph" w:customStyle="1" w:styleId="626">
    <w:name w:val="标书标题4"/>
    <w:basedOn w:val="8"/>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autoRedefine/>
    <w:qFormat/>
    <w:uiPriority w:val="0"/>
    <w:pPr>
      <w:adjustRightInd/>
      <w:spacing w:line="300" w:lineRule="auto"/>
      <w:jc w:val="center"/>
    </w:pPr>
  </w:style>
  <w:style w:type="paragraph" w:customStyle="1" w:styleId="631">
    <w:name w:val="_Style 6"/>
    <w:basedOn w:val="1"/>
    <w:autoRedefine/>
    <w:qFormat/>
    <w:uiPriority w:val="34"/>
    <w:pPr>
      <w:adjustRightInd/>
      <w:ind w:firstLine="420" w:firstLineChars="200"/>
    </w:pPr>
    <w:rPr>
      <w:rFonts w:eastAsia="仿宋_GB2312"/>
      <w:sz w:val="28"/>
    </w:rPr>
  </w:style>
  <w:style w:type="paragraph" w:customStyle="1" w:styleId="63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autoRedefine/>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autoRedefine/>
    <w:qFormat/>
    <w:uiPriority w:val="0"/>
    <w:rPr>
      <w:rFonts w:ascii="仿宋_GB2312" w:eastAsia="仿宋_GB2312"/>
      <w:b/>
      <w:sz w:val="32"/>
      <w:szCs w:val="20"/>
    </w:rPr>
  </w:style>
  <w:style w:type="paragraph" w:customStyle="1" w:styleId="642">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autoRedefine/>
    <w:qFormat/>
    <w:uiPriority w:val="0"/>
    <w:pPr>
      <w:adjustRightInd/>
      <w:ind w:firstLine="200" w:firstLineChars="200"/>
    </w:pPr>
    <w:rPr>
      <w:rFonts w:ascii="Tahoma" w:hAnsi="Tahoma"/>
      <w:sz w:val="24"/>
      <w:szCs w:val="20"/>
    </w:rPr>
  </w:style>
  <w:style w:type="paragraph" w:customStyle="1" w:styleId="644">
    <w:name w:val="a1"/>
    <w:basedOn w:val="1"/>
    <w:autoRedefine/>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autoRedefine/>
    <w:qFormat/>
    <w:uiPriority w:val="0"/>
    <w:pPr>
      <w:spacing w:after="156" w:afterLines="50"/>
      <w:jc w:val="left"/>
      <w:outlineLvl w:val="3"/>
    </w:pPr>
    <w:rPr>
      <w:sz w:val="24"/>
      <w:szCs w:val="24"/>
    </w:rPr>
  </w:style>
  <w:style w:type="paragraph" w:customStyle="1" w:styleId="64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8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autoRedefine/>
    <w:qFormat/>
    <w:uiPriority w:val="0"/>
    <w:pPr>
      <w:adjustRightInd/>
    </w:pPr>
    <w:rPr>
      <w:rFonts w:ascii="Tahoma" w:hAnsi="Tahoma"/>
      <w:sz w:val="24"/>
      <w:szCs w:val="20"/>
    </w:rPr>
  </w:style>
  <w:style w:type="paragraph" w:customStyle="1" w:styleId="651">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autoRedefine/>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autoRedefine/>
    <w:qFormat/>
    <w:uiPriority w:val="0"/>
    <w:pPr>
      <w:tabs>
        <w:tab w:val="left" w:pos="1260"/>
        <w:tab w:val="left" w:pos="1680"/>
        <w:tab w:val="left" w:pos="2100"/>
      </w:tabs>
      <w:ind w:left="0"/>
      <w:outlineLvl w:val="3"/>
    </w:pPr>
  </w:style>
  <w:style w:type="paragraph" w:customStyle="1" w:styleId="654">
    <w:name w:val="一级条标题"/>
    <w:basedOn w:val="655"/>
    <w:next w:val="637"/>
    <w:autoRedefine/>
    <w:qFormat/>
    <w:uiPriority w:val="0"/>
    <w:pPr>
      <w:tabs>
        <w:tab w:val="left" w:pos="1260"/>
        <w:tab w:val="left" w:pos="1680"/>
      </w:tabs>
      <w:spacing w:before="0" w:beforeLines="0" w:after="0" w:afterLines="0"/>
      <w:ind w:left="1680"/>
      <w:outlineLvl w:val="2"/>
    </w:pPr>
  </w:style>
  <w:style w:type="paragraph" w:customStyle="1" w:styleId="655">
    <w:name w:val="章标题"/>
    <w:next w:val="637"/>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5"/>
    <w:next w:val="1"/>
    <w:autoRedefine/>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4"/>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4"/>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autoRedefine/>
    <w:qFormat/>
    <w:uiPriority w:val="0"/>
    <w:pPr>
      <w:tabs>
        <w:tab w:val="left" w:pos="840"/>
      </w:tabs>
      <w:spacing w:after="0"/>
      <w:ind w:left="900"/>
    </w:pPr>
  </w:style>
  <w:style w:type="paragraph" w:customStyle="1" w:styleId="663">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autoRedefine/>
    <w:qFormat/>
    <w:uiPriority w:val="6"/>
    <w:pPr>
      <w:widowControl/>
      <w:adjustRightInd/>
      <w:ind w:left="720" w:hanging="720"/>
    </w:pPr>
    <w:rPr>
      <w:color w:val="000000"/>
      <w:kern w:val="0"/>
      <w:sz w:val="24"/>
      <w:szCs w:val="20"/>
      <w:lang w:val="en-GB"/>
    </w:rPr>
  </w:style>
  <w:style w:type="paragraph" w:customStyle="1" w:styleId="665">
    <w:name w:val="表1"/>
    <w:basedOn w:val="1"/>
    <w:autoRedefine/>
    <w:qFormat/>
    <w:uiPriority w:val="0"/>
    <w:pPr>
      <w:tabs>
        <w:tab w:val="left" w:pos="703"/>
      </w:tabs>
      <w:adjustRightInd/>
      <w:spacing w:line="360" w:lineRule="auto"/>
      <w:ind w:left="703"/>
      <w:jc w:val="center"/>
    </w:pPr>
  </w:style>
  <w:style w:type="paragraph" w:customStyle="1" w:styleId="666">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autoRedefine/>
    <w:qFormat/>
    <w:uiPriority w:val="0"/>
    <w:pPr>
      <w:jc w:val="left"/>
      <w:outlineLvl w:val="1"/>
    </w:pPr>
    <w:rPr>
      <w:rFonts w:ascii="Times New Roman" w:hAnsi="Times New Roman" w:eastAsia="仿宋"/>
      <w:sz w:val="30"/>
    </w:rPr>
  </w:style>
  <w:style w:type="paragraph" w:customStyle="1" w:styleId="670">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autoRedefine/>
    <w:qFormat/>
    <w:uiPriority w:val="0"/>
    <w:pPr>
      <w:tabs>
        <w:tab w:val="left" w:pos="840"/>
      </w:tabs>
      <w:adjustRightInd/>
      <w:ind w:left="840" w:hanging="420"/>
    </w:pPr>
  </w:style>
  <w:style w:type="paragraph" w:customStyle="1" w:styleId="676">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8"/>
    <w:autoRedefine/>
    <w:qFormat/>
    <w:uiPriority w:val="0"/>
    <w:pPr>
      <w:tabs>
        <w:tab w:val="left" w:pos="2100"/>
      </w:tabs>
      <w:adjustRightInd/>
      <w:ind w:left="2100" w:hanging="420"/>
    </w:pPr>
    <w:rPr>
      <w:lang w:val="en-US"/>
    </w:rPr>
  </w:style>
  <w:style w:type="paragraph" w:customStyle="1" w:styleId="684">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autoRedefine/>
    <w:qFormat/>
    <w:uiPriority w:val="6"/>
    <w:pPr>
      <w:spacing w:line="360" w:lineRule="auto"/>
    </w:pPr>
    <w:rPr>
      <w:szCs w:val="20"/>
    </w:rPr>
  </w:style>
  <w:style w:type="paragraph" w:customStyle="1" w:styleId="68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autoRedefine/>
    <w:qFormat/>
    <w:uiPriority w:val="0"/>
    <w:pPr>
      <w:adjustRightInd/>
      <w:spacing w:line="360" w:lineRule="auto"/>
      <w:jc w:val="center"/>
    </w:pPr>
    <w:rPr>
      <w:sz w:val="24"/>
    </w:rPr>
  </w:style>
  <w:style w:type="paragraph" w:customStyle="1" w:styleId="697">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autoRedefine/>
    <w:qFormat/>
    <w:uiPriority w:val="6"/>
    <w:rPr>
      <w:rFonts w:ascii="仿宋_GB2312" w:eastAsia="仿宋_GB2312"/>
      <w:b/>
      <w:sz w:val="32"/>
      <w:szCs w:val="32"/>
    </w:rPr>
  </w:style>
  <w:style w:type="paragraph" w:customStyle="1" w:styleId="699">
    <w:name w:val="正文缩进1"/>
    <w:basedOn w:val="1"/>
    <w:next w:val="3"/>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autoRedefine/>
    <w:qFormat/>
    <w:uiPriority w:val="0"/>
    <w:pPr>
      <w:widowControl/>
      <w:adjustRightInd/>
      <w:spacing w:after="160" w:line="240" w:lineRule="exact"/>
      <w:jc w:val="left"/>
    </w:pPr>
    <w:rPr>
      <w:szCs w:val="20"/>
    </w:rPr>
  </w:style>
  <w:style w:type="paragraph" w:customStyle="1" w:styleId="702">
    <w:name w:val="Char Char1121"/>
    <w:basedOn w:val="1"/>
    <w:autoRedefine/>
    <w:qFormat/>
    <w:uiPriority w:val="0"/>
    <w:pPr>
      <w:spacing w:line="360" w:lineRule="auto"/>
    </w:pPr>
    <w:rPr>
      <w:szCs w:val="20"/>
    </w:rPr>
  </w:style>
  <w:style w:type="paragraph" w:customStyle="1" w:styleId="703">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autoRedefine/>
    <w:qFormat/>
    <w:uiPriority w:val="0"/>
    <w:rPr>
      <w:rFonts w:ascii="Times New Roman" w:hAnsi="Times New Roman" w:eastAsia="宋体" w:cs="Times New Roman"/>
      <w:lang w:val="en-US" w:eastAsia="en-US" w:bidi="ar-SA"/>
    </w:rPr>
  </w:style>
  <w:style w:type="paragraph" w:customStyle="1" w:styleId="706">
    <w:name w:val="带编号样式"/>
    <w:basedOn w:val="624"/>
    <w:autoRedefine/>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0">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autoRedefine/>
    <w:qFormat/>
    <w:uiPriority w:val="0"/>
    <w:pPr>
      <w:spacing w:line="240" w:lineRule="atLeast"/>
      <w:ind w:left="420" w:firstLine="420"/>
    </w:pPr>
    <w:rPr>
      <w:sz w:val="24"/>
    </w:rPr>
  </w:style>
  <w:style w:type="paragraph" w:customStyle="1" w:styleId="713">
    <w:name w:val="WW-正文文字缩进 2"/>
    <w:basedOn w:val="1"/>
    <w:autoRedefine/>
    <w:qFormat/>
    <w:uiPriority w:val="0"/>
    <w:pPr>
      <w:suppressAutoHyphens/>
      <w:adjustRightInd/>
      <w:ind w:firstLine="420"/>
    </w:pPr>
    <w:rPr>
      <w:kern w:val="1"/>
      <w:szCs w:val="20"/>
    </w:rPr>
  </w:style>
  <w:style w:type="paragraph" w:customStyle="1" w:styleId="71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5"/>
    <w:autoRedefine/>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autoRedefine/>
    <w:qFormat/>
    <w:uiPriority w:val="0"/>
    <w:pPr>
      <w:adjustRightInd/>
      <w:spacing w:line="400" w:lineRule="exact"/>
      <w:ind w:firstLine="200" w:firstLineChars="200"/>
    </w:pPr>
    <w:rPr>
      <w:rFonts w:ascii="Arial" w:hAnsi="Arial"/>
    </w:rPr>
  </w:style>
  <w:style w:type="paragraph" w:customStyle="1" w:styleId="717">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autoRedefine/>
    <w:qFormat/>
    <w:uiPriority w:val="0"/>
    <w:pPr>
      <w:spacing w:after="120" w:line="480" w:lineRule="auto"/>
      <w:ind w:left="420" w:leftChars="200"/>
    </w:pPr>
    <w:rPr>
      <w:sz w:val="24"/>
      <w:szCs w:val="20"/>
    </w:rPr>
  </w:style>
  <w:style w:type="paragraph" w:customStyle="1" w:styleId="72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6"/>
    <w:autoRedefine/>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autoRedefine/>
    <w:qFormat/>
    <w:uiPriority w:val="0"/>
    <w:rPr>
      <w:rFonts w:ascii="仿宋_GB2312" w:eastAsia="仿宋_GB2312"/>
      <w:b/>
      <w:sz w:val="32"/>
      <w:szCs w:val="20"/>
    </w:rPr>
  </w:style>
  <w:style w:type="paragraph" w:customStyle="1" w:styleId="729">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autoRedefine/>
    <w:qFormat/>
    <w:uiPriority w:val="0"/>
    <w:rPr>
      <w:rFonts w:ascii="仿宋_GB2312" w:eastAsia="仿宋_GB2312"/>
      <w:b/>
      <w:sz w:val="32"/>
      <w:szCs w:val="32"/>
    </w:rPr>
  </w:style>
  <w:style w:type="paragraph" w:customStyle="1" w:styleId="733">
    <w:name w:val="Char3 Char Char Char1"/>
    <w:basedOn w:val="1"/>
    <w:autoRedefine/>
    <w:qFormat/>
    <w:uiPriority w:val="6"/>
    <w:pPr>
      <w:widowControl/>
      <w:adjustRightInd/>
      <w:spacing w:after="160" w:line="240" w:lineRule="exact"/>
      <w:jc w:val="left"/>
    </w:pPr>
    <w:rPr>
      <w:szCs w:val="20"/>
    </w:rPr>
  </w:style>
  <w:style w:type="paragraph" w:customStyle="1" w:styleId="734">
    <w:name w:val="Char1 Char Char Char21"/>
    <w:basedOn w:val="1"/>
    <w:autoRedefine/>
    <w:qFormat/>
    <w:uiPriority w:val="0"/>
    <w:rPr>
      <w:rFonts w:ascii="Tahoma" w:hAnsi="Tahoma"/>
      <w:sz w:val="24"/>
      <w:szCs w:val="20"/>
    </w:rPr>
  </w:style>
  <w:style w:type="paragraph" w:customStyle="1" w:styleId="735">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autoRedefine/>
    <w:qFormat/>
    <w:uiPriority w:val="0"/>
    <w:pPr>
      <w:spacing w:line="360" w:lineRule="auto"/>
      <w:ind w:firstLine="200" w:firstLineChars="200"/>
    </w:pPr>
    <w:rPr>
      <w:sz w:val="24"/>
    </w:rPr>
  </w:style>
  <w:style w:type="paragraph" w:customStyle="1" w:styleId="737">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autoRedefine/>
    <w:qFormat/>
    <w:uiPriority w:val="0"/>
    <w:pPr>
      <w:adjustRightInd/>
      <w:ind w:firstLine="200" w:firstLineChars="200"/>
    </w:pPr>
    <w:rPr>
      <w:rFonts w:ascii="Tahoma" w:hAnsi="Tahoma"/>
      <w:sz w:val="24"/>
      <w:szCs w:val="20"/>
    </w:rPr>
  </w:style>
  <w:style w:type="paragraph" w:customStyle="1" w:styleId="743">
    <w:name w:val="_标题2"/>
    <w:basedOn w:val="710"/>
    <w:next w:val="710"/>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autoRedefine/>
    <w:qFormat/>
    <w:uiPriority w:val="0"/>
    <w:pPr>
      <w:adjustRightInd/>
      <w:spacing w:line="360" w:lineRule="auto"/>
    </w:pPr>
    <w:rPr>
      <w:rFonts w:ascii="宋体" w:hAnsi="宋体"/>
      <w:szCs w:val="20"/>
    </w:rPr>
  </w:style>
  <w:style w:type="paragraph" w:customStyle="1" w:styleId="74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autoRedefine/>
    <w:qFormat/>
    <w:uiPriority w:val="0"/>
    <w:pPr>
      <w:adjustRightInd/>
    </w:pPr>
    <w:rPr>
      <w:rFonts w:ascii="Tahoma" w:hAnsi="Tahoma"/>
      <w:sz w:val="24"/>
    </w:rPr>
  </w:style>
  <w:style w:type="paragraph" w:customStyle="1" w:styleId="751">
    <w:name w:val="Char Char Char Char11"/>
    <w:basedOn w:val="1"/>
    <w:autoRedefine/>
    <w:qFormat/>
    <w:uiPriority w:val="0"/>
    <w:rPr>
      <w:rFonts w:ascii="Tahoma" w:hAnsi="Tahoma"/>
      <w:sz w:val="24"/>
      <w:szCs w:val="20"/>
    </w:rPr>
  </w:style>
  <w:style w:type="paragraph" w:customStyle="1" w:styleId="752">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autoRedefine/>
    <w:qFormat/>
    <w:uiPriority w:val="0"/>
    <w:rPr>
      <w:rFonts w:ascii="Tahoma" w:hAnsi="Tahoma"/>
      <w:sz w:val="24"/>
      <w:szCs w:val="20"/>
    </w:rPr>
  </w:style>
  <w:style w:type="paragraph" w:customStyle="1" w:styleId="754">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autoRedefine/>
    <w:qFormat/>
    <w:uiPriority w:val="0"/>
    <w:pPr>
      <w:adjustRightInd/>
    </w:pPr>
    <w:rPr>
      <w:szCs w:val="20"/>
    </w:rPr>
  </w:style>
  <w:style w:type="paragraph" w:customStyle="1" w:styleId="75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autoRedefine/>
    <w:qFormat/>
    <w:uiPriority w:val="34"/>
    <w:pPr>
      <w:adjustRightInd/>
      <w:ind w:firstLine="420" w:firstLineChars="200"/>
    </w:pPr>
    <w:rPr>
      <w:rFonts w:eastAsia="仿宋_GB2312"/>
      <w:sz w:val="28"/>
    </w:rPr>
  </w:style>
  <w:style w:type="paragraph" w:customStyle="1" w:styleId="75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autoRedefine/>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autoRedefine/>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5"/>
    <w:autoRedefine/>
    <w:qFormat/>
    <w:uiPriority w:val="0"/>
    <w:pPr>
      <w:autoSpaceDE/>
      <w:autoSpaceDN/>
      <w:snapToGrid w:val="0"/>
      <w:ind w:firstLine="480" w:firstLineChars="200"/>
    </w:pPr>
    <w:rPr>
      <w:rFonts w:ascii="Times New Roman"/>
      <w:szCs w:val="24"/>
      <w:lang w:val="en-US"/>
    </w:rPr>
  </w:style>
  <w:style w:type="paragraph" w:customStyle="1" w:styleId="767">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autoRedefine/>
    <w:qFormat/>
    <w:uiPriority w:val="0"/>
    <w:rPr>
      <w:rFonts w:ascii="宋体" w:hAnsi="Times New Roman" w:eastAsia="宋体" w:cs="Times New Roman"/>
      <w:kern w:val="2"/>
      <w:lang w:val="en-US" w:eastAsia="zh-CN" w:bidi="ar-SA"/>
    </w:rPr>
  </w:style>
  <w:style w:type="paragraph" w:customStyle="1" w:styleId="769">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autoRedefine/>
    <w:qFormat/>
    <w:uiPriority w:val="0"/>
    <w:pPr>
      <w:tabs>
        <w:tab w:val="left" w:pos="360"/>
      </w:tabs>
    </w:pPr>
    <w:rPr>
      <w:sz w:val="24"/>
      <w:szCs w:val="20"/>
    </w:rPr>
  </w:style>
  <w:style w:type="paragraph" w:customStyle="1" w:styleId="773">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7"/>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autoRedefine/>
    <w:qFormat/>
    <w:uiPriority w:val="0"/>
    <w:pPr>
      <w:widowControl/>
      <w:adjustRightInd/>
    </w:pPr>
    <w:rPr>
      <w:kern w:val="0"/>
      <w:szCs w:val="21"/>
    </w:rPr>
  </w:style>
  <w:style w:type="paragraph" w:customStyle="1" w:styleId="782">
    <w:name w:val="Char6"/>
    <w:basedOn w:val="1"/>
    <w:autoRedefine/>
    <w:qFormat/>
    <w:uiPriority w:val="0"/>
    <w:rPr>
      <w:rFonts w:ascii="仿宋_GB2312" w:eastAsia="仿宋_GB2312"/>
      <w:b/>
      <w:sz w:val="32"/>
      <w:szCs w:val="32"/>
    </w:rPr>
  </w:style>
  <w:style w:type="paragraph" w:customStyle="1" w:styleId="783">
    <w:name w:val="Char111"/>
    <w:basedOn w:val="1"/>
    <w:autoRedefine/>
    <w:qFormat/>
    <w:uiPriority w:val="0"/>
    <w:rPr>
      <w:rFonts w:ascii="仿宋_GB2312" w:eastAsia="仿宋_GB2312"/>
      <w:b/>
      <w:sz w:val="32"/>
      <w:szCs w:val="32"/>
    </w:rPr>
  </w:style>
  <w:style w:type="paragraph" w:customStyle="1" w:styleId="784">
    <w:name w:val="标题3"/>
    <w:basedOn w:val="6"/>
    <w:next w:val="53"/>
    <w:autoRedefine/>
    <w:qFormat/>
    <w:uiPriority w:val="0"/>
    <w:pPr>
      <w:tabs>
        <w:tab w:val="clear" w:pos="900"/>
      </w:tabs>
      <w:spacing w:after="0" w:line="360" w:lineRule="auto"/>
    </w:pPr>
    <w:rPr>
      <w:rFonts w:ascii="仿宋" w:hAnsi="仿宋" w:eastAsia="仿宋" w:cs="仿宋"/>
    </w:rPr>
  </w:style>
  <w:style w:type="paragraph" w:customStyle="1" w:styleId="785">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autoRedefine/>
    <w:qFormat/>
    <w:uiPriority w:val="0"/>
    <w:pPr>
      <w:adjustRightInd/>
      <w:ind w:firstLine="200" w:firstLineChars="200"/>
    </w:pPr>
    <w:rPr>
      <w:rFonts w:ascii="Tahoma" w:hAnsi="Tahoma"/>
      <w:sz w:val="24"/>
      <w:szCs w:val="20"/>
    </w:rPr>
  </w:style>
  <w:style w:type="paragraph" w:customStyle="1" w:styleId="788">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autoRedefine/>
    <w:qFormat/>
    <w:uiPriority w:val="0"/>
    <w:rPr>
      <w:rFonts w:ascii="仿宋_GB2312" w:eastAsia="仿宋_GB2312"/>
      <w:b/>
      <w:sz w:val="32"/>
      <w:szCs w:val="32"/>
    </w:rPr>
  </w:style>
  <w:style w:type="paragraph" w:customStyle="1" w:styleId="791">
    <w:name w:val="五级条标题"/>
    <w:basedOn w:val="792"/>
    <w:next w:val="637"/>
    <w:autoRedefine/>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autoRedefine/>
    <w:qFormat/>
    <w:uiPriority w:val="0"/>
    <w:pPr>
      <w:tabs>
        <w:tab w:val="left" w:pos="2940"/>
        <w:tab w:val="clear" w:pos="2520"/>
      </w:tabs>
      <w:ind w:left="2940"/>
      <w:outlineLvl w:val="5"/>
    </w:pPr>
  </w:style>
  <w:style w:type="paragraph" w:customStyle="1" w:styleId="79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autoRedefine/>
    <w:qFormat/>
    <w:uiPriority w:val="0"/>
    <w:rPr>
      <w:rFonts w:ascii="仿宋_GB2312" w:eastAsia="仿宋_GB2312"/>
      <w:b/>
      <w:sz w:val="32"/>
      <w:szCs w:val="32"/>
    </w:rPr>
  </w:style>
  <w:style w:type="paragraph" w:customStyle="1" w:styleId="795">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autoRedefine/>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1"/>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5"/>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8"/>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3"/>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0"/>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82"/>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9"/>
    <w:next w:val="1"/>
    <w:qFormat/>
    <w:uiPriority w:val="0"/>
    <w:pPr>
      <w:tabs>
        <w:tab w:val="left" w:pos="1080"/>
      </w:tabs>
      <w:ind w:left="1080" w:hanging="1080"/>
    </w:pPr>
  </w:style>
  <w:style w:type="paragraph" w:customStyle="1" w:styleId="894">
    <w:name w:val="数字标题1"/>
    <w:basedOn w:val="4"/>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3"/>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8"/>
    <w:qFormat/>
    <w:uiPriority w:val="0"/>
    <w:rPr>
      <w:kern w:val="2"/>
      <w:sz w:val="21"/>
      <w:szCs w:val="24"/>
      <w:lang w:val="zh-CN"/>
    </w:rPr>
  </w:style>
  <w:style w:type="character" w:customStyle="1" w:styleId="930">
    <w:name w:val="无间隔 字符"/>
    <w:link w:val="481"/>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82"/>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正文7"/>
    <w:basedOn w:val="1"/>
    <w:qFormat/>
    <w:uiPriority w:val="0"/>
    <w:pPr>
      <w:spacing w:line="318" w:lineRule="atLeast"/>
      <w:ind w:left="369" w:firstLine="369"/>
      <w:textAlignment w:val="baseline"/>
    </w:pPr>
    <w:rPr>
      <w:rFonts w:ascii="宋体"/>
      <w:szCs w:val="20"/>
    </w:rPr>
  </w:style>
  <w:style w:type="paragraph" w:customStyle="1" w:styleId="963">
    <w:name w:val="自动更正"/>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4">
    <w:name w:val="WPSOffice手动目录 1"/>
    <w:qFormat/>
    <w:uiPriority w:val="0"/>
    <w:rPr>
      <w:rFonts w:ascii="Times New Roman" w:hAnsi="Times New Roman" w:eastAsia="宋体" w:cs="Times New Roman"/>
      <w:lang w:val="en-US" w:eastAsia="zh-CN" w:bidi="ar-SA"/>
    </w:rPr>
  </w:style>
  <w:style w:type="paragraph" w:customStyle="1" w:styleId="965">
    <w:name w:val="列表段落2"/>
    <w:basedOn w:val="1"/>
    <w:qFormat/>
    <w:uiPriority w:val="99"/>
    <w:pPr>
      <w:adjustRightInd/>
      <w:ind w:firstLine="420" w:firstLineChars="200"/>
    </w:pPr>
    <w:rPr>
      <w:rFonts w:ascii="Calibri" w:hAnsi="Calibri"/>
    </w:rPr>
  </w:style>
  <w:style w:type="paragraph" w:customStyle="1" w:styleId="966">
    <w:name w:val="Body Text First Indent 21"/>
    <w:basedOn w:val="967"/>
    <w:qFormat/>
    <w:uiPriority w:val="0"/>
    <w:pPr>
      <w:ind w:firstLine="420"/>
    </w:pPr>
    <w:rPr>
      <w:rFonts w:cs="宋体"/>
    </w:rPr>
  </w:style>
  <w:style w:type="paragraph" w:customStyle="1" w:styleId="967">
    <w:name w:val="Body Text Indent1"/>
    <w:basedOn w:val="1"/>
    <w:next w:val="1"/>
    <w:qFormat/>
    <w:uiPriority w:val="0"/>
    <w:pPr>
      <w:spacing w:after="120"/>
      <w:ind w:left="420" w:leftChars="200"/>
    </w:pPr>
    <w:rPr>
      <w:color w:val="000000"/>
      <w:szCs w:val="21"/>
    </w:rPr>
  </w:style>
  <w:style w:type="paragraph" w:customStyle="1" w:styleId="968">
    <w:name w:val="!BT正文"/>
    <w:qFormat/>
    <w:uiPriority w:val="0"/>
    <w:pPr>
      <w:spacing w:line="360" w:lineRule="auto"/>
      <w:ind w:firstLine="200" w:firstLineChars="200"/>
    </w:pPr>
    <w:rPr>
      <w:rFonts w:ascii="宋体" w:hAnsi="宋体" w:eastAsia="宋体" w:cs="Times New Roman"/>
      <w:kern w:val="2"/>
      <w:sz w:val="24"/>
      <w:szCs w:val="22"/>
      <w:lang w:val="en-US" w:eastAsia="zh-CN" w:bidi="ar-SA"/>
    </w:rPr>
  </w:style>
  <w:style w:type="paragraph" w:customStyle="1" w:styleId="969">
    <w:name w:val="04-正文"/>
    <w:qFormat/>
    <w:uiPriority w:val="0"/>
    <w:pPr>
      <w:widowControl w:val="0"/>
      <w:spacing w:line="360" w:lineRule="auto"/>
      <w:ind w:firstLine="482"/>
      <w:jc w:val="both"/>
    </w:pPr>
    <w:rPr>
      <w:rFonts w:ascii="宋体" w:hAnsi="宋体" w:eastAsia="宋体" w:cs="Times New Roman"/>
      <w:kern w:val="2"/>
      <w:sz w:val="21"/>
      <w:szCs w:val="22"/>
      <w:lang w:val="en-US" w:eastAsia="zh-CN" w:bidi="ar-SA"/>
    </w:rPr>
  </w:style>
  <w:style w:type="paragraph" w:customStyle="1" w:styleId="970">
    <w:name w:val="GHC 正文"/>
    <w:qFormat/>
    <w:uiPriority w:val="0"/>
    <w:pPr>
      <w:widowControl w:val="0"/>
      <w:spacing w:line="360" w:lineRule="auto"/>
      <w:ind w:firstLine="420" w:firstLineChars="200"/>
      <w:jc w:val="both"/>
    </w:pPr>
    <w:rPr>
      <w:rFonts w:ascii="宋体" w:hAnsi="宋体" w:eastAsia="宋体" w:cs="Times New Roman"/>
      <w:kern w:val="2"/>
      <w:sz w:val="21"/>
      <w:szCs w:val="24"/>
      <w:lang w:val="en-AU" w:eastAsia="zh-CN" w:bidi="ar-SA"/>
    </w:rPr>
  </w:style>
  <w:style w:type="paragraph" w:customStyle="1" w:styleId="971">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87</Pages>
  <Words>14526</Words>
  <Characters>15784</Characters>
  <Lines>425</Lines>
  <Paragraphs>119</Paragraphs>
  <TotalTime>1</TotalTime>
  <ScaleCrop>false</ScaleCrop>
  <LinksUpToDate>false</LinksUpToDate>
  <CharactersWithSpaces>16127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朱同学。</cp:lastModifiedBy>
  <cp:lastPrinted>2024-07-26T15:50:00Z</cp:lastPrinted>
  <dcterms:modified xsi:type="dcterms:W3CDTF">2024-12-11T02:12:11Z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739D6855644B41C4AB75D05A6654DCFB_13</vt:lpwstr>
  </property>
</Properties>
</file>