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D3785">
      <w:pPr>
        <w:adjustRightInd/>
        <w:spacing w:line="360" w:lineRule="auto"/>
        <w:jc w:val="center"/>
        <w:rPr>
          <w:rFonts w:hint="eastAsia" w:ascii="宋体" w:hAnsi="宋体" w:eastAsia="宋体" w:cs="宋体"/>
          <w:b/>
          <w:color w:val="auto"/>
          <w:sz w:val="24"/>
          <w:szCs w:val="24"/>
          <w:highlight w:val="none"/>
        </w:rPr>
      </w:pPr>
    </w:p>
    <w:p w14:paraId="0E5757A4">
      <w:pPr>
        <w:adjustRightInd/>
        <w:spacing w:line="360" w:lineRule="auto"/>
        <w:jc w:val="center"/>
        <w:rPr>
          <w:rFonts w:hint="eastAsia" w:ascii="宋体" w:hAnsi="宋体" w:eastAsia="宋体" w:cs="宋体"/>
          <w:b/>
          <w:color w:val="auto"/>
          <w:sz w:val="24"/>
          <w:szCs w:val="24"/>
          <w:highlight w:val="none"/>
        </w:rPr>
      </w:pPr>
    </w:p>
    <w:p w14:paraId="003809F1">
      <w:pPr>
        <w:adjustRightInd/>
        <w:spacing w:line="360" w:lineRule="auto"/>
        <w:jc w:val="center"/>
        <w:rPr>
          <w:rFonts w:hint="eastAsia" w:ascii="宋体" w:hAnsi="宋体" w:eastAsia="宋体" w:cs="宋体"/>
          <w:b/>
          <w:color w:val="auto"/>
          <w:sz w:val="24"/>
          <w:szCs w:val="24"/>
          <w:highlight w:val="none"/>
        </w:rPr>
      </w:pPr>
    </w:p>
    <w:p w14:paraId="505B1B11">
      <w:pPr>
        <w:adjustRightInd/>
        <w:spacing w:line="360" w:lineRule="auto"/>
        <w:jc w:val="center"/>
        <w:rPr>
          <w:rFonts w:hint="eastAsia" w:ascii="宋体" w:hAnsi="宋体" w:eastAsia="宋体" w:cs="宋体"/>
          <w:color w:val="auto"/>
          <w:sz w:val="40"/>
          <w:szCs w:val="40"/>
          <w:highlight w:val="none"/>
        </w:rPr>
      </w:pPr>
      <w:bookmarkStart w:id="0" w:name="_Toc4543"/>
    </w:p>
    <w:bookmarkEnd w:id="0"/>
    <w:p w14:paraId="3D6BA1BC">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pacing w:val="-23"/>
          <w:sz w:val="48"/>
          <w:szCs w:val="48"/>
          <w:highlight w:val="none"/>
          <w:lang w:eastAsia="zh-CN"/>
        </w:rPr>
        <w:t>鄞州区督考一体化应用建设项目</w:t>
      </w:r>
    </w:p>
    <w:p w14:paraId="659BCB91">
      <w:pPr>
        <w:adjustRightInd/>
        <w:spacing w:line="360" w:lineRule="auto"/>
        <w:jc w:val="center"/>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rPr>
        <w:t xml:space="preserve">招标文件 </w:t>
      </w:r>
    </w:p>
    <w:p w14:paraId="3AA821D8">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（电子招投标）</w:t>
      </w:r>
    </w:p>
    <w:p w14:paraId="1BEE7CDF">
      <w:pPr>
        <w:snapToGrid w:val="0"/>
        <w:spacing w:line="360" w:lineRule="auto"/>
        <w:jc w:val="center"/>
        <w:rPr>
          <w:rFonts w:hint="eastAsia" w:ascii="宋体" w:hAnsi="宋体" w:eastAsia="宋体" w:cs="宋体"/>
          <w:color w:val="auto"/>
          <w:sz w:val="36"/>
          <w:szCs w:val="36"/>
          <w:highlight w:val="none"/>
        </w:rPr>
      </w:pPr>
    </w:p>
    <w:p w14:paraId="149CD033">
      <w:pPr>
        <w:snapToGrid w:val="0"/>
        <w:spacing w:line="360" w:lineRule="auto"/>
        <w:jc w:val="center"/>
        <w:rPr>
          <w:rFonts w:hint="eastAsia" w:ascii="宋体" w:hAnsi="宋体" w:eastAsia="宋体" w:cs="宋体"/>
          <w:color w:val="auto"/>
          <w:sz w:val="36"/>
          <w:szCs w:val="36"/>
          <w:highlight w:val="none"/>
          <w:lang w:eastAsia="zh-CN"/>
        </w:rPr>
      </w:pPr>
      <w:bookmarkStart w:id="1" w:name="_Toc22009"/>
      <w:r>
        <w:rPr>
          <w:rFonts w:hint="eastAsia" w:ascii="宋体" w:hAnsi="宋体" w:cs="宋体"/>
          <w:color w:val="auto"/>
          <w:sz w:val="36"/>
          <w:szCs w:val="36"/>
          <w:highlight w:val="none"/>
          <w:lang w:val="en-US" w:eastAsia="zh-CN"/>
        </w:rPr>
        <w:t>项目</w:t>
      </w:r>
      <w:r>
        <w:rPr>
          <w:rFonts w:hint="eastAsia" w:ascii="宋体" w:hAnsi="宋体" w:eastAsia="宋体" w:cs="宋体"/>
          <w:color w:val="auto"/>
          <w:sz w:val="36"/>
          <w:szCs w:val="36"/>
          <w:highlight w:val="none"/>
        </w:rPr>
        <w:t>编号:</w:t>
      </w:r>
      <w:r>
        <w:rPr>
          <w:rFonts w:hint="eastAsia" w:ascii="宋体" w:hAnsi="宋体" w:cs="宋体"/>
          <w:color w:val="auto"/>
          <w:sz w:val="36"/>
          <w:szCs w:val="36"/>
          <w:highlight w:val="none"/>
          <w:lang w:val="en-US" w:eastAsia="zh-CN"/>
        </w:rPr>
        <w:t>CBNB-20242289G</w:t>
      </w:r>
      <w:bookmarkEnd w:id="1"/>
    </w:p>
    <w:p w14:paraId="4B12582B">
      <w:pPr>
        <w:adjustRightInd/>
        <w:spacing w:line="360" w:lineRule="auto"/>
        <w:rPr>
          <w:rFonts w:hint="eastAsia" w:ascii="宋体" w:hAnsi="宋体" w:eastAsia="宋体" w:cs="宋体"/>
          <w:color w:val="auto"/>
          <w:sz w:val="24"/>
          <w:szCs w:val="24"/>
          <w:highlight w:val="none"/>
        </w:rPr>
      </w:pPr>
    </w:p>
    <w:p w14:paraId="670462A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14:paraId="6BF8DF1C">
      <w:pPr>
        <w:spacing w:line="360" w:lineRule="auto"/>
        <w:jc w:val="center"/>
        <w:rPr>
          <w:rFonts w:hint="eastAsia" w:ascii="宋体" w:hAnsi="宋体" w:eastAsia="宋体" w:cs="宋体"/>
          <w:b/>
          <w:color w:val="auto"/>
          <w:sz w:val="24"/>
          <w:szCs w:val="24"/>
          <w:highlight w:val="none"/>
        </w:rPr>
      </w:pPr>
    </w:p>
    <w:p w14:paraId="2C55ED0E">
      <w:pPr>
        <w:pStyle w:val="3"/>
        <w:numPr>
          <w:ilvl w:val="1"/>
          <w:numId w:val="0"/>
        </w:numPr>
        <w:ind w:leftChars="0"/>
        <w:outlineLvl w:val="9"/>
        <w:rPr>
          <w:rFonts w:hint="eastAsia"/>
          <w:color w:val="auto"/>
          <w:highlight w:val="none"/>
        </w:rPr>
      </w:pPr>
    </w:p>
    <w:p w14:paraId="3C8AD577">
      <w:pPr>
        <w:pStyle w:val="5"/>
        <w:rPr>
          <w:rFonts w:hint="eastAsia" w:ascii="宋体" w:hAnsi="宋体" w:eastAsia="宋体" w:cs="宋体"/>
          <w:b/>
          <w:color w:val="auto"/>
          <w:sz w:val="24"/>
          <w:szCs w:val="24"/>
          <w:highlight w:val="none"/>
        </w:rPr>
      </w:pPr>
    </w:p>
    <w:p w14:paraId="5FA2460F">
      <w:pPr>
        <w:pStyle w:val="5"/>
        <w:rPr>
          <w:rFonts w:hint="eastAsia" w:ascii="宋体" w:hAnsi="宋体" w:eastAsia="宋体" w:cs="宋体"/>
          <w:b/>
          <w:color w:val="auto"/>
          <w:sz w:val="24"/>
          <w:szCs w:val="24"/>
          <w:highlight w:val="none"/>
        </w:rPr>
      </w:pPr>
    </w:p>
    <w:p w14:paraId="0D240B77">
      <w:pPr>
        <w:spacing w:line="360" w:lineRule="auto"/>
        <w:jc w:val="center"/>
        <w:rPr>
          <w:rFonts w:hint="eastAsia" w:ascii="宋体" w:hAnsi="宋体" w:eastAsia="宋体" w:cs="宋体"/>
          <w:color w:val="auto"/>
          <w:sz w:val="24"/>
          <w:szCs w:val="24"/>
          <w:highlight w:val="none"/>
        </w:rPr>
      </w:pPr>
    </w:p>
    <w:p w14:paraId="7797870A">
      <w:pPr>
        <w:spacing w:line="360" w:lineRule="auto"/>
        <w:jc w:val="center"/>
        <w:rPr>
          <w:rFonts w:hint="eastAsia" w:ascii="宋体" w:hAnsi="宋体" w:eastAsia="宋体" w:cs="宋体"/>
          <w:color w:val="auto"/>
          <w:sz w:val="24"/>
          <w:szCs w:val="24"/>
          <w:highlight w:val="none"/>
        </w:rPr>
      </w:pPr>
    </w:p>
    <w:p w14:paraId="13E67B09">
      <w:pPr>
        <w:spacing w:line="360" w:lineRule="auto"/>
        <w:rPr>
          <w:rFonts w:hint="eastAsia" w:ascii="宋体" w:hAnsi="宋体" w:eastAsia="宋体" w:cs="宋体"/>
          <w:color w:val="auto"/>
          <w:sz w:val="24"/>
          <w:szCs w:val="24"/>
          <w:highlight w:val="none"/>
        </w:rPr>
      </w:pPr>
    </w:p>
    <w:p w14:paraId="5BDDDB83">
      <w:pPr>
        <w:pStyle w:val="64"/>
        <w:rPr>
          <w:rFonts w:hint="eastAsia" w:ascii="宋体" w:hAnsi="宋体" w:eastAsia="宋体" w:cs="宋体"/>
          <w:color w:val="auto"/>
          <w:sz w:val="24"/>
          <w:szCs w:val="24"/>
          <w:highlight w:val="none"/>
        </w:rPr>
      </w:pPr>
    </w:p>
    <w:p w14:paraId="68293D0A">
      <w:pPr>
        <w:rPr>
          <w:rFonts w:hint="eastAsia" w:ascii="宋体" w:hAnsi="宋体" w:cs="宋体"/>
          <w:bCs/>
          <w:color w:val="auto"/>
          <w:sz w:val="32"/>
          <w:szCs w:val="32"/>
          <w:highlight w:val="none"/>
          <w:lang w:val="en-US" w:eastAsia="zh-CN"/>
        </w:rPr>
      </w:pPr>
    </w:p>
    <w:p w14:paraId="5445A689">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 xml:space="preserve">   </w:t>
      </w:r>
      <w:bookmarkStart w:id="2" w:name="_Toc11349"/>
      <w:r>
        <w:rPr>
          <w:rFonts w:hint="eastAsia" w:ascii="宋体" w:hAnsi="宋体" w:eastAsia="宋体" w:cs="宋体"/>
          <w:bCs/>
          <w:color w:val="auto"/>
          <w:sz w:val="32"/>
          <w:szCs w:val="32"/>
          <w:highlight w:val="none"/>
          <w:lang w:val="en-US" w:eastAsia="zh-CN"/>
        </w:rPr>
        <w:t>采购人：</w:t>
      </w:r>
      <w:r>
        <w:rPr>
          <w:rFonts w:hint="eastAsia" w:ascii="宋体" w:hAnsi="宋体" w:cs="宋体"/>
          <w:bCs/>
          <w:color w:val="auto"/>
          <w:sz w:val="32"/>
          <w:szCs w:val="32"/>
          <w:highlight w:val="none"/>
          <w:lang w:eastAsia="zh-CN"/>
        </w:rPr>
        <w:t>宁波市鄞州区数据服务中心</w:t>
      </w:r>
      <w:bookmarkEnd w:id="2"/>
    </w:p>
    <w:p w14:paraId="61D5C74F">
      <w:pPr>
        <w:snapToGrid w:val="0"/>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 xml:space="preserve">    </w:t>
      </w:r>
      <w:bookmarkStart w:id="3" w:name="_Toc2466"/>
      <w:bookmarkStart w:id="4" w:name="_Toc28581"/>
      <w:r>
        <w:rPr>
          <w:rFonts w:hint="eastAsia" w:ascii="宋体" w:hAnsi="宋体" w:cs="宋体"/>
          <w:bCs/>
          <w:color w:val="auto"/>
          <w:sz w:val="32"/>
          <w:szCs w:val="32"/>
          <w:highlight w:val="none"/>
          <w:lang w:val="en-US" w:eastAsia="zh-CN"/>
        </w:rPr>
        <w:t>采购</w:t>
      </w:r>
      <w:r>
        <w:rPr>
          <w:rFonts w:hint="eastAsia" w:ascii="宋体" w:hAnsi="宋体" w:eastAsia="宋体" w:cs="宋体"/>
          <w:bCs/>
          <w:color w:val="auto"/>
          <w:sz w:val="32"/>
          <w:szCs w:val="32"/>
          <w:highlight w:val="none"/>
          <w:lang w:val="en-US" w:eastAsia="zh-CN"/>
        </w:rPr>
        <w:t>代理机构：宁波中基国际招标有限公司</w:t>
      </w:r>
      <w:bookmarkEnd w:id="3"/>
      <w:bookmarkEnd w:id="4"/>
    </w:p>
    <w:p w14:paraId="5810E003">
      <w:pPr>
        <w:spacing w:line="360" w:lineRule="auto"/>
        <w:jc w:val="center"/>
        <w:rPr>
          <w:rFonts w:hint="eastAsia" w:ascii="宋体" w:hAnsi="宋体" w:eastAsia="宋体" w:cs="宋体"/>
          <w:bCs/>
          <w:color w:val="auto"/>
          <w:sz w:val="32"/>
          <w:szCs w:val="32"/>
          <w:highlight w:val="none"/>
          <w:lang w:eastAsia="zh-CN"/>
        </w:rPr>
      </w:pPr>
    </w:p>
    <w:p w14:paraId="697C2CED">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cs="宋体"/>
          <w:bCs/>
          <w:color w:val="auto"/>
          <w:sz w:val="32"/>
          <w:szCs w:val="32"/>
          <w:highlight w:val="none"/>
          <w:lang w:val="en-US" w:eastAsia="zh-CN"/>
        </w:rPr>
        <w:t>2024</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8</w:t>
      </w:r>
      <w:r>
        <w:rPr>
          <w:rFonts w:hint="eastAsia" w:ascii="宋体" w:hAnsi="宋体" w:eastAsia="宋体" w:cs="宋体"/>
          <w:bCs/>
          <w:color w:val="auto"/>
          <w:sz w:val="32"/>
          <w:szCs w:val="32"/>
          <w:highlight w:val="none"/>
        </w:rPr>
        <w:t>月</w:t>
      </w:r>
    </w:p>
    <w:p w14:paraId="7A3C33D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5" w:name="_Hlt67893495"/>
      <w:bookmarkEnd w:id="5"/>
    </w:p>
    <w:p w14:paraId="0BDE17D5">
      <w:pPr>
        <w:spacing w:line="360" w:lineRule="auto"/>
        <w:jc w:val="center"/>
        <w:rPr>
          <w:rFonts w:hint="eastAsia" w:ascii="宋体" w:hAnsi="宋体" w:eastAsia="宋体" w:cs="宋体"/>
          <w:color w:val="auto"/>
          <w:sz w:val="24"/>
          <w:szCs w:val="24"/>
          <w:highlight w:val="none"/>
        </w:rPr>
      </w:pPr>
    </w:p>
    <w:p w14:paraId="31DA3874">
      <w:pPr>
        <w:spacing w:line="360" w:lineRule="auto"/>
        <w:outlineLvl w:val="9"/>
        <w:rPr>
          <w:rFonts w:hint="eastAsia" w:ascii="宋体" w:hAnsi="宋体" w:eastAsia="宋体" w:cs="宋体"/>
          <w:color w:val="auto"/>
          <w:sz w:val="24"/>
          <w:szCs w:val="24"/>
          <w:highlight w:val="none"/>
        </w:rPr>
      </w:pPr>
    </w:p>
    <w:p w14:paraId="1821882D">
      <w:pPr>
        <w:spacing w:before="0" w:after="0" w:line="240" w:lineRule="auto"/>
        <w:ind w:left="0" w:leftChars="0" w:right="0" w:rightChars="0" w:firstLine="0" w:firstLineChars="0"/>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目</w:t>
      </w:r>
      <w:r>
        <w:rPr>
          <w:rFonts w:hint="eastAsia" w:ascii="宋体" w:hAnsi="宋体" w:eastAsia="宋体" w:cs="宋体"/>
          <w:color w:val="auto"/>
          <w:sz w:val="40"/>
          <w:szCs w:val="40"/>
          <w:highlight w:val="none"/>
          <w:lang w:val="en-US" w:eastAsia="zh-CN"/>
        </w:rPr>
        <w:t xml:space="preserve">  </w:t>
      </w:r>
      <w:r>
        <w:rPr>
          <w:rFonts w:hint="eastAsia" w:ascii="宋体" w:hAnsi="宋体" w:eastAsia="宋体" w:cs="宋体"/>
          <w:color w:val="auto"/>
          <w:sz w:val="40"/>
          <w:szCs w:val="40"/>
          <w:highlight w:val="none"/>
        </w:rPr>
        <w:t>录</w:t>
      </w:r>
    </w:p>
    <w:p w14:paraId="0999B000">
      <w:pPr>
        <w:pStyle w:val="64"/>
        <w:rPr>
          <w:rFonts w:hint="eastAsia" w:ascii="宋体" w:hAnsi="宋体" w:eastAsia="宋体" w:cs="宋体"/>
          <w:color w:val="auto"/>
          <w:sz w:val="32"/>
          <w:szCs w:val="32"/>
          <w:highlight w:val="none"/>
        </w:rPr>
      </w:pPr>
    </w:p>
    <w:sdt>
      <w:sdtPr>
        <w:rPr>
          <w:rFonts w:ascii="宋体" w:hAnsi="宋体" w:eastAsia="宋体" w:cs="Times New Roman"/>
          <w:color w:val="auto"/>
          <w:kern w:val="2"/>
          <w:sz w:val="21"/>
          <w:szCs w:val="24"/>
          <w:highlight w:val="none"/>
          <w:lang w:val="en-US" w:eastAsia="zh-CN" w:bidi="ar-SA"/>
        </w:rPr>
        <w:id w:val="147475027"/>
        <w15:color w:val="DBDBDB"/>
        <w:docPartObj>
          <w:docPartGallery w:val="Table of Contents"/>
          <w:docPartUnique/>
        </w:docPartObj>
      </w:sdtPr>
      <w:sdtEndPr>
        <w:rPr>
          <w:rFonts w:hint="eastAsia" w:ascii="宋体" w:hAnsi="宋体" w:eastAsia="宋体" w:cs="宋体"/>
          <w:color w:val="auto"/>
          <w:kern w:val="2"/>
          <w:sz w:val="30"/>
          <w:szCs w:val="30"/>
          <w:highlight w:val="none"/>
          <w:lang w:val="en-US" w:eastAsia="zh-CN" w:bidi="ar-SA"/>
        </w:rPr>
      </w:sdtEndPr>
      <w:sdtContent>
        <w:p w14:paraId="59A1E721">
          <w:pPr>
            <w:spacing w:before="0" w:beforeLines="0" w:after="0" w:afterLines="0" w:line="240" w:lineRule="auto"/>
            <w:ind w:left="0" w:leftChars="0" w:right="0" w:rightChars="0" w:firstLine="0" w:firstLineChars="0"/>
            <w:jc w:val="center"/>
            <w:rPr>
              <w:color w:val="auto"/>
              <w:highlight w:val="none"/>
            </w:rPr>
          </w:pPr>
        </w:p>
        <w:p w14:paraId="563757B1">
          <w:pPr>
            <w:pStyle w:val="971"/>
            <w:tabs>
              <w:tab w:val="right" w:leader="dot" w:pos="9637"/>
            </w:tabs>
            <w:spacing w:line="48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"1-1" \h \u </w:instrText>
          </w:r>
          <w:r>
            <w:rPr>
              <w:rFonts w:hint="eastAsia" w:ascii="宋体" w:hAnsi="宋体" w:eastAsia="宋体" w:cs="宋体"/>
              <w:color w:val="auto"/>
              <w:sz w:val="30"/>
              <w:szCs w:val="30"/>
              <w:highlight w:val="none"/>
            </w:rPr>
            <w:fldChar w:fldCharType="separate"/>
          </w:r>
        </w:p>
        <w:p w14:paraId="76EBD531">
          <w:pPr>
            <w:pStyle w:val="971"/>
            <w:tabs>
              <w:tab w:val="right" w:leader="dot" w:pos="9637"/>
            </w:tabs>
            <w:spacing w:line="48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_Toc15166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color w:val="auto"/>
              <w:sz w:val="30"/>
              <w:szCs w:val="30"/>
              <w:highlight w:val="none"/>
            </w:rPr>
            <w:t>第一部分 招标公告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_Toc15166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50FA185B">
          <w:pPr>
            <w:pStyle w:val="971"/>
            <w:tabs>
              <w:tab w:val="right" w:leader="dot" w:pos="9637"/>
            </w:tabs>
            <w:spacing w:line="48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_Toc21590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第二部分 投标人须知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_Toc21590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7</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0AD7FC79">
          <w:pPr>
            <w:pStyle w:val="971"/>
            <w:tabs>
              <w:tab w:val="right" w:leader="dot" w:pos="9637"/>
            </w:tabs>
            <w:spacing w:line="48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_Toc19347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第三部分 采购需求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_Toc19347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24</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0C55B675">
          <w:pPr>
            <w:pStyle w:val="971"/>
            <w:tabs>
              <w:tab w:val="right" w:leader="dot" w:pos="9637"/>
            </w:tabs>
            <w:spacing w:line="48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_Toc13536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第四部分 评标办法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_Toc13536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40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18348FE9">
          <w:pPr>
            <w:pStyle w:val="971"/>
            <w:tabs>
              <w:tab w:val="right" w:leader="dot" w:pos="9637"/>
            </w:tabs>
            <w:spacing w:line="48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_Toc27869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lang w:val="en-US" w:eastAsia="zh-CN"/>
            </w:rPr>
            <w:t xml:space="preserve">第五部分 </w:t>
          </w:r>
          <w:r>
            <w:rPr>
              <w:rFonts w:hint="eastAsia" w:ascii="宋体" w:hAnsi="宋体" w:eastAsia="宋体" w:cs="宋体"/>
              <w:color w:val="auto"/>
              <w:sz w:val="30"/>
              <w:szCs w:val="30"/>
              <w:highlight w:val="none"/>
            </w:rPr>
            <w:t>拟签订的合同文本</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_Toc27869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49</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2FFBE253">
          <w:pPr>
            <w:pStyle w:val="971"/>
            <w:tabs>
              <w:tab w:val="right" w:leader="dot" w:pos="9637"/>
            </w:tabs>
            <w:spacing w:line="48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_Toc1639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第六部分 应提交的有关格式范例</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_Toc1639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54</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3447224A">
          <w:pPr>
            <w:keepNext w:val="0"/>
            <w:keepLines w:val="0"/>
            <w:pageBreakBefore w:val="0"/>
            <w:kinsoku/>
            <w:wordWrap/>
            <w:overflowPunct/>
            <w:topLinePunct w:val="0"/>
            <w:autoSpaceDE/>
            <w:autoSpaceDN/>
            <w:bidi w:val="0"/>
            <w:snapToGrid/>
            <w:spacing w:line="48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end"/>
          </w:r>
        </w:p>
      </w:sdtContent>
    </w:sdt>
    <w:p w14:paraId="1CFCB087">
      <w:pPr>
        <w:spacing w:line="480" w:lineRule="auto"/>
        <w:ind w:firstLine="687" w:firstLineChars="229"/>
        <w:rPr>
          <w:rFonts w:hint="eastAsia" w:ascii="宋体" w:hAnsi="宋体" w:eastAsia="宋体" w:cs="宋体"/>
          <w:color w:val="auto"/>
          <w:sz w:val="30"/>
          <w:szCs w:val="30"/>
          <w:highlight w:val="none"/>
        </w:rPr>
      </w:pPr>
      <w:bookmarkStart w:id="6" w:name="_Hlt91233176"/>
      <w:bookmarkEnd w:id="6"/>
      <w:bookmarkStart w:id="7" w:name="_Toc91899869"/>
    </w:p>
    <w:p w14:paraId="739EB02E">
      <w:pPr>
        <w:spacing w:line="480" w:lineRule="auto"/>
        <w:ind w:firstLine="687" w:firstLineChars="229"/>
        <w:rPr>
          <w:rFonts w:hint="eastAsia" w:ascii="宋体" w:hAnsi="宋体" w:eastAsia="宋体" w:cs="宋体"/>
          <w:color w:val="auto"/>
          <w:sz w:val="30"/>
          <w:szCs w:val="30"/>
          <w:highlight w:val="none"/>
        </w:rPr>
      </w:pPr>
    </w:p>
    <w:p w14:paraId="20C7BBD6">
      <w:pPr>
        <w:spacing w:line="360" w:lineRule="auto"/>
        <w:ind w:firstLine="549" w:firstLineChars="229"/>
        <w:rPr>
          <w:rFonts w:hint="eastAsia" w:ascii="宋体" w:hAnsi="宋体" w:eastAsia="宋体" w:cs="宋体"/>
          <w:color w:val="auto"/>
          <w:sz w:val="24"/>
          <w:szCs w:val="24"/>
          <w:highlight w:val="none"/>
        </w:rPr>
      </w:pPr>
    </w:p>
    <w:p w14:paraId="562974F3">
      <w:pPr>
        <w:spacing w:line="360" w:lineRule="auto"/>
        <w:ind w:firstLine="549" w:firstLineChars="229"/>
        <w:rPr>
          <w:rFonts w:hint="eastAsia" w:ascii="宋体" w:hAnsi="宋体" w:eastAsia="宋体" w:cs="宋体"/>
          <w:color w:val="auto"/>
          <w:sz w:val="24"/>
          <w:szCs w:val="24"/>
          <w:highlight w:val="none"/>
        </w:rPr>
      </w:pPr>
    </w:p>
    <w:p w14:paraId="21F5E350">
      <w:pPr>
        <w:spacing w:line="360" w:lineRule="auto"/>
        <w:ind w:firstLine="549" w:firstLineChars="229"/>
        <w:rPr>
          <w:rFonts w:hint="eastAsia" w:ascii="宋体" w:hAnsi="宋体" w:eastAsia="宋体" w:cs="宋体"/>
          <w:color w:val="auto"/>
          <w:sz w:val="24"/>
          <w:szCs w:val="24"/>
          <w:highlight w:val="none"/>
        </w:rPr>
      </w:pPr>
    </w:p>
    <w:p w14:paraId="569E8832">
      <w:pPr>
        <w:spacing w:line="360" w:lineRule="auto"/>
        <w:ind w:firstLine="549" w:firstLineChars="229"/>
        <w:rPr>
          <w:rFonts w:hint="eastAsia" w:ascii="宋体" w:hAnsi="宋体" w:eastAsia="宋体" w:cs="宋体"/>
          <w:color w:val="auto"/>
          <w:sz w:val="24"/>
          <w:szCs w:val="24"/>
          <w:highlight w:val="none"/>
        </w:rPr>
      </w:pPr>
    </w:p>
    <w:p w14:paraId="6A3FE32E">
      <w:pPr>
        <w:spacing w:line="360" w:lineRule="auto"/>
        <w:ind w:firstLine="549" w:firstLineChars="229"/>
        <w:rPr>
          <w:rFonts w:hint="eastAsia" w:ascii="宋体" w:hAnsi="宋体" w:eastAsia="宋体" w:cs="宋体"/>
          <w:color w:val="auto"/>
          <w:sz w:val="24"/>
          <w:szCs w:val="24"/>
          <w:highlight w:val="none"/>
        </w:rPr>
      </w:pPr>
    </w:p>
    <w:p w14:paraId="75143937">
      <w:pPr>
        <w:spacing w:line="360" w:lineRule="auto"/>
        <w:ind w:firstLine="549" w:firstLineChars="229"/>
        <w:rPr>
          <w:rFonts w:hint="eastAsia" w:ascii="宋体" w:hAnsi="宋体" w:eastAsia="宋体" w:cs="宋体"/>
          <w:color w:val="auto"/>
          <w:sz w:val="24"/>
          <w:szCs w:val="24"/>
          <w:highlight w:val="none"/>
        </w:rPr>
      </w:pPr>
    </w:p>
    <w:p w14:paraId="0241C136">
      <w:pPr>
        <w:spacing w:line="360" w:lineRule="auto"/>
        <w:ind w:firstLine="549" w:firstLineChars="229"/>
        <w:rPr>
          <w:rFonts w:hint="eastAsia" w:ascii="宋体" w:hAnsi="宋体" w:eastAsia="宋体" w:cs="宋体"/>
          <w:color w:val="auto"/>
          <w:sz w:val="24"/>
          <w:szCs w:val="24"/>
          <w:highlight w:val="none"/>
        </w:rPr>
      </w:pPr>
    </w:p>
    <w:p w14:paraId="60AA7896">
      <w:pPr>
        <w:spacing w:line="360" w:lineRule="auto"/>
        <w:ind w:firstLine="549" w:firstLineChars="229"/>
        <w:rPr>
          <w:rFonts w:hint="eastAsia" w:ascii="宋体" w:hAnsi="宋体" w:eastAsia="宋体" w:cs="宋体"/>
          <w:color w:val="auto"/>
          <w:sz w:val="24"/>
          <w:szCs w:val="24"/>
          <w:highlight w:val="none"/>
        </w:rPr>
      </w:pPr>
    </w:p>
    <w:p w14:paraId="40A1FE35">
      <w:pPr>
        <w:spacing w:line="360" w:lineRule="auto"/>
        <w:ind w:firstLine="549" w:firstLineChars="229"/>
        <w:rPr>
          <w:rFonts w:hint="eastAsia" w:ascii="宋体" w:hAnsi="宋体" w:eastAsia="宋体" w:cs="宋体"/>
          <w:color w:val="auto"/>
          <w:sz w:val="24"/>
          <w:szCs w:val="24"/>
          <w:highlight w:val="none"/>
        </w:rPr>
      </w:pPr>
    </w:p>
    <w:p w14:paraId="49B4916C">
      <w:pPr>
        <w:pStyle w:val="2"/>
        <w:bidi w:val="0"/>
        <w:rPr>
          <w:rFonts w:hint="eastAsia" w:ascii="宋体" w:hAnsi="宋体" w:eastAsia="宋体" w:cs="宋体"/>
          <w:b/>
          <w:color w:val="auto"/>
          <w:sz w:val="24"/>
          <w:szCs w:val="24"/>
          <w:highlight w:val="none"/>
        </w:rPr>
      </w:pPr>
      <w:bookmarkStart w:id="8" w:name="第一部分"/>
      <w:r>
        <w:rPr>
          <w:rFonts w:hint="eastAsia" w:ascii="宋体" w:hAnsi="宋体" w:eastAsia="宋体" w:cs="宋体"/>
          <w:b/>
          <w:color w:val="auto"/>
          <w:sz w:val="24"/>
          <w:szCs w:val="24"/>
          <w:highlight w:val="none"/>
        </w:rPr>
        <w:br w:type="page"/>
      </w:r>
      <w:bookmarkEnd w:id="7"/>
      <w:bookmarkEnd w:id="8"/>
      <w:bookmarkStart w:id="9" w:name="_Hlt74707423"/>
      <w:bookmarkEnd w:id="9"/>
      <w:bookmarkStart w:id="10" w:name="_Hlt74729822"/>
      <w:bookmarkEnd w:id="10"/>
      <w:bookmarkStart w:id="11" w:name="_Hlt74728647"/>
      <w:bookmarkEnd w:id="11"/>
      <w:bookmarkStart w:id="12" w:name="_Hlt74649545"/>
      <w:bookmarkEnd w:id="12"/>
      <w:bookmarkStart w:id="13" w:name="_Toc32263"/>
      <w:bookmarkStart w:id="14" w:name="_Toc15656"/>
      <w:bookmarkStart w:id="15" w:name="_Toc15166"/>
      <w:bookmarkStart w:id="16" w:name="第二部分"/>
      <w:bookmarkStart w:id="17" w:name="_Toc91899870"/>
      <w:bookmarkStart w:id="18" w:name="_Toc91899871"/>
      <w:r>
        <w:rPr>
          <w:rStyle w:val="292"/>
          <w:rFonts w:hint="eastAsia" w:ascii="宋体" w:hAnsi="宋体" w:eastAsia="宋体" w:cs="宋体"/>
          <w:b/>
          <w:bCs/>
          <w:color w:val="auto"/>
          <w:sz w:val="32"/>
          <w:szCs w:val="32"/>
          <w:highlight w:val="none"/>
        </w:rPr>
        <w:t>第一部分 招标公告</w:t>
      </w:r>
      <w:bookmarkEnd w:id="13"/>
      <w:bookmarkEnd w:id="14"/>
      <w:bookmarkEnd w:id="15"/>
    </w:p>
    <w:p w14:paraId="33C624F4">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项目概况                                                    </w:t>
      </w:r>
    </w:p>
    <w:p w14:paraId="1D262B3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鄞州区督考一体化应用建设项目招标项目的潜在投标人应在政采云平台（https://www.zcygov.cn/） 获取（下载）招标文件，并于 2024年09月04日 09:00（北京时间）前递交（上传）投标文件。 </w:t>
      </w:r>
    </w:p>
    <w:p w14:paraId="1269C7F2">
      <w:pPr>
        <w:spacing w:line="360" w:lineRule="auto"/>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rPr>
        <w:t xml:space="preserve">一、项目基本情况                                            </w:t>
      </w:r>
    </w:p>
    <w:p w14:paraId="585F82FB">
      <w:pPr>
        <w:spacing w:line="36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b/>
          <w:color w:val="auto"/>
          <w:sz w:val="24"/>
          <w:szCs w:val="24"/>
          <w:highlight w:val="none"/>
          <w:u w:val="none"/>
        </w:rPr>
        <w:t xml:space="preserve">    </w:t>
      </w:r>
      <w:bookmarkStart w:id="19" w:name="_Toc23734"/>
      <w:r>
        <w:rPr>
          <w:rFonts w:hint="eastAsia" w:ascii="宋体" w:hAnsi="宋体" w:eastAsia="宋体" w:cs="宋体"/>
          <w:b/>
          <w:color w:val="auto"/>
          <w:sz w:val="24"/>
          <w:szCs w:val="24"/>
          <w:highlight w:val="none"/>
          <w:u w:val="none"/>
        </w:rPr>
        <w:t>项目编号：</w:t>
      </w:r>
      <w:bookmarkEnd w:id="19"/>
      <w:r>
        <w:rPr>
          <w:rFonts w:hint="eastAsia" w:ascii="宋体" w:hAnsi="宋体" w:cs="宋体"/>
          <w:bCs/>
          <w:color w:val="auto"/>
          <w:sz w:val="24"/>
          <w:szCs w:val="24"/>
          <w:highlight w:val="none"/>
          <w:u w:val="none"/>
          <w:lang w:eastAsia="zh-CN"/>
        </w:rPr>
        <w:t>CBNB-20242289G</w:t>
      </w:r>
    </w:p>
    <w:p w14:paraId="7EAF94F5">
      <w:pPr>
        <w:spacing w:line="36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xml:space="preserve">   </w:t>
      </w:r>
      <w:r>
        <w:rPr>
          <w:rFonts w:hint="eastAsia" w:ascii="宋体" w:hAnsi="宋体" w:eastAsia="宋体" w:cs="宋体"/>
          <w:b/>
          <w:color w:val="auto"/>
          <w:sz w:val="24"/>
          <w:szCs w:val="24"/>
          <w:highlight w:val="none"/>
          <w:u w:val="none"/>
        </w:rPr>
        <w:t xml:space="preserve"> 项目名称：</w:t>
      </w:r>
      <w:r>
        <w:rPr>
          <w:rFonts w:hint="eastAsia" w:ascii="宋体" w:hAnsi="宋体" w:cs="宋体"/>
          <w:bCs/>
          <w:color w:val="auto"/>
          <w:sz w:val="24"/>
          <w:szCs w:val="24"/>
          <w:highlight w:val="none"/>
          <w:u w:val="none"/>
          <w:lang w:eastAsia="zh-CN"/>
        </w:rPr>
        <w:t>鄞州区督考一体化应用建设项目</w:t>
      </w:r>
    </w:p>
    <w:p w14:paraId="63178714">
      <w:pPr>
        <w:spacing w:line="360" w:lineRule="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bCs/>
          <w:color w:val="auto"/>
          <w:sz w:val="24"/>
          <w:szCs w:val="24"/>
          <w:highlight w:val="none"/>
        </w:rPr>
        <w:t xml:space="preserve"> 预算金额（元）：</w:t>
      </w:r>
      <w:r>
        <w:rPr>
          <w:rFonts w:hint="eastAsia" w:ascii="宋体" w:hAnsi="宋体" w:cs="宋体"/>
          <w:b/>
          <w:bCs/>
          <w:color w:val="auto"/>
          <w:sz w:val="24"/>
          <w:szCs w:val="24"/>
          <w:highlight w:val="none"/>
          <w:lang w:val="en-US" w:eastAsia="zh-CN"/>
        </w:rPr>
        <w:t>1333000</w:t>
      </w:r>
    </w:p>
    <w:p w14:paraId="6EAA4A8F">
      <w:pPr>
        <w:spacing w:line="360" w:lineRule="auto"/>
        <w:ind w:firstLine="480"/>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最高限价（元）：</w:t>
      </w:r>
      <w:r>
        <w:rPr>
          <w:rFonts w:hint="eastAsia" w:ascii="宋体" w:hAnsi="宋体" w:cs="宋体"/>
          <w:b/>
          <w:bCs/>
          <w:color w:val="auto"/>
          <w:sz w:val="24"/>
          <w:szCs w:val="24"/>
          <w:highlight w:val="none"/>
          <w:lang w:val="en-US" w:eastAsia="zh-CN"/>
        </w:rPr>
        <w:t>1333000</w:t>
      </w:r>
    </w:p>
    <w:p w14:paraId="334723DB">
      <w:pPr>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采购需求：</w:t>
      </w:r>
    </w:p>
    <w:p w14:paraId="633AE4E1">
      <w:pPr>
        <w:spacing w:line="360" w:lineRule="auto"/>
        <w:ind w:firstLine="48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标项名称:</w:t>
      </w:r>
      <w:r>
        <w:rPr>
          <w:rFonts w:hint="eastAsia" w:ascii="宋体" w:hAnsi="宋体" w:cs="宋体"/>
          <w:bCs/>
          <w:color w:val="auto"/>
          <w:sz w:val="24"/>
          <w:szCs w:val="24"/>
          <w:highlight w:val="none"/>
          <w:u w:val="none"/>
          <w:lang w:eastAsia="zh-CN"/>
        </w:rPr>
        <w:t>鄞州区督考一体化应用建设项目</w:t>
      </w:r>
    </w:p>
    <w:p w14:paraId="7AF12A52">
      <w:pPr>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数量:</w:t>
      </w:r>
      <w:r>
        <w:rPr>
          <w:rFonts w:hint="eastAsia" w:ascii="宋体" w:hAnsi="宋体" w:eastAsia="宋体" w:cs="宋体"/>
          <w:color w:val="auto"/>
          <w:kern w:val="2"/>
          <w:sz w:val="24"/>
          <w:szCs w:val="24"/>
          <w:highlight w:val="none"/>
          <w:lang w:val="en-US" w:eastAsia="zh-CN"/>
        </w:rPr>
        <w:t>1项</w:t>
      </w:r>
    </w:p>
    <w:p w14:paraId="26D2F60E">
      <w:pPr>
        <w:spacing w:line="360" w:lineRule="auto"/>
        <w:ind w:firstLine="480" w:firstLineChars="20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预算金额（元）:</w:t>
      </w:r>
      <w:r>
        <w:rPr>
          <w:rFonts w:hint="eastAsia" w:ascii="宋体" w:hAnsi="宋体" w:cs="宋体"/>
          <w:b/>
          <w:bCs/>
          <w:color w:val="auto"/>
          <w:sz w:val="24"/>
          <w:szCs w:val="24"/>
          <w:highlight w:val="none"/>
          <w:lang w:val="en-US" w:eastAsia="zh-CN"/>
        </w:rPr>
        <w:t>1333000</w:t>
      </w:r>
    </w:p>
    <w:p w14:paraId="1A50598F">
      <w:pPr>
        <w:pStyle w:val="982"/>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简要规格描述或项目基本概况介绍、用途：</w:t>
      </w:r>
      <w:r>
        <w:rPr>
          <w:rFonts w:hint="eastAsia" w:ascii="宋体" w:hAnsi="宋体" w:eastAsia="宋体"/>
          <w:color w:val="auto"/>
          <w:sz w:val="24"/>
          <w:highlight w:val="none"/>
        </w:rPr>
        <w:t>精准把握和有效承接上级关于督考业务的改革指向与基本精神，在对接和联动宁波市争先进位数智督考应用的大框架下，按照“督考一体化、全周期整合立体式画像”的总思路，结合鄞州区实际，探索打造有鄞州特色的督考一体化应用，建设督考事项全方位收集、督考实施全链条跟进、督考效果全维度画像的全周期支撑平台</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具体以招标文件第三部分采购需求为准，供应商可点击本公告下方“浏览采购文件”查看采购需求。</w:t>
      </w:r>
    </w:p>
    <w:p w14:paraId="4BE45BAB">
      <w:pPr>
        <w:pStyle w:val="16"/>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rPr>
        <w:t>备注：</w:t>
      </w:r>
      <w:r>
        <w:rPr>
          <w:rFonts w:hint="eastAsia" w:hAnsi="宋体" w:cs="宋体"/>
          <w:b w:val="0"/>
          <w:bCs/>
          <w:color w:val="auto"/>
          <w:sz w:val="24"/>
          <w:szCs w:val="24"/>
          <w:highlight w:val="none"/>
          <w:lang w:val="en-US" w:eastAsia="zh-CN"/>
        </w:rPr>
        <w:t>无</w:t>
      </w:r>
    </w:p>
    <w:p w14:paraId="67BB2E0B">
      <w:pPr>
        <w:pStyle w:val="16"/>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szCs w:val="24"/>
          <w:highlight w:val="none"/>
        </w:rPr>
      </w:pPr>
      <w:bookmarkStart w:id="20" w:name="_Toc27797"/>
      <w:r>
        <w:rPr>
          <w:rFonts w:hint="eastAsia" w:ascii="宋体" w:hAnsi="宋体" w:eastAsia="宋体" w:cs="宋体"/>
          <w:b w:val="0"/>
          <w:bCs/>
          <w:color w:val="auto"/>
          <w:sz w:val="24"/>
          <w:szCs w:val="24"/>
          <w:highlight w:val="none"/>
        </w:rPr>
        <w:t>合同履约期限：</w:t>
      </w:r>
      <w:bookmarkEnd w:id="20"/>
      <w:r>
        <w:rPr>
          <w:rFonts w:hint="eastAsia" w:ascii="宋体" w:hAnsi="宋体" w:eastAsia="宋体" w:cs="宋体"/>
          <w:b w:val="0"/>
          <w:bCs/>
          <w:color w:val="auto"/>
          <w:sz w:val="24"/>
          <w:szCs w:val="24"/>
          <w:highlight w:val="none"/>
        </w:rPr>
        <w:t>自</w:t>
      </w:r>
      <w:r>
        <w:rPr>
          <w:rFonts w:hint="eastAsia" w:ascii="宋体" w:hAnsi="宋体" w:eastAsia="宋体" w:cs="宋体"/>
          <w:bCs/>
          <w:color w:val="auto"/>
          <w:sz w:val="24"/>
          <w:szCs w:val="24"/>
          <w:highlight w:val="none"/>
        </w:rPr>
        <w:t>合同签订生效后开始至双方合同义务完全履行后截止。</w:t>
      </w:r>
    </w:p>
    <w:p w14:paraId="143B327C">
      <w:pPr>
        <w:pStyle w:val="16"/>
        <w:spacing w:line="360" w:lineRule="auto"/>
        <w:ind w:firstLine="480"/>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sz w:val="24"/>
          <w:szCs w:val="24"/>
          <w:highlight w:val="none"/>
        </w:rPr>
        <w:t>本项目</w:t>
      </w:r>
      <w:r>
        <w:rPr>
          <w:rFonts w:hint="eastAsia" w:ascii="宋体" w:hAnsi="宋体" w:eastAsia="宋体" w:cs="宋体"/>
          <w:b w:val="0"/>
          <w:bCs/>
          <w:color w:val="auto"/>
          <w:sz w:val="24"/>
          <w:szCs w:val="24"/>
          <w:highlight w:val="none"/>
          <w:lang w:val="en-US" w:eastAsia="zh-CN"/>
        </w:rPr>
        <w:t>（</w:t>
      </w:r>
      <w:r>
        <w:rPr>
          <w:rFonts w:hint="eastAsia" w:hAnsi="宋体" w:cs="宋体"/>
          <w:b w:val="0"/>
          <w:bCs/>
          <w:color w:val="auto"/>
          <w:sz w:val="24"/>
          <w:szCs w:val="24"/>
          <w:highlight w:val="none"/>
          <w:lang w:val="en-US" w:eastAsia="zh-CN"/>
        </w:rPr>
        <w:t>是</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接受联合体投标</w:t>
      </w:r>
      <w:r>
        <w:rPr>
          <w:rFonts w:hint="eastAsia" w:ascii="宋体" w:hAnsi="宋体" w:eastAsia="宋体" w:cs="宋体"/>
          <w:b w:val="0"/>
          <w:bCs/>
          <w:color w:val="auto"/>
          <w:sz w:val="24"/>
          <w:szCs w:val="24"/>
          <w:highlight w:val="none"/>
          <w:lang w:eastAsia="zh-CN"/>
        </w:rPr>
        <w:t>。</w:t>
      </w:r>
    </w:p>
    <w:p w14:paraId="4961D3C9">
      <w:pPr>
        <w:spacing w:line="360" w:lineRule="auto"/>
        <w:outlineLvl w:val="1"/>
        <w:rPr>
          <w:rFonts w:hint="eastAsia" w:ascii="宋体" w:hAnsi="宋体" w:eastAsia="宋体" w:cs="宋体"/>
          <w:b/>
          <w:color w:val="auto"/>
          <w:sz w:val="24"/>
          <w:szCs w:val="24"/>
          <w:highlight w:val="none"/>
        </w:rPr>
      </w:pPr>
      <w:bookmarkStart w:id="21" w:name="_Toc23184"/>
      <w:r>
        <w:rPr>
          <w:rFonts w:hint="eastAsia" w:ascii="宋体" w:hAnsi="宋体" w:eastAsia="宋体" w:cs="宋体"/>
          <w:b/>
          <w:color w:val="auto"/>
          <w:sz w:val="24"/>
          <w:szCs w:val="24"/>
          <w:highlight w:val="none"/>
        </w:rPr>
        <w:t>二、</w:t>
      </w:r>
      <w:bookmarkStart w:id="22" w:name="_Hlk101132948"/>
      <w:r>
        <w:rPr>
          <w:rFonts w:hint="eastAsia" w:ascii="宋体" w:hAnsi="宋体" w:eastAsia="宋体" w:cs="宋体"/>
          <w:b/>
          <w:color w:val="auto"/>
          <w:sz w:val="24"/>
          <w:szCs w:val="24"/>
          <w:highlight w:val="none"/>
        </w:rPr>
        <w:t>申请人的资格要求</w:t>
      </w:r>
      <w:bookmarkEnd w:id="22"/>
      <w:r>
        <w:rPr>
          <w:rFonts w:hint="eastAsia" w:ascii="宋体" w:hAnsi="宋体" w:eastAsia="宋体" w:cs="宋体"/>
          <w:b/>
          <w:color w:val="auto"/>
          <w:sz w:val="24"/>
          <w:szCs w:val="24"/>
          <w:highlight w:val="none"/>
        </w:rPr>
        <w:t>：</w:t>
      </w:r>
      <w:bookmarkEnd w:id="21"/>
    </w:p>
    <w:p w14:paraId="47495679">
      <w:pPr>
        <w:spacing w:line="360" w:lineRule="auto"/>
        <w:ind w:firstLine="48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01C78E7">
      <w:pPr>
        <w:spacing w:line="360" w:lineRule="auto"/>
        <w:ind w:firstLine="480" w:firstLineChars="200"/>
        <w:rPr>
          <w:rFonts w:hint="eastAsia" w:ascii="宋体" w:hAnsi="宋体" w:eastAsia="宋体" w:cs="宋体"/>
          <w:b/>
          <w:bCs/>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rPr>
        <w:t>2</w:t>
      </w:r>
      <w:r>
        <w:rPr>
          <w:rFonts w:hint="eastAsia" w:ascii="宋体" w:hAnsi="宋体" w:eastAsia="宋体" w:cs="宋体"/>
          <w:snapToGrid w:val="0"/>
          <w:color w:val="auto"/>
          <w:kern w:val="28"/>
          <w:sz w:val="24"/>
          <w:szCs w:val="24"/>
          <w:highlight w:val="none"/>
        </w:rPr>
        <w:t>.落实政府采购政策需满足的资格要求：标项1：</w:t>
      </w:r>
      <w:r>
        <w:rPr>
          <w:rFonts w:hint="eastAsia" w:ascii="宋体" w:hAnsi="宋体" w:eastAsia="宋体" w:cs="宋体"/>
          <w:b/>
          <w:bCs/>
          <w:snapToGrid w:val="0"/>
          <w:color w:val="auto"/>
          <w:kern w:val="28"/>
          <w:sz w:val="24"/>
          <w:szCs w:val="24"/>
          <w:highlight w:val="none"/>
        </w:rPr>
        <w:t>专门面向中小企业：服务全部由符合政策要求的中小企业承接，提供中小企业声明函。</w:t>
      </w:r>
    </w:p>
    <w:p w14:paraId="313F5CC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.本项目的特定资格要求：无</w:t>
      </w:r>
      <w:r>
        <w:rPr>
          <w:rFonts w:hint="eastAsia" w:ascii="宋体" w:hAnsi="宋体" w:eastAsia="宋体" w:cs="宋体"/>
          <w:color w:val="auto"/>
          <w:sz w:val="24"/>
          <w:szCs w:val="24"/>
          <w:highlight w:val="none"/>
          <w:lang w:eastAsia="zh-CN"/>
        </w:rPr>
        <w:t>。</w:t>
      </w:r>
    </w:p>
    <w:p w14:paraId="24B32D8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61E858">
      <w:pPr>
        <w:spacing w:line="360" w:lineRule="auto"/>
        <w:outlineLvl w:val="1"/>
        <w:rPr>
          <w:rFonts w:hint="eastAsia" w:ascii="宋体" w:hAnsi="宋体" w:eastAsia="宋体" w:cs="宋体"/>
          <w:b/>
          <w:color w:val="auto"/>
          <w:sz w:val="24"/>
          <w:szCs w:val="24"/>
          <w:highlight w:val="none"/>
        </w:rPr>
      </w:pPr>
      <w:bookmarkStart w:id="23" w:name="_Toc15435"/>
      <w:r>
        <w:rPr>
          <w:rFonts w:hint="eastAsia" w:ascii="宋体" w:hAnsi="宋体" w:eastAsia="宋体" w:cs="宋体"/>
          <w:b/>
          <w:color w:val="auto"/>
          <w:sz w:val="24"/>
          <w:szCs w:val="24"/>
          <w:highlight w:val="none"/>
        </w:rPr>
        <w:t>三、获取招标文件</w:t>
      </w:r>
      <w:bookmarkEnd w:id="23"/>
      <w:r>
        <w:rPr>
          <w:rFonts w:hint="eastAsia" w:ascii="宋体" w:hAnsi="宋体" w:eastAsia="宋体" w:cs="宋体"/>
          <w:b/>
          <w:color w:val="auto"/>
          <w:sz w:val="24"/>
          <w:szCs w:val="24"/>
          <w:highlight w:val="none"/>
        </w:rPr>
        <w:t xml:space="preserve"> </w:t>
      </w:r>
    </w:p>
    <w:p w14:paraId="4397BA81">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时间：2024年08月14日至2024年08月21日 ，每天上午00:00至12:00 ，下午12:00至23:59（北京时间，线上获取法定节假日均可，线下获取文件法定节假日除外）</w:t>
      </w:r>
    </w:p>
    <w:p w14:paraId="1285E5C6">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地点（网址）：政采云平台（https://www.zcygov.cn/）  </w:t>
      </w:r>
    </w:p>
    <w:p w14:paraId="70320461">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方式：供应商登录政采云平台https://www.zcygov.cn/在线申请获取采购文件（进入“项目采购”应用，在获取采购文件菜单中选择项目，申请获取采购文件） </w:t>
      </w:r>
    </w:p>
    <w:p w14:paraId="642F1F8C">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售价（元）：0 </w:t>
      </w:r>
    </w:p>
    <w:p w14:paraId="5A41E398">
      <w:pPr>
        <w:spacing w:line="360" w:lineRule="auto"/>
        <w:outlineLvl w:val="1"/>
        <w:rPr>
          <w:rFonts w:hint="eastAsia" w:ascii="宋体" w:hAnsi="宋体" w:eastAsia="宋体" w:cs="宋体"/>
          <w:b/>
          <w:bCs w:val="0"/>
          <w:color w:val="auto"/>
          <w:sz w:val="24"/>
          <w:szCs w:val="24"/>
          <w:highlight w:val="none"/>
        </w:rPr>
      </w:pPr>
      <w:bookmarkStart w:id="24" w:name="_Toc18115"/>
      <w:r>
        <w:rPr>
          <w:rFonts w:hint="eastAsia" w:ascii="宋体" w:hAnsi="宋体" w:eastAsia="宋体" w:cs="宋体"/>
          <w:b/>
          <w:bCs w:val="0"/>
          <w:color w:val="auto"/>
          <w:sz w:val="24"/>
          <w:szCs w:val="24"/>
          <w:highlight w:val="none"/>
        </w:rPr>
        <w:t>四、提交投标文件截止时间、开标时间和地点</w:t>
      </w:r>
      <w:bookmarkEnd w:id="24"/>
    </w:p>
    <w:p w14:paraId="04FAA74F">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提交投标文件截止时间：2024年09月04日 09:00（北京时间）</w:t>
      </w:r>
    </w:p>
    <w:p w14:paraId="1BE9CB36">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投标地点（网址）：政采云平台（https://www.zcygov.cn/）  </w:t>
      </w:r>
    </w:p>
    <w:p w14:paraId="58476DAB">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开标时间：2024年09月04日 09:00 </w:t>
      </w:r>
    </w:p>
    <w:p w14:paraId="554A3B5D">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开标地点（网址）：政采云平台（https://www.zcygov.cn/）  </w:t>
      </w:r>
    </w:p>
    <w:p w14:paraId="16971744">
      <w:pPr>
        <w:spacing w:line="360" w:lineRule="auto"/>
        <w:outlineLvl w:val="1"/>
        <w:rPr>
          <w:rFonts w:hint="eastAsia" w:ascii="宋体" w:hAnsi="宋体" w:eastAsia="宋体" w:cs="宋体"/>
          <w:color w:val="auto"/>
          <w:sz w:val="24"/>
          <w:szCs w:val="24"/>
          <w:highlight w:val="none"/>
        </w:rPr>
      </w:pPr>
      <w:bookmarkStart w:id="25" w:name="_Toc16463"/>
      <w:r>
        <w:rPr>
          <w:rFonts w:hint="eastAsia" w:ascii="宋体" w:hAnsi="宋体" w:eastAsia="宋体" w:cs="宋体"/>
          <w:b/>
          <w:color w:val="auto"/>
          <w:sz w:val="24"/>
          <w:szCs w:val="24"/>
          <w:highlight w:val="none"/>
        </w:rPr>
        <w:t>五、公告期限</w:t>
      </w:r>
      <w:bookmarkEnd w:id="25"/>
      <w:r>
        <w:rPr>
          <w:rFonts w:hint="eastAsia" w:ascii="宋体" w:hAnsi="宋体" w:eastAsia="宋体" w:cs="宋体"/>
          <w:b/>
          <w:color w:val="auto"/>
          <w:sz w:val="24"/>
          <w:szCs w:val="24"/>
          <w:highlight w:val="none"/>
        </w:rPr>
        <w:t xml:space="preserve"> </w:t>
      </w:r>
    </w:p>
    <w:p w14:paraId="407FEB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454DA0C1">
      <w:pPr>
        <w:spacing w:line="360" w:lineRule="auto"/>
        <w:outlineLvl w:val="1"/>
        <w:rPr>
          <w:rFonts w:hint="eastAsia" w:ascii="宋体" w:hAnsi="宋体" w:eastAsia="宋体" w:cs="宋体"/>
          <w:b/>
          <w:color w:val="auto"/>
          <w:sz w:val="24"/>
          <w:szCs w:val="24"/>
          <w:highlight w:val="none"/>
        </w:rPr>
      </w:pPr>
      <w:bookmarkStart w:id="26" w:name="_Toc20735"/>
      <w:r>
        <w:rPr>
          <w:rFonts w:hint="eastAsia" w:ascii="宋体" w:hAnsi="宋体" w:eastAsia="宋体" w:cs="宋体"/>
          <w:b/>
          <w:color w:val="auto"/>
          <w:sz w:val="24"/>
          <w:szCs w:val="24"/>
          <w:highlight w:val="none"/>
        </w:rPr>
        <w:t>六、其他补充事宜</w:t>
      </w:r>
      <w:bookmarkEnd w:id="26"/>
    </w:p>
    <w:p w14:paraId="3E966D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609BB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w:t>
      </w:r>
      <w:r>
        <w:rPr>
          <w:rFonts w:hint="eastAsia" w:ascii="宋体" w:hAnsi="宋体" w:eastAsia="宋体" w:cs="宋体"/>
          <w:color w:val="auto"/>
          <w:sz w:val="24"/>
          <w:szCs w:val="24"/>
          <w:highlight w:val="none"/>
        </w:rPr>
        <w:t>其他事项：</w:t>
      </w:r>
    </w:p>
    <w:p w14:paraId="77F4E9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需要落实的政府采购政策：包括节约资源、保护环境、支持创新、促进中小企业发展等。详见招标文件的第二部分总则。</w:t>
      </w:r>
    </w:p>
    <w:p w14:paraId="7EF232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w:t>
      </w:r>
      <w:r>
        <w:rPr>
          <w:rFonts w:hint="eastAsia" w:ascii="宋体" w:hAnsi="宋体" w:eastAsia="宋体" w:cs="宋体"/>
          <w:color w:val="auto"/>
          <w:sz w:val="24"/>
          <w:szCs w:val="24"/>
          <w:highlight w:val="none"/>
          <w:lang w:val="en-US" w:eastAsia="zh-CN"/>
        </w:rPr>
        <w:t>寄</w:t>
      </w:r>
      <w:r>
        <w:rPr>
          <w:rFonts w:hint="eastAsia" w:ascii="宋体" w:hAnsi="宋体" w:eastAsia="宋体" w:cs="宋体"/>
          <w:color w:val="auto"/>
          <w:sz w:val="24"/>
          <w:szCs w:val="24"/>
          <w:highlight w:val="none"/>
        </w:rPr>
        <w:t>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3D81D9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）招标文件公告期限与招标公告的公告期限一致。</w:t>
      </w:r>
    </w:p>
    <w:p w14:paraId="3819B7CE">
      <w:pPr>
        <w:spacing w:line="360" w:lineRule="auto"/>
        <w:outlineLvl w:val="1"/>
        <w:rPr>
          <w:rFonts w:hint="eastAsia" w:ascii="宋体" w:hAnsi="宋体" w:eastAsia="宋体" w:cs="宋体"/>
          <w:b/>
          <w:color w:val="auto"/>
          <w:sz w:val="24"/>
          <w:szCs w:val="24"/>
          <w:highlight w:val="none"/>
        </w:rPr>
      </w:pPr>
      <w:bookmarkStart w:id="27" w:name="_Toc3685"/>
      <w:r>
        <w:rPr>
          <w:rFonts w:hint="eastAsia" w:ascii="宋体" w:hAnsi="宋体" w:eastAsia="宋体" w:cs="宋体"/>
          <w:b/>
          <w:color w:val="auto"/>
          <w:sz w:val="24"/>
          <w:szCs w:val="24"/>
          <w:highlight w:val="none"/>
        </w:rPr>
        <w:t>七、对本次采购提出询问、质疑、投诉，请按以下方式联系</w:t>
      </w:r>
      <w:bookmarkEnd w:id="27"/>
    </w:p>
    <w:p w14:paraId="208015D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7807740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宁波市鄞州区数据服务中心</w:t>
      </w:r>
      <w:r>
        <w:rPr>
          <w:rFonts w:hint="eastAsia" w:ascii="宋体" w:hAnsi="宋体" w:eastAsia="宋体" w:cs="宋体"/>
          <w:color w:val="auto"/>
          <w:sz w:val="24"/>
          <w:szCs w:val="24"/>
          <w:highlight w:val="none"/>
        </w:rPr>
        <w:t>　</w:t>
      </w:r>
    </w:p>
    <w:p w14:paraId="68B3176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地址：宁波市鄞州区惠风东路568号</w:t>
      </w:r>
    </w:p>
    <w:p w14:paraId="2B47300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传真：/  </w:t>
      </w:r>
    </w:p>
    <w:p w14:paraId="774B8E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项目联系人（询问）：姜老师 </w:t>
      </w:r>
      <w:r>
        <w:rPr>
          <w:rFonts w:hint="eastAsia" w:ascii="宋体" w:hAnsi="宋体" w:cs="宋体"/>
          <w:color w:val="auto"/>
          <w:sz w:val="24"/>
          <w:szCs w:val="24"/>
          <w:highlight w:val="none"/>
          <w:lang w:val="en-US" w:eastAsia="zh-CN"/>
        </w:rPr>
        <w:t xml:space="preserve">     </w:t>
      </w:r>
    </w:p>
    <w:p w14:paraId="714F2F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项目联系方式（询问）：0574-89298379</w:t>
      </w:r>
    </w:p>
    <w:p w14:paraId="1A5EB9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val="en-US" w:eastAsia="zh-CN"/>
        </w:rPr>
        <w:t>夏老师</w:t>
      </w:r>
    </w:p>
    <w:p w14:paraId="48495F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质疑联系方式：0574-89298385</w:t>
      </w:r>
      <w:r>
        <w:rPr>
          <w:rFonts w:hint="eastAsia" w:ascii="宋体" w:hAnsi="宋体" w:cs="宋体"/>
          <w:color w:val="auto"/>
          <w:sz w:val="24"/>
          <w:szCs w:val="24"/>
          <w:highlight w:val="none"/>
          <w:lang w:val="en-US" w:eastAsia="zh-CN"/>
        </w:rPr>
        <w:t xml:space="preserve">     </w:t>
      </w:r>
    </w:p>
    <w:p w14:paraId="6AB94C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p>
    <w:p w14:paraId="0786EB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            </w:t>
      </w:r>
    </w:p>
    <w:p w14:paraId="735E7B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名称：宁波中基国际招标有限公司             </w:t>
      </w:r>
    </w:p>
    <w:p w14:paraId="3CFFB7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地址：宁波市鄞州区天童南路666号中基大厦19楼             </w:t>
      </w:r>
    </w:p>
    <w:p w14:paraId="1F2B47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传真：0574-87425386             </w:t>
      </w:r>
    </w:p>
    <w:p w14:paraId="7148DD8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吕昕烨、</w:t>
      </w:r>
      <w:r>
        <w:rPr>
          <w:rFonts w:hint="eastAsia" w:ascii="宋体" w:hAnsi="宋体" w:cs="宋体"/>
          <w:color w:val="auto"/>
          <w:sz w:val="24"/>
          <w:szCs w:val="24"/>
          <w:highlight w:val="none"/>
          <w:lang w:val="en-US" w:eastAsia="zh-CN"/>
        </w:rPr>
        <w:t>史维、</w:t>
      </w:r>
      <w:r>
        <w:rPr>
          <w:rFonts w:hint="eastAsia" w:ascii="宋体" w:hAnsi="宋体" w:eastAsia="宋体" w:cs="宋体"/>
          <w:color w:val="auto"/>
          <w:sz w:val="24"/>
          <w:szCs w:val="24"/>
          <w:highlight w:val="none"/>
          <w:lang w:val="en-US" w:eastAsia="zh-CN"/>
        </w:rPr>
        <w:t>吕勇</w:t>
      </w:r>
      <w:r>
        <w:rPr>
          <w:rFonts w:hint="eastAsia" w:ascii="宋体" w:hAnsi="宋体" w:eastAsia="宋体" w:cs="宋体"/>
          <w:color w:val="auto"/>
          <w:sz w:val="24"/>
          <w:szCs w:val="24"/>
          <w:highlight w:val="none"/>
        </w:rPr>
        <w:t>           </w:t>
      </w:r>
    </w:p>
    <w:p w14:paraId="2E90DE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项目联系方式（询问）：0574-87425130</w:t>
      </w:r>
    </w:p>
    <w:p w14:paraId="3C51E3B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val="en-US" w:eastAsia="zh-CN"/>
        </w:rPr>
        <w:t>方芸</w:t>
      </w:r>
      <w:r>
        <w:rPr>
          <w:rFonts w:hint="eastAsia" w:ascii="宋体" w:hAnsi="宋体" w:eastAsia="宋体" w:cs="宋体"/>
          <w:color w:val="auto"/>
          <w:sz w:val="24"/>
          <w:szCs w:val="24"/>
          <w:highlight w:val="none"/>
        </w:rPr>
        <w:t>             </w:t>
      </w:r>
    </w:p>
    <w:p w14:paraId="24E85D1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质疑联系方式：0574-8</w:t>
      </w:r>
      <w:r>
        <w:rPr>
          <w:rFonts w:hint="eastAsia" w:ascii="宋体" w:hAnsi="宋体" w:cs="宋体"/>
          <w:color w:val="auto"/>
          <w:sz w:val="24"/>
          <w:szCs w:val="24"/>
          <w:highlight w:val="none"/>
          <w:lang w:val="en-US" w:eastAsia="zh-CN"/>
        </w:rPr>
        <w:t>8090063</w:t>
      </w:r>
      <w:bookmarkStart w:id="467" w:name="_GoBack"/>
      <w:bookmarkEnd w:id="467"/>
      <w:r>
        <w:rPr>
          <w:rFonts w:hint="eastAsia" w:ascii="宋体" w:hAnsi="宋体" w:eastAsia="宋体" w:cs="宋体"/>
          <w:color w:val="auto"/>
          <w:sz w:val="24"/>
          <w:szCs w:val="24"/>
          <w:highlight w:val="none"/>
        </w:rPr>
        <w:t>　　　　　     </w:t>
      </w:r>
    </w:p>
    <w:p w14:paraId="0D111641">
      <w:pPr>
        <w:keepNext w:val="0"/>
        <w:keepLines w:val="0"/>
        <w:pageBreakBefore w:val="0"/>
        <w:widowControl w:val="0"/>
        <w:kinsoku/>
        <w:wordWrap/>
        <w:overflowPunct/>
        <w:topLinePunct w:val="0"/>
        <w:autoSpaceDE/>
        <w:autoSpaceDN/>
        <w:bidi w:val="0"/>
        <w:adjustRightInd w:val="0"/>
        <w:snapToGrid/>
        <w:spacing w:line="360" w:lineRule="auto"/>
        <w:ind w:left="660" w:leftChars="200" w:hanging="240" w:hanging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A6FD0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            </w:t>
      </w:r>
    </w:p>
    <w:p w14:paraId="5A9B33F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名称：宁波市鄞州区政府采购管理办公室</w:t>
      </w:r>
    </w:p>
    <w:p w14:paraId="3916B0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地址：宁波市鄞州区民惠东路16号</w:t>
      </w:r>
    </w:p>
    <w:p w14:paraId="66F505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1A89083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：郑老师</w:t>
      </w:r>
    </w:p>
    <w:p w14:paraId="1B91FA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bookmarkStart w:id="28" w:name="_Toc7625"/>
      <w:r>
        <w:rPr>
          <w:rFonts w:hint="eastAsia" w:ascii="宋体" w:hAnsi="宋体" w:eastAsia="宋体" w:cs="宋体"/>
          <w:color w:val="auto"/>
          <w:sz w:val="24"/>
          <w:szCs w:val="24"/>
          <w:highlight w:val="none"/>
        </w:rPr>
        <w:t>监督投诉电话：0574-89295894</w:t>
      </w:r>
      <w:bookmarkEnd w:id="28"/>
    </w:p>
    <w:p w14:paraId="12BC12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p>
    <w:p w14:paraId="5D0399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若对项目采购电子交易系统操作有疑问，可登录政采云（https://www.zcygov.cn/），点击右侧咨询小采，获取采小蜜智能服务管家帮助，或拨打政采云服务热线95763获取热线服务帮助。       </w:t>
      </w:r>
    </w:p>
    <w:p w14:paraId="03DCE8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14:paraId="3B7E686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58F57FD">
      <w:pPr>
        <w:pStyle w:val="2"/>
        <w:bidi w:val="0"/>
        <w:rPr>
          <w:rFonts w:hint="eastAsia"/>
          <w:color w:val="auto"/>
          <w:highlight w:val="none"/>
        </w:rPr>
      </w:pPr>
      <w:bookmarkStart w:id="29" w:name="_Toc31038"/>
      <w:bookmarkStart w:id="30" w:name="_Toc21590"/>
      <w:bookmarkStart w:id="31" w:name="_Toc1745"/>
      <w:r>
        <w:rPr>
          <w:rFonts w:hint="eastAsia"/>
          <w:color w:val="auto"/>
          <w:highlight w:val="none"/>
        </w:rPr>
        <w:t>第二部分</w:t>
      </w:r>
      <w:bookmarkEnd w:id="16"/>
      <w:r>
        <w:rPr>
          <w:rFonts w:hint="eastAsia"/>
          <w:color w:val="auto"/>
          <w:highlight w:val="none"/>
        </w:rPr>
        <w:t xml:space="preserve"> 投标人须知</w:t>
      </w:r>
      <w:bookmarkEnd w:id="17"/>
      <w:bookmarkEnd w:id="29"/>
      <w:bookmarkEnd w:id="30"/>
      <w:bookmarkEnd w:id="31"/>
    </w:p>
    <w:p w14:paraId="256EAFB3">
      <w:pPr>
        <w:adjustRightInd/>
        <w:spacing w:line="360" w:lineRule="auto"/>
        <w:jc w:val="center"/>
        <w:outlineLvl w:val="1"/>
        <w:rPr>
          <w:rFonts w:hint="eastAsia" w:ascii="宋体" w:hAnsi="宋体" w:eastAsia="宋体" w:cs="宋体"/>
          <w:b/>
          <w:color w:val="auto"/>
          <w:sz w:val="24"/>
          <w:szCs w:val="24"/>
          <w:highlight w:val="none"/>
        </w:rPr>
      </w:pPr>
      <w:bookmarkStart w:id="32" w:name="_Toc17934"/>
      <w:r>
        <w:rPr>
          <w:rFonts w:hint="eastAsia" w:ascii="宋体" w:hAnsi="宋体" w:eastAsia="宋体" w:cs="宋体"/>
          <w:b/>
          <w:color w:val="auto"/>
          <w:sz w:val="24"/>
          <w:szCs w:val="24"/>
          <w:highlight w:val="none"/>
        </w:rPr>
        <w:t>前附表</w:t>
      </w:r>
      <w:bookmarkEnd w:id="32"/>
    </w:p>
    <w:tbl>
      <w:tblPr>
        <w:tblStyle w:val="65"/>
        <w:tblW w:w="10077" w:type="dxa"/>
        <w:tblInd w:w="-2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80"/>
        <w:gridCol w:w="2227"/>
        <w:gridCol w:w="6870"/>
      </w:tblGrid>
      <w:tr w14:paraId="4AB8A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980" w:type="dxa"/>
            <w:tcBorders>
              <w:top w:val="single" w:color="auto" w:sz="4" w:space="0"/>
              <w:left w:val="single" w:color="auto" w:sz="4" w:space="0"/>
              <w:bottom w:val="single" w:color="auto" w:sz="4" w:space="0"/>
              <w:right w:val="single" w:color="auto" w:sz="4" w:space="0"/>
            </w:tcBorders>
          </w:tcPr>
          <w:p w14:paraId="349BE28E">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227" w:type="dxa"/>
            <w:tcBorders>
              <w:top w:val="single" w:color="000000" w:sz="8" w:space="0"/>
              <w:left w:val="single" w:color="auto" w:sz="4" w:space="0"/>
              <w:bottom w:val="single" w:color="000000" w:sz="8" w:space="0"/>
              <w:right w:val="single" w:color="000000" w:sz="8" w:space="0"/>
            </w:tcBorders>
            <w:vAlign w:val="center"/>
          </w:tcPr>
          <w:p w14:paraId="15286729">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870" w:type="dxa"/>
            <w:tcBorders>
              <w:top w:val="single" w:color="000000" w:sz="8" w:space="0"/>
              <w:left w:val="single" w:color="000000" w:sz="2" w:space="0"/>
              <w:bottom w:val="single" w:color="000000" w:sz="8" w:space="0"/>
              <w:right w:val="single" w:color="000000" w:sz="8" w:space="0"/>
            </w:tcBorders>
            <w:vAlign w:val="center"/>
          </w:tcPr>
          <w:p w14:paraId="0A3104B3">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5E9C2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2D2805E1">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2227" w:type="dxa"/>
            <w:tcBorders>
              <w:top w:val="single" w:color="000000" w:sz="8" w:space="0"/>
              <w:left w:val="single" w:color="auto" w:sz="4" w:space="0"/>
              <w:bottom w:val="single" w:color="000000" w:sz="8" w:space="0"/>
              <w:right w:val="single" w:color="000000" w:sz="8" w:space="0"/>
            </w:tcBorders>
            <w:vAlign w:val="center"/>
          </w:tcPr>
          <w:p w14:paraId="73EFBDC2">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项目属性与核心产品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1A368350">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类</w:t>
            </w:r>
          </w:p>
        </w:tc>
      </w:tr>
      <w:tr w14:paraId="11547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vMerge w:val="restart"/>
            <w:tcBorders>
              <w:top w:val="single" w:color="auto" w:sz="4" w:space="0"/>
              <w:left w:val="single" w:color="auto" w:sz="4" w:space="0"/>
              <w:right w:val="single" w:color="auto" w:sz="4" w:space="0"/>
            </w:tcBorders>
            <w:vAlign w:val="center"/>
          </w:tcPr>
          <w:p w14:paraId="1FB76A95">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2227" w:type="dxa"/>
            <w:vMerge w:val="restart"/>
            <w:tcBorders>
              <w:top w:val="single" w:color="000000" w:sz="8" w:space="0"/>
              <w:left w:val="single" w:color="auto" w:sz="4" w:space="0"/>
              <w:right w:val="single" w:color="000000" w:sz="8" w:space="0"/>
            </w:tcBorders>
            <w:vAlign w:val="center"/>
          </w:tcPr>
          <w:p w14:paraId="7B41DC84">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870" w:type="dxa"/>
            <w:tcBorders>
              <w:top w:val="single" w:color="000000" w:sz="8" w:space="0"/>
              <w:left w:val="single" w:color="000000" w:sz="2" w:space="0"/>
              <w:bottom w:val="single" w:color="000000" w:sz="8" w:space="0"/>
              <w:right w:val="single" w:color="000000" w:sz="8" w:space="0"/>
            </w:tcBorders>
            <w:vAlign w:val="center"/>
          </w:tcPr>
          <w:p w14:paraId="7EE4DE95">
            <w:pPr>
              <w:numPr>
                <w:ilvl w:val="0"/>
                <w:numId w:val="0"/>
              </w:numPr>
              <w:snapToGrid w:val="0"/>
              <w:spacing w:line="360" w:lineRule="auto"/>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1</w:t>
            </w:r>
            <w:r>
              <w:rPr>
                <w:rFonts w:hint="eastAsia" w:ascii="宋体" w:hAnsi="宋体" w:eastAsia="宋体" w:cs="宋体"/>
                <w:color w:val="auto"/>
                <w:kern w:val="0"/>
                <w:sz w:val="24"/>
                <w:szCs w:val="24"/>
                <w:highlight w:val="none"/>
                <w:u w:val="none"/>
                <w:lang w:eastAsia="zh-CN"/>
              </w:rPr>
              <w:t>）本项目为专门面向中小企业采购的项目。</w:t>
            </w:r>
          </w:p>
          <w:p w14:paraId="4F4DC0A0">
            <w:pPr>
              <w:numPr>
                <w:ilvl w:val="0"/>
                <w:numId w:val="0"/>
              </w:numPr>
              <w:snapToGri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cs="宋体"/>
                <w:color w:val="auto"/>
                <w:kern w:val="0"/>
                <w:sz w:val="24"/>
                <w:szCs w:val="24"/>
                <w:highlight w:val="none"/>
                <w:u w:val="none"/>
                <w:lang w:eastAsia="zh-CN"/>
              </w:rPr>
              <w:t>（</w:t>
            </w:r>
            <w:r>
              <w:rPr>
                <w:rFonts w:hint="eastAsia" w:ascii="宋体" w:hAnsi="宋体" w:cs="宋体"/>
                <w:color w:val="auto"/>
                <w:kern w:val="0"/>
                <w:sz w:val="24"/>
                <w:szCs w:val="24"/>
                <w:highlight w:val="none"/>
                <w:u w:val="none"/>
                <w:lang w:val="en-US" w:eastAsia="zh-CN"/>
              </w:rPr>
              <w:t>2</w:t>
            </w:r>
            <w:r>
              <w:rPr>
                <w:rFonts w:hint="eastAsia" w:ascii="宋体" w:hAnsi="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rPr>
              <w:t>标的：</w:t>
            </w:r>
            <w:r>
              <w:rPr>
                <w:rFonts w:hint="eastAsia" w:ascii="宋体" w:hAnsi="宋体" w:cs="宋体"/>
                <w:color w:val="auto"/>
                <w:kern w:val="0"/>
                <w:sz w:val="24"/>
                <w:szCs w:val="24"/>
                <w:highlight w:val="none"/>
                <w:u w:val="single"/>
                <w:lang w:eastAsia="zh-CN"/>
              </w:rPr>
              <w:t>鄞州区督考一体化应用建设项目</w:t>
            </w:r>
            <w:r>
              <w:rPr>
                <w:rFonts w:hint="eastAsia" w:ascii="宋体" w:hAnsi="宋体" w:eastAsia="宋体" w:cs="宋体"/>
                <w:color w:val="auto"/>
                <w:kern w:val="0"/>
                <w:sz w:val="24"/>
                <w:szCs w:val="24"/>
                <w:highlight w:val="none"/>
                <w:u w:val="none"/>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软件和信息技术服务业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none"/>
              </w:rPr>
              <w:t>行业；</w:t>
            </w:r>
          </w:p>
          <w:p w14:paraId="4FAFBEDC">
            <w:pPr>
              <w:pStyle w:val="3"/>
              <w:keepNext/>
              <w:keepLines/>
              <w:pageBreakBefore w:val="0"/>
              <w:widowControl w:val="0"/>
              <w:numPr>
                <w:ilvl w:val="1"/>
                <w:numId w:val="0"/>
              </w:numPr>
              <w:kinsoku/>
              <w:wordWrap/>
              <w:overflowPunct/>
              <w:topLinePunct w:val="0"/>
              <w:autoSpaceDE/>
              <w:autoSpaceDN/>
              <w:bidi w:val="0"/>
              <w:adjustRightInd w:val="0"/>
              <w:snapToGrid w:val="0"/>
              <w:ind w:leftChars="0"/>
              <w:jc w:val="both"/>
              <w:textAlignment w:val="auto"/>
              <w:rPr>
                <w:rFonts w:hint="eastAsia" w:ascii="宋体" w:hAnsi="宋体" w:eastAsia="宋体" w:cs="宋体"/>
                <w:b w:val="0"/>
                <w:bCs w:val="0"/>
                <w:color w:val="auto"/>
                <w:kern w:val="28"/>
                <w:sz w:val="24"/>
                <w:szCs w:val="24"/>
                <w:highlight w:val="none"/>
                <w:u w:val="none"/>
                <w:lang w:val="en-US" w:eastAsia="zh-CN" w:bidi="ar-SA"/>
              </w:rPr>
            </w:pPr>
            <w:bookmarkStart w:id="33" w:name="_Toc15395"/>
            <w:r>
              <w:rPr>
                <w:rFonts w:hint="eastAsia" w:ascii="宋体" w:hAnsi="宋体" w:eastAsia="宋体" w:cs="宋体"/>
                <w:b w:val="0"/>
                <w:bCs w:val="0"/>
                <w:color w:val="auto"/>
                <w:kern w:val="28"/>
                <w:sz w:val="24"/>
                <w:szCs w:val="24"/>
                <w:highlight w:val="none"/>
                <w:u w:val="none"/>
                <w:lang w:val="en-US" w:eastAsia="zh-CN" w:bidi="ar-SA"/>
              </w:rPr>
              <w:t>备注：《关于印发中小企业划型标准规定的通知》（工信</w:t>
            </w:r>
            <w:bookmarkEnd w:id="33"/>
            <w:bookmarkStart w:id="34" w:name="_Toc11782"/>
            <w:r>
              <w:rPr>
                <w:rFonts w:hint="eastAsia" w:ascii="宋体" w:hAnsi="宋体" w:eastAsia="宋体" w:cs="宋体"/>
                <w:b w:val="0"/>
                <w:bCs w:val="0"/>
                <w:color w:val="auto"/>
                <w:kern w:val="28"/>
                <w:sz w:val="24"/>
                <w:szCs w:val="24"/>
                <w:highlight w:val="none"/>
                <w:u w:val="none"/>
                <w:lang w:val="en-US" w:eastAsia="zh-CN" w:bidi="ar-SA"/>
              </w:rPr>
              <w:t>部联企业〔2011〕300）：</w:t>
            </w:r>
            <w:bookmarkEnd w:id="34"/>
          </w:p>
          <w:p w14:paraId="4352DD72">
            <w:pPr>
              <w:pStyle w:val="3"/>
              <w:keepNext/>
              <w:keepLines/>
              <w:pageBreakBefore w:val="0"/>
              <w:widowControl w:val="0"/>
              <w:numPr>
                <w:ilvl w:val="1"/>
                <w:numId w:val="0"/>
              </w:numPr>
              <w:kinsoku/>
              <w:wordWrap/>
              <w:overflowPunct/>
              <w:topLinePunct w:val="0"/>
              <w:autoSpaceDE/>
              <w:autoSpaceDN/>
              <w:bidi w:val="0"/>
              <w:adjustRightInd w:val="0"/>
              <w:snapToGrid w:val="0"/>
              <w:ind w:leftChars="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b/>
                <w:bCs/>
                <w:color w:val="auto"/>
                <w:kern w:val="0"/>
                <w:sz w:val="24"/>
                <w:szCs w:val="24"/>
                <w:highlight w:val="none"/>
                <w:u w:val="none"/>
                <w:lang w:val="en-US" w:eastAsia="zh-CN" w:bidi="ar-SA"/>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061A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vMerge w:val="continue"/>
            <w:tcBorders>
              <w:left w:val="single" w:color="auto" w:sz="4" w:space="0"/>
              <w:bottom w:val="single" w:color="auto" w:sz="4" w:space="0"/>
              <w:right w:val="single" w:color="auto" w:sz="4" w:space="0"/>
            </w:tcBorders>
            <w:vAlign w:val="center"/>
          </w:tcPr>
          <w:p w14:paraId="51DAFCD2">
            <w:pPr>
              <w:snapToGrid w:val="0"/>
              <w:spacing w:line="360" w:lineRule="auto"/>
              <w:jc w:val="center"/>
              <w:rPr>
                <w:rFonts w:hint="eastAsia" w:ascii="宋体" w:hAnsi="宋体" w:eastAsia="宋体" w:cs="宋体"/>
                <w:b/>
                <w:bCs/>
                <w:color w:val="auto"/>
                <w:sz w:val="24"/>
                <w:szCs w:val="24"/>
                <w:highlight w:val="none"/>
              </w:rPr>
            </w:pPr>
          </w:p>
        </w:tc>
        <w:tc>
          <w:tcPr>
            <w:tcW w:w="2227" w:type="dxa"/>
            <w:vMerge w:val="continue"/>
            <w:tcBorders>
              <w:left w:val="single" w:color="auto" w:sz="4" w:space="0"/>
              <w:bottom w:val="single" w:color="000000" w:sz="8" w:space="0"/>
              <w:right w:val="single" w:color="000000" w:sz="8" w:space="0"/>
            </w:tcBorders>
            <w:vAlign w:val="center"/>
          </w:tcPr>
          <w:p w14:paraId="5335F526">
            <w:pPr>
              <w:snapToGrid w:val="0"/>
              <w:spacing w:line="360" w:lineRule="auto"/>
              <w:jc w:val="center"/>
              <w:rPr>
                <w:rFonts w:hint="eastAsia" w:ascii="宋体" w:hAnsi="宋体" w:eastAsia="宋体" w:cs="宋体"/>
                <w:b/>
                <w:color w:val="auto"/>
                <w:sz w:val="24"/>
                <w:szCs w:val="24"/>
                <w:highlight w:val="none"/>
              </w:rPr>
            </w:pPr>
          </w:p>
        </w:tc>
        <w:tc>
          <w:tcPr>
            <w:tcW w:w="6870" w:type="dxa"/>
            <w:tcBorders>
              <w:top w:val="single" w:color="000000" w:sz="8" w:space="0"/>
              <w:left w:val="single" w:color="000000" w:sz="2" w:space="0"/>
              <w:bottom w:val="single" w:color="000000" w:sz="8" w:space="0"/>
              <w:right w:val="single" w:color="000000" w:sz="8" w:space="0"/>
            </w:tcBorders>
            <w:vAlign w:val="center"/>
          </w:tcPr>
          <w:p w14:paraId="4CD0CE1F">
            <w:pPr>
              <w:adjustRightInd w:val="0"/>
              <w:snapToGrid w:val="0"/>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（1）投标人填写中小企业声明函时，标的为</w:t>
            </w:r>
            <w:r>
              <w:rPr>
                <w:rFonts w:hint="eastAsia" w:ascii="宋体" w:hAnsi="宋体" w:cs="宋体"/>
                <w:b/>
                <w:bCs/>
                <w:color w:val="auto"/>
                <w:kern w:val="0"/>
                <w:sz w:val="24"/>
                <w:highlight w:val="none"/>
                <w:u w:val="single"/>
                <w:lang w:eastAsia="zh-CN"/>
              </w:rPr>
              <w:t>鄞州区督考一体化应用建设项目</w:t>
            </w:r>
            <w:r>
              <w:rPr>
                <w:rFonts w:hint="eastAsia" w:ascii="宋体" w:hAnsi="宋体" w:eastAsia="宋体" w:cs="宋体"/>
                <w:b/>
                <w:bCs/>
                <w:color w:val="auto"/>
                <w:kern w:val="0"/>
                <w:sz w:val="24"/>
                <w:highlight w:val="none"/>
              </w:rPr>
              <w:t>，所属行业为</w:t>
            </w:r>
            <w:r>
              <w:rPr>
                <w:rFonts w:hint="eastAsia" w:ascii="宋体" w:hAnsi="宋体" w:eastAsia="宋体" w:cs="宋体"/>
                <w:b/>
                <w:bCs/>
                <w:color w:val="auto"/>
                <w:kern w:val="0"/>
                <w:sz w:val="24"/>
                <w:highlight w:val="none"/>
                <w:u w:val="single"/>
                <w:lang w:val="zh-TW"/>
              </w:rPr>
              <w:t>软件和信息技术服务业</w:t>
            </w:r>
            <w:r>
              <w:rPr>
                <w:rFonts w:hint="eastAsia" w:ascii="宋体" w:hAnsi="宋体" w:eastAsia="宋体" w:cs="宋体"/>
                <w:b/>
                <w:bCs/>
                <w:color w:val="auto"/>
                <w:kern w:val="0"/>
                <w:sz w:val="24"/>
                <w:highlight w:val="none"/>
              </w:rPr>
              <w:t>；</w:t>
            </w:r>
          </w:p>
          <w:p w14:paraId="68B121E9">
            <w:pPr>
              <w:adjustRightInd w:val="0"/>
              <w:snapToGrid w:val="0"/>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（2）从业人员、营业收入、资产总额填报上一年度数据，无上一年度数据的新成立企业可不填报；</w:t>
            </w:r>
          </w:p>
          <w:p w14:paraId="0DB2DCAE">
            <w:pPr>
              <w:pStyle w:val="3"/>
              <w:keepNext/>
              <w:keepLines/>
              <w:pageBreakBefore w:val="0"/>
              <w:widowControl w:val="0"/>
              <w:numPr>
                <w:ilvl w:val="1"/>
                <w:numId w:val="0"/>
              </w:numPr>
              <w:kinsoku/>
              <w:wordWrap/>
              <w:overflowPunct/>
              <w:topLinePunct w:val="0"/>
              <w:autoSpaceDE/>
              <w:autoSpaceDN/>
              <w:bidi w:val="0"/>
              <w:adjustRightInd w:val="0"/>
              <w:snapToGrid w:val="0"/>
              <w:spacing w:line="360" w:lineRule="auto"/>
              <w:ind w:leftChars="0"/>
              <w:jc w:val="both"/>
              <w:textAlignment w:val="auto"/>
              <w:rPr>
                <w:rFonts w:hint="eastAsia" w:ascii="宋体" w:hAnsi="宋体" w:eastAsia="宋体" w:cs="宋体"/>
                <w:b/>
                <w:bCs/>
                <w:color w:val="auto"/>
                <w:kern w:val="0"/>
                <w:sz w:val="24"/>
                <w:szCs w:val="24"/>
                <w:highlight w:val="none"/>
                <w:u w:val="none"/>
                <w:lang w:val="en-US" w:eastAsia="zh-CN" w:bidi="ar-SA"/>
              </w:rPr>
            </w:pPr>
            <w:r>
              <w:rPr>
                <w:rFonts w:hint="eastAsia" w:ascii="宋体" w:hAnsi="宋体" w:eastAsia="宋体" w:cs="宋体"/>
                <w:b/>
                <w:bCs/>
                <w:color w:val="auto"/>
                <w:kern w:val="0"/>
                <w:sz w:val="24"/>
                <w:highlight w:val="none"/>
              </w:rPr>
              <w:t>（3）中型企业、小型企业、微型企业等3种企业类型，结合以上数据，依据《中小企业划型标准规定》（工信部联企业〔2011〕300号）确定的</w:t>
            </w:r>
            <w:r>
              <w:rPr>
                <w:rFonts w:hint="eastAsia" w:ascii="宋体" w:hAnsi="宋体" w:eastAsia="宋体" w:cs="宋体"/>
                <w:b/>
                <w:bCs/>
                <w:color w:val="auto"/>
                <w:kern w:val="0"/>
                <w:sz w:val="24"/>
                <w:highlight w:val="none"/>
                <w:u w:val="single"/>
                <w:lang w:val="zh-TW"/>
              </w:rPr>
              <w:t>软件和信息技术服务业</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u w:val="single"/>
              </w:rPr>
              <w:t>填写时应明确是中型或小型或微型</w:t>
            </w:r>
            <w:r>
              <w:rPr>
                <w:rFonts w:hint="eastAsia" w:ascii="宋体" w:hAnsi="宋体" w:eastAsia="宋体" w:cs="宋体"/>
                <w:b/>
                <w:bCs/>
                <w:color w:val="auto"/>
                <w:kern w:val="0"/>
                <w:sz w:val="24"/>
                <w:highlight w:val="none"/>
              </w:rPr>
              <w:t>。</w:t>
            </w:r>
          </w:p>
        </w:tc>
      </w:tr>
      <w:tr w14:paraId="13868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1EC7F364">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2227" w:type="dxa"/>
            <w:tcBorders>
              <w:top w:val="single" w:color="000000" w:sz="8" w:space="0"/>
              <w:left w:val="single" w:color="auto" w:sz="4" w:space="0"/>
              <w:bottom w:val="single" w:color="000000" w:sz="8" w:space="0"/>
              <w:right w:val="single" w:color="000000" w:sz="8" w:space="0"/>
            </w:tcBorders>
            <w:vAlign w:val="center"/>
          </w:tcPr>
          <w:p w14:paraId="6A23B6C2">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w:t>
            </w:r>
          </w:p>
          <w:p w14:paraId="23280334">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采购进口产品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416587A2">
            <w:pPr>
              <w:spacing w:line="360" w:lineRule="auto"/>
              <w:rPr>
                <w:rFonts w:hint="eastAsia" w:ascii="宋体" w:hAnsi="宋体" w:eastAsia="宋体" w:cs="宋体"/>
                <w:color w:val="auto"/>
                <w:kern w:val="0"/>
                <w:sz w:val="24"/>
                <w:szCs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szCs w:val="24"/>
                <w:highlight w:val="none"/>
              </w:rPr>
              <w:t>本项目不允许采购进口产品。</w:t>
            </w:r>
          </w:p>
          <w:p w14:paraId="7BB842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4479B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0"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051F64E8">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2227" w:type="dxa"/>
            <w:tcBorders>
              <w:top w:val="single" w:color="000000" w:sz="8" w:space="0"/>
              <w:left w:val="single" w:color="auto" w:sz="4" w:space="0"/>
              <w:bottom w:val="single" w:color="000000" w:sz="8" w:space="0"/>
              <w:right w:val="single" w:color="000000" w:sz="8" w:space="0"/>
            </w:tcBorders>
            <w:vAlign w:val="center"/>
          </w:tcPr>
          <w:p w14:paraId="06F586CE">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870" w:type="dxa"/>
            <w:tcBorders>
              <w:top w:val="single" w:color="000000" w:sz="8" w:space="0"/>
              <w:left w:val="single" w:color="000000" w:sz="2" w:space="0"/>
              <w:bottom w:val="single" w:color="000000" w:sz="8" w:space="0"/>
              <w:right w:val="single" w:color="000000" w:sz="8" w:space="0"/>
            </w:tcBorders>
            <w:vAlign w:val="center"/>
          </w:tcPr>
          <w:p w14:paraId="3F5E1CF8">
            <w:pPr>
              <w:spacing w:line="360" w:lineRule="auto"/>
              <w:rPr>
                <w:rFonts w:hint="eastAsia" w:ascii="宋体" w:hAnsi="宋体" w:eastAsia="宋体" w:cs="宋体"/>
                <w:color w:val="auto"/>
                <w:sz w:val="24"/>
                <w:szCs w:val="24"/>
                <w:highlight w:val="none"/>
                <w:lang w:eastAsia="zh-CN"/>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同意将非主体、非关键性的工作分包</w:t>
            </w:r>
            <w:r>
              <w:rPr>
                <w:rFonts w:hint="eastAsia" w:ascii="宋体" w:hAnsi="宋体" w:eastAsia="宋体" w:cs="宋体"/>
                <w:color w:val="auto"/>
                <w:sz w:val="24"/>
                <w:szCs w:val="24"/>
                <w:highlight w:val="none"/>
                <w:lang w:eastAsia="zh-CN"/>
              </w:rPr>
              <w:t>。</w:t>
            </w:r>
          </w:p>
          <w:p w14:paraId="66F1D5FA">
            <w:pPr>
              <w:snapToGrid w:val="0"/>
              <w:spacing w:line="360" w:lineRule="auto"/>
              <w:ind w:firstLine="3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非</w:t>
            </w:r>
            <w:r>
              <w:rPr>
                <w:rFonts w:hint="eastAsia" w:ascii="宋体" w:hAnsi="宋体" w:eastAsia="宋体" w:cs="宋体"/>
                <w:color w:val="auto"/>
                <w:sz w:val="24"/>
                <w:szCs w:val="24"/>
                <w:highlight w:val="none"/>
              </w:rPr>
              <w:t>主体、</w:t>
            </w:r>
            <w:r>
              <w:rPr>
                <w:rFonts w:hint="eastAsia" w:ascii="宋体" w:hAnsi="宋体" w:cs="宋体"/>
                <w:color w:val="auto"/>
                <w:sz w:val="24"/>
                <w:szCs w:val="24"/>
                <w:highlight w:val="none"/>
                <w:lang w:val="en-US" w:eastAsia="zh-CN"/>
              </w:rPr>
              <w:t>非</w:t>
            </w:r>
            <w:r>
              <w:rPr>
                <w:rFonts w:hint="eastAsia" w:ascii="宋体" w:hAnsi="宋体" w:eastAsia="宋体" w:cs="宋体"/>
                <w:color w:val="auto"/>
                <w:sz w:val="24"/>
                <w:szCs w:val="24"/>
                <w:highlight w:val="none"/>
              </w:rPr>
              <w:t>关键部分：业务应用</w:t>
            </w:r>
          </w:p>
          <w:p w14:paraId="2C8E918F">
            <w:pPr>
              <w:spacing w:line="360" w:lineRule="auto"/>
              <w:rPr>
                <w:rFonts w:hint="eastAsia" w:ascii="宋体" w:hAnsi="宋体" w:eastAsia="宋体" w:cs="宋体"/>
                <w:color w:val="auto"/>
                <w:sz w:val="24"/>
                <w:szCs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tc>
      </w:tr>
      <w:tr w14:paraId="13A75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5" w:hRule="atLeast"/>
          <w:tblHeader/>
        </w:trPr>
        <w:tc>
          <w:tcPr>
            <w:tcW w:w="980" w:type="dxa"/>
            <w:tcBorders>
              <w:top w:val="single" w:color="auto" w:sz="4" w:space="0"/>
              <w:left w:val="single" w:color="auto" w:sz="4" w:space="0"/>
              <w:bottom w:val="single" w:color="auto" w:sz="4" w:space="0"/>
              <w:right w:val="single" w:color="auto" w:sz="4" w:space="0"/>
            </w:tcBorders>
          </w:tcPr>
          <w:p w14:paraId="0F068A6F">
            <w:pPr>
              <w:snapToGrid w:val="0"/>
              <w:spacing w:line="360" w:lineRule="auto"/>
              <w:jc w:val="center"/>
              <w:rPr>
                <w:rFonts w:hint="eastAsia" w:ascii="宋体" w:hAnsi="宋体" w:eastAsia="宋体" w:cs="宋体"/>
                <w:b/>
                <w:bCs/>
                <w:color w:val="auto"/>
                <w:sz w:val="24"/>
                <w:szCs w:val="24"/>
                <w:highlight w:val="none"/>
              </w:rPr>
            </w:pPr>
          </w:p>
          <w:p w14:paraId="38342981">
            <w:pPr>
              <w:snapToGrid w:val="0"/>
              <w:spacing w:line="360" w:lineRule="auto"/>
              <w:jc w:val="center"/>
              <w:rPr>
                <w:rFonts w:hint="eastAsia" w:ascii="宋体" w:hAnsi="宋体" w:eastAsia="宋体" w:cs="宋体"/>
                <w:b/>
                <w:bCs/>
                <w:color w:val="auto"/>
                <w:sz w:val="24"/>
                <w:szCs w:val="24"/>
                <w:highlight w:val="none"/>
              </w:rPr>
            </w:pPr>
          </w:p>
          <w:p w14:paraId="3A99AFBE">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2227" w:type="dxa"/>
            <w:tcBorders>
              <w:top w:val="single" w:color="000000" w:sz="8" w:space="0"/>
              <w:left w:val="single" w:color="auto" w:sz="4" w:space="0"/>
              <w:bottom w:val="single" w:color="000000" w:sz="8" w:space="0"/>
              <w:right w:val="single" w:color="000000" w:sz="8" w:space="0"/>
            </w:tcBorders>
            <w:vAlign w:val="center"/>
          </w:tcPr>
          <w:p w14:paraId="45A59A06">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w:t>
            </w:r>
          </w:p>
          <w:p w14:paraId="7317045C">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或现场考察</w:t>
            </w:r>
          </w:p>
        </w:tc>
        <w:tc>
          <w:tcPr>
            <w:tcW w:w="6870" w:type="dxa"/>
            <w:tcBorders>
              <w:top w:val="single" w:color="000000" w:sz="8" w:space="0"/>
              <w:left w:val="single" w:color="000000" w:sz="2" w:space="0"/>
              <w:bottom w:val="single" w:color="000000" w:sz="8" w:space="0"/>
              <w:right w:val="single" w:color="000000" w:sz="8" w:space="0"/>
            </w:tcBorders>
            <w:vAlign w:val="center"/>
          </w:tcPr>
          <w:p w14:paraId="13EFDF73">
            <w:pPr>
              <w:spacing w:line="360" w:lineRule="auto"/>
              <w:rPr>
                <w:rFonts w:hint="eastAsia" w:ascii="宋体" w:hAnsi="宋体" w:eastAsia="宋体" w:cs="宋体"/>
                <w:color w:val="auto"/>
                <w:sz w:val="24"/>
                <w:szCs w:val="24"/>
                <w:highlight w:val="none"/>
                <w:lang w:eastAsia="zh-CN"/>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62E36C8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4DEC6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6C4E261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2227" w:type="dxa"/>
            <w:tcBorders>
              <w:top w:val="single" w:color="000000" w:sz="8" w:space="0"/>
              <w:left w:val="single" w:color="auto" w:sz="4" w:space="0"/>
              <w:bottom w:val="single" w:color="000000" w:sz="8" w:space="0"/>
              <w:right w:val="single" w:color="000000" w:sz="8" w:space="0"/>
            </w:tcBorders>
            <w:vAlign w:val="center"/>
          </w:tcPr>
          <w:p w14:paraId="659B2E68">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870" w:type="dxa"/>
            <w:tcBorders>
              <w:top w:val="single" w:color="000000" w:sz="8" w:space="0"/>
              <w:left w:val="single" w:color="000000" w:sz="2" w:space="0"/>
              <w:bottom w:val="single" w:color="000000" w:sz="8" w:space="0"/>
              <w:right w:val="single" w:color="000000" w:sz="8" w:space="0"/>
            </w:tcBorders>
            <w:vAlign w:val="center"/>
          </w:tcPr>
          <w:p w14:paraId="25046ACA">
            <w:pPr>
              <w:spacing w:line="360" w:lineRule="auto"/>
              <w:rPr>
                <w:rFonts w:hint="eastAsia" w:ascii="宋体" w:hAnsi="宋体" w:eastAsia="宋体" w:cs="宋体"/>
                <w:color w:val="auto"/>
                <w:sz w:val="24"/>
                <w:szCs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32DC73C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☐B要求提供，</w:t>
            </w:r>
          </w:p>
          <w:p w14:paraId="4B1915D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663C2CF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6E81736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w:t>
            </w:r>
          </w:p>
          <w:p w14:paraId="402DBE9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（4）是否需要随样品提交检测报告：☐否；☐是，检测机构的要求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97BC6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461CA49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(6)采购活动结束后，对于未中标人提供的样品，采购人、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将通知未中标人在规定的时间内取回，逾期未取回的，采购人、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不负保管义务；对于中标人提供的样品，采购人将进行保管、封存，并作为履约验收的参考。</w:t>
            </w:r>
          </w:p>
          <w:p w14:paraId="6110C4CD">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（7）制作、运输、安装和保管样品所发生的一切费用由投标人自理。</w:t>
            </w:r>
          </w:p>
        </w:tc>
      </w:tr>
      <w:tr w14:paraId="44A48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187B48C0">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p>
        </w:tc>
        <w:tc>
          <w:tcPr>
            <w:tcW w:w="2227" w:type="dxa"/>
            <w:tcBorders>
              <w:top w:val="single" w:color="000000" w:sz="8" w:space="0"/>
              <w:left w:val="single" w:color="auto" w:sz="4" w:space="0"/>
              <w:bottom w:val="single" w:color="000000" w:sz="8" w:space="0"/>
              <w:right w:val="single" w:color="000000" w:sz="8" w:space="0"/>
            </w:tcBorders>
            <w:vAlign w:val="center"/>
          </w:tcPr>
          <w:p w14:paraId="1DF904B6">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870" w:type="dxa"/>
            <w:tcBorders>
              <w:top w:val="single" w:color="000000" w:sz="8" w:space="0"/>
              <w:left w:val="single" w:color="000000" w:sz="2" w:space="0"/>
              <w:bottom w:val="single" w:color="000000" w:sz="8" w:space="0"/>
              <w:right w:val="single" w:color="000000" w:sz="8" w:space="0"/>
            </w:tcBorders>
            <w:vAlign w:val="center"/>
          </w:tcPr>
          <w:p w14:paraId="7DE8EAB9">
            <w:pPr>
              <w:spacing w:line="360" w:lineRule="auto"/>
              <w:rPr>
                <w:rFonts w:hint="eastAsia" w:ascii="宋体" w:hAnsi="宋体" w:eastAsia="宋体" w:cs="宋体"/>
                <w:color w:val="auto"/>
                <w:sz w:val="24"/>
                <w:szCs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462C43E1">
            <w:pPr>
              <w:spacing w:line="360" w:lineRule="auto"/>
              <w:rPr>
                <w:rFonts w:hint="eastAsia" w:ascii="宋体" w:hAnsi="宋体" w:eastAsia="宋体" w:cs="宋体"/>
                <w:color w:val="auto"/>
                <w:kern w:val="0"/>
                <w:sz w:val="24"/>
                <w:szCs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szCs w:val="24"/>
                <w:highlight w:val="none"/>
              </w:rPr>
              <w:t>B组织。</w:t>
            </w:r>
          </w:p>
          <w:p w14:paraId="63CCAB5B">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w:t>
            </w:r>
            <w:r>
              <w:rPr>
                <w:rFonts w:hint="eastAsia" w:ascii="宋体" w:hAnsi="宋体" w:eastAsia="宋体" w:cs="宋体"/>
                <w:color w:val="auto"/>
                <w:kern w:val="0"/>
                <w:sz w:val="24"/>
                <w:szCs w:val="24"/>
                <w:highlight w:val="none"/>
                <w:u w:val="single"/>
                <w:lang w:val="en-US" w:eastAsia="zh-CN"/>
              </w:rPr>
              <w:t>1</w:t>
            </w:r>
            <w:r>
              <w:rPr>
                <w:rFonts w:hint="eastAsia" w:ascii="宋体" w:hAnsi="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rPr>
              <w:t>分钟，讲解次序以投标文件解密时间先后次序为准。</w:t>
            </w:r>
          </w:p>
          <w:p w14:paraId="6963BBDD">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38131B41">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方式一：录制演示内容。录制的演示内容需以U盘形式单独密封包装，送达时间及地址同备份</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文件送达时间和地点。</w:t>
            </w:r>
          </w:p>
          <w:p w14:paraId="272361F6">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w:t>
            </w:r>
            <w:r>
              <w:rPr>
                <w:rFonts w:hint="eastAsia" w:ascii="宋体" w:hAnsi="宋体" w:eastAsia="宋体" w:cs="宋体"/>
                <w:color w:val="auto"/>
                <w:kern w:val="0"/>
                <w:sz w:val="24"/>
                <w:szCs w:val="24"/>
                <w:highlight w:val="none"/>
                <w:lang w:val="en-US" w:eastAsia="zh-CN"/>
              </w:rPr>
              <w:t>评标</w:t>
            </w:r>
            <w:r>
              <w:rPr>
                <w:rFonts w:hint="eastAsia" w:ascii="宋体" w:hAnsi="宋体" w:eastAsia="宋体" w:cs="宋体"/>
                <w:color w:val="auto"/>
                <w:kern w:val="0"/>
                <w:sz w:val="24"/>
                <w:szCs w:val="24"/>
                <w:highlight w:val="none"/>
              </w:rPr>
              <w:t>现场讲解演示。现场讲解地点为</w:t>
            </w:r>
            <w:r>
              <w:rPr>
                <w:rFonts w:hint="eastAsia" w:ascii="宋体" w:hAnsi="宋体" w:eastAsia="宋体" w:cs="宋体"/>
                <w:snapToGrid w:val="0"/>
                <w:color w:val="auto"/>
                <w:kern w:val="28"/>
                <w:sz w:val="24"/>
                <w:szCs w:val="24"/>
                <w:highlight w:val="none"/>
                <w:u w:val="single"/>
                <w:lang w:val="en-US" w:eastAsia="zh-CN"/>
              </w:rPr>
              <w:t>鄞州区蕙江路567号（鄞州区妇儿医院对面）鄞州区行政服务中心五楼</w:t>
            </w:r>
            <w:r>
              <w:rPr>
                <w:rFonts w:hint="eastAsia" w:ascii="宋体" w:hAnsi="宋体" w:eastAsia="宋体" w:cs="宋体"/>
                <w:color w:val="auto"/>
                <w:kern w:val="0"/>
                <w:sz w:val="24"/>
                <w:szCs w:val="24"/>
                <w:highlight w:val="none"/>
              </w:rPr>
              <w:t>，讲解演示所用电脑等设备由投标人自备。现场讲解演示人员不超过</w:t>
            </w:r>
            <w:r>
              <w:rPr>
                <w:rFonts w:hint="eastAsia" w:ascii="宋体" w:hAnsi="宋体" w:eastAsia="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rPr>
              <w:t>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进场时提供讲解人员名单（加盖公章或授权代表签名）及身份证明，否则不得讲解演示。</w:t>
            </w:r>
          </w:p>
          <w:p w14:paraId="710FAC8B">
            <w:pPr>
              <w:snapToGrid w:val="0"/>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E5C3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980" w:type="dxa"/>
            <w:vMerge w:val="restart"/>
            <w:tcBorders>
              <w:top w:val="single" w:color="auto" w:sz="4" w:space="0"/>
              <w:left w:val="single" w:color="auto" w:sz="4" w:space="0"/>
              <w:right w:val="single" w:color="auto" w:sz="4" w:space="0"/>
            </w:tcBorders>
          </w:tcPr>
          <w:p w14:paraId="3476205A">
            <w:pPr>
              <w:snapToGrid w:val="0"/>
              <w:spacing w:line="360" w:lineRule="auto"/>
              <w:jc w:val="center"/>
              <w:rPr>
                <w:rFonts w:hint="eastAsia" w:ascii="宋体" w:hAnsi="宋体" w:eastAsia="宋体" w:cs="宋体"/>
                <w:color w:val="auto"/>
                <w:sz w:val="24"/>
                <w:szCs w:val="24"/>
                <w:highlight w:val="none"/>
              </w:rPr>
            </w:pPr>
          </w:p>
          <w:p w14:paraId="37EF703D">
            <w:pPr>
              <w:snapToGrid w:val="0"/>
              <w:spacing w:line="360" w:lineRule="auto"/>
              <w:jc w:val="center"/>
              <w:rPr>
                <w:rFonts w:hint="eastAsia" w:ascii="宋体" w:hAnsi="宋体" w:eastAsia="宋体" w:cs="宋体"/>
                <w:color w:val="auto"/>
                <w:sz w:val="24"/>
                <w:szCs w:val="24"/>
                <w:highlight w:val="none"/>
              </w:rPr>
            </w:pPr>
          </w:p>
          <w:p w14:paraId="4CF35D7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w:t>
            </w:r>
          </w:p>
        </w:tc>
        <w:tc>
          <w:tcPr>
            <w:tcW w:w="2227" w:type="dxa"/>
            <w:vMerge w:val="restart"/>
            <w:tcBorders>
              <w:top w:val="single" w:color="000000" w:sz="8" w:space="0"/>
              <w:left w:val="single" w:color="auto" w:sz="4" w:space="0"/>
              <w:right w:val="single" w:color="000000" w:sz="8" w:space="0"/>
            </w:tcBorders>
            <w:vAlign w:val="center"/>
          </w:tcPr>
          <w:p w14:paraId="713C916D">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870" w:type="dxa"/>
            <w:tcBorders>
              <w:top w:val="single" w:color="000000" w:sz="8" w:space="0"/>
              <w:left w:val="single" w:color="000000" w:sz="2" w:space="0"/>
              <w:bottom w:val="single" w:color="auto" w:sz="4" w:space="0"/>
              <w:right w:val="single" w:color="000000" w:sz="8" w:space="0"/>
            </w:tcBorders>
            <w:vAlign w:val="center"/>
          </w:tcPr>
          <w:p w14:paraId="2C10297B">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6974C65A">
            <w:pPr>
              <w:spacing w:line="360" w:lineRule="auto"/>
              <w:jc w:val="both"/>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02F9C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trPr>
        <w:tc>
          <w:tcPr>
            <w:tcW w:w="980" w:type="dxa"/>
            <w:vMerge w:val="continue"/>
            <w:tcBorders>
              <w:left w:val="single" w:color="auto" w:sz="4" w:space="0"/>
              <w:bottom w:val="single" w:color="auto" w:sz="4" w:space="0"/>
              <w:right w:val="single" w:color="auto" w:sz="4" w:space="0"/>
            </w:tcBorders>
          </w:tcPr>
          <w:p w14:paraId="7B6442E9">
            <w:pPr>
              <w:snapToGrid w:val="0"/>
              <w:spacing w:line="360" w:lineRule="auto"/>
              <w:jc w:val="center"/>
              <w:rPr>
                <w:rFonts w:hint="eastAsia" w:ascii="宋体" w:hAnsi="宋体" w:eastAsia="宋体" w:cs="宋体"/>
                <w:color w:val="auto"/>
                <w:sz w:val="24"/>
                <w:szCs w:val="24"/>
                <w:highlight w:val="none"/>
              </w:rPr>
            </w:pPr>
          </w:p>
        </w:tc>
        <w:tc>
          <w:tcPr>
            <w:tcW w:w="2227" w:type="dxa"/>
            <w:vMerge w:val="continue"/>
            <w:tcBorders>
              <w:left w:val="single" w:color="auto" w:sz="4" w:space="0"/>
              <w:bottom w:val="single" w:color="000000" w:sz="8" w:space="0"/>
              <w:right w:val="single" w:color="000000" w:sz="8" w:space="0"/>
            </w:tcBorders>
            <w:vAlign w:val="center"/>
          </w:tcPr>
          <w:p w14:paraId="0EC2257E">
            <w:pPr>
              <w:snapToGrid w:val="0"/>
              <w:spacing w:line="360" w:lineRule="auto"/>
              <w:jc w:val="center"/>
              <w:rPr>
                <w:rFonts w:hint="eastAsia" w:ascii="宋体" w:hAnsi="宋体" w:eastAsia="宋体" w:cs="宋体"/>
                <w:b/>
                <w:color w:val="auto"/>
                <w:sz w:val="24"/>
                <w:szCs w:val="24"/>
                <w:highlight w:val="none"/>
              </w:rPr>
            </w:pPr>
          </w:p>
        </w:tc>
        <w:tc>
          <w:tcPr>
            <w:tcW w:w="6870" w:type="dxa"/>
            <w:tcBorders>
              <w:top w:val="single" w:color="auto" w:sz="4" w:space="0"/>
              <w:left w:val="single" w:color="000000" w:sz="2" w:space="0"/>
              <w:bottom w:val="single" w:color="000000" w:sz="8" w:space="0"/>
              <w:right w:val="single" w:color="000000" w:sz="8" w:space="0"/>
            </w:tcBorders>
            <w:vAlign w:val="center"/>
          </w:tcPr>
          <w:p w14:paraId="05711051">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284E9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80" w:type="dxa"/>
            <w:tcBorders>
              <w:top w:val="single" w:color="auto" w:sz="4" w:space="0"/>
              <w:left w:val="single" w:color="000000" w:sz="8" w:space="0"/>
              <w:bottom w:val="single" w:color="auto" w:sz="4" w:space="0"/>
              <w:right w:val="single" w:color="000000" w:sz="2" w:space="0"/>
            </w:tcBorders>
          </w:tcPr>
          <w:p w14:paraId="22272B5C">
            <w:pPr>
              <w:snapToGrid w:val="0"/>
              <w:spacing w:line="360" w:lineRule="auto"/>
              <w:jc w:val="center"/>
              <w:rPr>
                <w:rFonts w:hint="eastAsia" w:ascii="宋体" w:hAnsi="宋体" w:eastAsia="宋体" w:cs="宋体"/>
                <w:color w:val="auto"/>
                <w:sz w:val="24"/>
                <w:szCs w:val="24"/>
                <w:highlight w:val="none"/>
              </w:rPr>
            </w:pPr>
          </w:p>
          <w:p w14:paraId="45C40929">
            <w:pPr>
              <w:snapToGrid w:val="0"/>
              <w:spacing w:line="360" w:lineRule="auto"/>
              <w:jc w:val="center"/>
              <w:rPr>
                <w:rFonts w:hint="eastAsia" w:ascii="宋体" w:hAnsi="宋体" w:eastAsia="宋体" w:cs="宋体"/>
                <w:color w:val="auto"/>
                <w:sz w:val="24"/>
                <w:szCs w:val="24"/>
                <w:highlight w:val="none"/>
              </w:rPr>
            </w:pPr>
          </w:p>
          <w:p w14:paraId="7DDB339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w:t>
            </w:r>
          </w:p>
        </w:tc>
        <w:tc>
          <w:tcPr>
            <w:tcW w:w="2227" w:type="dxa"/>
            <w:tcBorders>
              <w:top w:val="single" w:color="000000" w:sz="8" w:space="0"/>
              <w:left w:val="single" w:color="000000" w:sz="2" w:space="0"/>
              <w:bottom w:val="single" w:color="000000" w:sz="8" w:space="0"/>
              <w:right w:val="single" w:color="000000" w:sz="8" w:space="0"/>
            </w:tcBorders>
            <w:vAlign w:val="center"/>
          </w:tcPr>
          <w:p w14:paraId="1A98AFCB">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w:t>
            </w:r>
          </w:p>
          <w:p w14:paraId="31D2A8E0">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环境标志产品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40B1645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8613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80" w:type="dxa"/>
            <w:tcBorders>
              <w:top w:val="single" w:color="auto" w:sz="4" w:space="0"/>
              <w:left w:val="single" w:color="000000" w:sz="8" w:space="0"/>
              <w:bottom w:val="single" w:color="auto" w:sz="4" w:space="0"/>
              <w:right w:val="single" w:color="000000" w:sz="2" w:space="0"/>
            </w:tcBorders>
            <w:vAlign w:val="center"/>
          </w:tcPr>
          <w:p w14:paraId="1573CA81">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p>
        </w:tc>
        <w:tc>
          <w:tcPr>
            <w:tcW w:w="2227" w:type="dxa"/>
            <w:tcBorders>
              <w:top w:val="single" w:color="000000" w:sz="8" w:space="0"/>
              <w:left w:val="single" w:color="000000" w:sz="2" w:space="0"/>
              <w:bottom w:val="single" w:color="000000" w:sz="8" w:space="0"/>
              <w:right w:val="single" w:color="000000" w:sz="8" w:space="0"/>
            </w:tcBorders>
            <w:vAlign w:val="center"/>
          </w:tcPr>
          <w:p w14:paraId="53576AEB">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870" w:type="dxa"/>
            <w:tcBorders>
              <w:top w:val="single" w:color="000000" w:sz="8" w:space="0"/>
              <w:left w:val="single" w:color="000000" w:sz="2" w:space="0"/>
              <w:bottom w:val="single" w:color="000000" w:sz="8" w:space="0"/>
              <w:right w:val="single" w:color="000000" w:sz="8" w:space="0"/>
            </w:tcBorders>
            <w:vAlign w:val="center"/>
          </w:tcPr>
          <w:p w14:paraId="671F43B6">
            <w:pP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开标一览表是报价的唯一载体，如投标人在政府采购云平台填写的投标报价与投标文件报价文件中开标一览表不一致的，以报价文件中开标一览表为准。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p>
          <w:p w14:paraId="26A059EE">
            <w:pP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2478FCE8">
            <w:pP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249DDBFF">
            <w:pPr>
              <w:snapToGri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0BB6AFEB">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lang w:eastAsia="zh-CN"/>
              </w:rPr>
              <w:t>；</w:t>
            </w:r>
          </w:p>
          <w:p w14:paraId="2B620907">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76166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3" w:hRule="atLeast"/>
          <w:tblHeader/>
        </w:trPr>
        <w:tc>
          <w:tcPr>
            <w:tcW w:w="980" w:type="dxa"/>
            <w:tcBorders>
              <w:top w:val="single" w:color="auto" w:sz="4" w:space="0"/>
              <w:left w:val="single" w:color="000000" w:sz="8" w:space="0"/>
              <w:right w:val="single" w:color="000000" w:sz="2" w:space="0"/>
            </w:tcBorders>
            <w:vAlign w:val="center"/>
          </w:tcPr>
          <w:p w14:paraId="1F8CF1F3">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p>
        </w:tc>
        <w:tc>
          <w:tcPr>
            <w:tcW w:w="2227" w:type="dxa"/>
            <w:tcBorders>
              <w:top w:val="single" w:color="000000" w:sz="8" w:space="0"/>
              <w:left w:val="single" w:color="000000" w:sz="2" w:space="0"/>
              <w:right w:val="single" w:color="000000" w:sz="8" w:space="0"/>
            </w:tcBorders>
            <w:vAlign w:val="center"/>
          </w:tcPr>
          <w:p w14:paraId="4BFC4DC8">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870" w:type="dxa"/>
            <w:tcBorders>
              <w:top w:val="single" w:color="000000" w:sz="8" w:space="0"/>
              <w:left w:val="single" w:color="000000" w:sz="2" w:space="0"/>
              <w:right w:val="single" w:color="000000" w:sz="8" w:space="0"/>
            </w:tcBorders>
            <w:vAlign w:val="center"/>
          </w:tcPr>
          <w:p w14:paraId="41AFC077">
            <w:pPr>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2A4D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980" w:type="dxa"/>
            <w:tcBorders>
              <w:top w:val="single" w:color="auto" w:sz="4" w:space="0"/>
              <w:left w:val="single" w:color="000000" w:sz="8" w:space="0"/>
              <w:bottom w:val="single" w:color="auto" w:sz="4" w:space="0"/>
              <w:right w:val="single" w:color="000000" w:sz="2" w:space="0"/>
            </w:tcBorders>
            <w:vAlign w:val="center"/>
          </w:tcPr>
          <w:p w14:paraId="12400C80">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tc>
        <w:tc>
          <w:tcPr>
            <w:tcW w:w="2227" w:type="dxa"/>
            <w:tcBorders>
              <w:top w:val="single" w:color="000000" w:sz="8" w:space="0"/>
              <w:left w:val="single" w:color="000000" w:sz="2" w:space="0"/>
              <w:bottom w:val="single" w:color="000000" w:sz="8" w:space="0"/>
              <w:right w:val="single" w:color="000000" w:sz="8" w:space="0"/>
            </w:tcBorders>
            <w:vAlign w:val="center"/>
          </w:tcPr>
          <w:p w14:paraId="03D4382F">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6870" w:type="dxa"/>
            <w:tcBorders>
              <w:top w:val="single" w:color="000000" w:sz="8" w:space="0"/>
              <w:left w:val="single" w:color="000000" w:sz="2" w:space="0"/>
              <w:bottom w:val="single" w:color="000000" w:sz="8" w:space="0"/>
              <w:right w:val="single" w:color="000000" w:sz="8" w:space="0"/>
            </w:tcBorders>
            <w:vAlign w:val="center"/>
          </w:tcPr>
          <w:p w14:paraId="7C0D1879">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rPr>
              <w:t>（1）</w:t>
            </w:r>
            <w:r>
              <w:rPr>
                <w:rFonts w:hint="eastAsia" w:ascii="宋体" w:hAnsi="宋体" w:eastAsia="宋体" w:cs="宋体"/>
                <w:snapToGrid w:val="0"/>
                <w:color w:val="auto"/>
                <w:kern w:val="28"/>
                <w:sz w:val="24"/>
                <w:szCs w:val="24"/>
                <w:highlight w:val="none"/>
              </w:rPr>
              <w:t>供应商如提供备份投标文件的，可采用邮寄方式或直接提交方式递交备份投标文件</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lang w:val="en-US" w:eastAsia="zh-CN"/>
              </w:rPr>
              <w:t>供应商需</w:t>
            </w:r>
            <w:r>
              <w:rPr>
                <w:rFonts w:hint="eastAsia" w:ascii="宋体" w:hAnsi="宋体" w:eastAsia="宋体" w:cs="宋体"/>
                <w:snapToGrid w:val="0"/>
                <w:color w:val="auto"/>
                <w:kern w:val="28"/>
                <w:sz w:val="24"/>
                <w:szCs w:val="24"/>
                <w:highlight w:val="none"/>
              </w:rPr>
              <w:t>将以U盘存储的备份投标文件密封递交，逾期送达或未密封将予以拒收。</w:t>
            </w:r>
          </w:p>
          <w:p w14:paraId="69E8EEDF">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lang w:val="en-US" w:eastAsia="zh-CN"/>
              </w:rPr>
              <w:t>2）</w:t>
            </w:r>
            <w:r>
              <w:rPr>
                <w:rFonts w:hint="eastAsia" w:ascii="宋体" w:hAnsi="宋体" w:eastAsia="宋体" w:cs="宋体"/>
                <w:snapToGrid w:val="0"/>
                <w:color w:val="auto"/>
                <w:kern w:val="28"/>
                <w:sz w:val="24"/>
                <w:szCs w:val="24"/>
                <w:highlight w:val="none"/>
              </w:rPr>
              <w:t>采用邮寄方式递交备份投标文件，需按以下要求递交：</w:t>
            </w:r>
          </w:p>
          <w:p w14:paraId="5AD710C5">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供应商应在</w:t>
            </w:r>
            <w:r>
              <w:rPr>
                <w:rFonts w:hint="eastAsia" w:ascii="宋体" w:hAnsi="宋体" w:eastAsia="宋体" w:cs="宋体"/>
                <w:snapToGrid w:val="0"/>
                <w:color w:val="auto"/>
                <w:kern w:val="28"/>
                <w:sz w:val="24"/>
                <w:szCs w:val="24"/>
                <w:highlight w:val="none"/>
                <w:lang w:val="en-US" w:eastAsia="zh-CN"/>
              </w:rPr>
              <w:t>开标</w:t>
            </w:r>
            <w:r>
              <w:rPr>
                <w:rFonts w:hint="eastAsia" w:ascii="宋体" w:hAnsi="宋体" w:eastAsia="宋体" w:cs="宋体"/>
                <w:snapToGrid w:val="0"/>
                <w:color w:val="auto"/>
                <w:kern w:val="28"/>
                <w:sz w:val="24"/>
                <w:szCs w:val="24"/>
                <w:highlight w:val="none"/>
              </w:rPr>
              <w:t>前</w:t>
            </w:r>
            <w:r>
              <w:rPr>
                <w:rFonts w:hint="eastAsia" w:ascii="宋体" w:hAnsi="宋体" w:eastAsia="宋体" w:cs="宋体"/>
                <w:snapToGrid w:val="0"/>
                <w:color w:val="auto"/>
                <w:kern w:val="28"/>
                <w:sz w:val="24"/>
                <w:szCs w:val="24"/>
                <w:highlight w:val="none"/>
                <w:lang w:val="en-US" w:eastAsia="zh-CN"/>
              </w:rPr>
              <w:t>一个工作日</w:t>
            </w:r>
            <w:r>
              <w:rPr>
                <w:rFonts w:hint="eastAsia" w:ascii="宋体" w:hAnsi="宋体" w:eastAsia="宋体" w:cs="宋体"/>
                <w:snapToGrid w:val="0"/>
                <w:color w:val="auto"/>
                <w:kern w:val="28"/>
                <w:sz w:val="24"/>
                <w:szCs w:val="24"/>
                <w:highlight w:val="none"/>
              </w:rPr>
              <w:t>17：00（含）前将备份</w:t>
            </w:r>
            <w:r>
              <w:rPr>
                <w:rFonts w:hint="eastAsia" w:ascii="宋体" w:hAnsi="宋体" w:eastAsia="宋体" w:cs="宋体"/>
                <w:snapToGrid w:val="0"/>
                <w:color w:val="auto"/>
                <w:kern w:val="28"/>
                <w:sz w:val="24"/>
                <w:szCs w:val="24"/>
                <w:highlight w:val="none"/>
                <w:lang w:val="en-US" w:eastAsia="zh-CN"/>
              </w:rPr>
              <w:t>投标文件</w:t>
            </w:r>
            <w:r>
              <w:rPr>
                <w:rFonts w:hint="eastAsia" w:ascii="宋体" w:hAnsi="宋体" w:eastAsia="宋体" w:cs="宋体"/>
                <w:snapToGrid w:val="0"/>
                <w:color w:val="auto"/>
                <w:kern w:val="28"/>
                <w:sz w:val="24"/>
                <w:szCs w:val="24"/>
                <w:highlight w:val="none"/>
              </w:rPr>
              <w:t>邮寄至规定地点，邮寄地址为：宁波市鄞州区天童南路666号中基大厦19楼业务</w:t>
            </w:r>
            <w:r>
              <w:rPr>
                <w:rFonts w:hint="eastAsia" w:ascii="宋体" w:hAnsi="宋体" w:eastAsia="宋体" w:cs="宋体"/>
                <w:snapToGrid w:val="0"/>
                <w:color w:val="auto"/>
                <w:kern w:val="28"/>
                <w:sz w:val="24"/>
                <w:szCs w:val="24"/>
                <w:highlight w:val="none"/>
                <w:lang w:val="en-US" w:eastAsia="zh-CN"/>
              </w:rPr>
              <w:t>二</w:t>
            </w:r>
            <w:r>
              <w:rPr>
                <w:rFonts w:hint="eastAsia" w:ascii="宋体" w:hAnsi="宋体" w:eastAsia="宋体" w:cs="宋体"/>
                <w:snapToGrid w:val="0"/>
                <w:color w:val="auto"/>
                <w:kern w:val="28"/>
                <w:sz w:val="24"/>
                <w:szCs w:val="24"/>
                <w:highlight w:val="none"/>
              </w:rPr>
              <w:t>部，收件人</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lang w:val="en-US" w:eastAsia="zh-CN"/>
              </w:rPr>
              <w:t>吕昕烨</w:t>
            </w:r>
            <w:r>
              <w:rPr>
                <w:rFonts w:hint="eastAsia" w:ascii="宋体" w:hAnsi="宋体" w:eastAsia="宋体" w:cs="宋体"/>
                <w:snapToGrid w:val="0"/>
                <w:color w:val="auto"/>
                <w:kern w:val="28"/>
                <w:sz w:val="24"/>
                <w:szCs w:val="24"/>
                <w:highlight w:val="none"/>
              </w:rPr>
              <w:t>，联系方式：0574-8742</w:t>
            </w:r>
            <w:r>
              <w:rPr>
                <w:rFonts w:hint="eastAsia" w:ascii="宋体" w:hAnsi="宋体" w:eastAsia="宋体" w:cs="宋体"/>
                <w:snapToGrid w:val="0"/>
                <w:color w:val="auto"/>
                <w:kern w:val="28"/>
                <w:sz w:val="24"/>
                <w:szCs w:val="24"/>
                <w:highlight w:val="none"/>
                <w:lang w:val="en-US" w:eastAsia="zh-CN"/>
              </w:rPr>
              <w:t>5130</w:t>
            </w:r>
            <w:r>
              <w:rPr>
                <w:rFonts w:hint="eastAsia" w:ascii="宋体" w:hAnsi="宋体" w:eastAsia="宋体" w:cs="宋体"/>
                <w:snapToGrid w:val="0"/>
                <w:color w:val="auto"/>
                <w:kern w:val="28"/>
                <w:sz w:val="24"/>
                <w:szCs w:val="24"/>
                <w:highlight w:val="none"/>
              </w:rPr>
              <w:t>。由采购代理工作人员进行签收，各供应商自行考虑邮寄在途时间，邮寄过程中无论何种因素导致备份</w:t>
            </w:r>
            <w:r>
              <w:rPr>
                <w:rFonts w:hint="eastAsia" w:ascii="宋体" w:hAnsi="宋体" w:eastAsia="宋体" w:cs="宋体"/>
                <w:snapToGrid w:val="0"/>
                <w:color w:val="auto"/>
                <w:kern w:val="28"/>
                <w:sz w:val="24"/>
                <w:szCs w:val="24"/>
                <w:highlight w:val="none"/>
                <w:lang w:val="en-US" w:eastAsia="zh-CN"/>
              </w:rPr>
              <w:t>投标</w:t>
            </w:r>
            <w:r>
              <w:rPr>
                <w:rFonts w:hint="eastAsia" w:ascii="宋体" w:hAnsi="宋体" w:eastAsia="宋体" w:cs="宋体"/>
                <w:snapToGrid w:val="0"/>
                <w:color w:val="auto"/>
                <w:kern w:val="28"/>
                <w:sz w:val="24"/>
                <w:szCs w:val="24"/>
                <w:highlight w:val="none"/>
              </w:rPr>
              <w:t>文件未按时递交的后果，均由供应商自行负责。备份</w:t>
            </w:r>
            <w:r>
              <w:rPr>
                <w:rFonts w:hint="eastAsia" w:ascii="宋体" w:hAnsi="宋体" w:eastAsia="宋体" w:cs="宋体"/>
                <w:snapToGrid w:val="0"/>
                <w:color w:val="auto"/>
                <w:kern w:val="28"/>
                <w:sz w:val="24"/>
                <w:szCs w:val="24"/>
                <w:highlight w:val="none"/>
                <w:lang w:val="en-US" w:eastAsia="zh-CN"/>
              </w:rPr>
              <w:t>投标</w:t>
            </w:r>
            <w:r>
              <w:rPr>
                <w:rFonts w:hint="eastAsia" w:ascii="宋体" w:hAnsi="宋体" w:eastAsia="宋体" w:cs="宋体"/>
                <w:snapToGrid w:val="0"/>
                <w:color w:val="auto"/>
                <w:kern w:val="28"/>
                <w:sz w:val="24"/>
                <w:szCs w:val="24"/>
                <w:highlight w:val="none"/>
              </w:rPr>
              <w:t>文件递交时间以采购代理实际收到备份</w:t>
            </w:r>
            <w:r>
              <w:rPr>
                <w:rFonts w:hint="eastAsia" w:ascii="宋体" w:hAnsi="宋体" w:eastAsia="宋体" w:cs="宋体"/>
                <w:snapToGrid w:val="0"/>
                <w:color w:val="auto"/>
                <w:kern w:val="28"/>
                <w:sz w:val="24"/>
                <w:szCs w:val="24"/>
                <w:highlight w:val="none"/>
                <w:lang w:val="en-US" w:eastAsia="zh-CN"/>
              </w:rPr>
              <w:t>投标</w:t>
            </w:r>
            <w:r>
              <w:rPr>
                <w:rFonts w:hint="eastAsia" w:ascii="宋体" w:hAnsi="宋体" w:eastAsia="宋体" w:cs="宋体"/>
                <w:snapToGrid w:val="0"/>
                <w:color w:val="auto"/>
                <w:kern w:val="28"/>
                <w:sz w:val="24"/>
                <w:szCs w:val="24"/>
                <w:highlight w:val="none"/>
              </w:rPr>
              <w:t>文件的时间为准。</w:t>
            </w:r>
          </w:p>
          <w:p w14:paraId="24D0C01A">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rPr>
              <w:t>（3）采用直接提交方式递交备份投标文件，需按以下要求递交：在投标截止时间前将备份投标文件送至</w:t>
            </w:r>
            <w:r>
              <w:rPr>
                <w:rFonts w:hint="eastAsia" w:ascii="宋体" w:hAnsi="宋体" w:eastAsia="宋体" w:cs="宋体"/>
                <w:snapToGrid w:val="0"/>
                <w:color w:val="auto"/>
                <w:kern w:val="28"/>
                <w:sz w:val="24"/>
                <w:szCs w:val="24"/>
                <w:highlight w:val="none"/>
                <w:u w:val="single"/>
                <w:lang w:val="en-US" w:eastAsia="zh-CN"/>
              </w:rPr>
              <w:t>鄞州区蕙江路567号（鄞州区妇儿医院对面）鄞州区行政服务中心五楼</w:t>
            </w:r>
            <w:r>
              <w:rPr>
                <w:rFonts w:hint="eastAsia" w:ascii="宋体" w:hAnsi="宋体" w:eastAsia="宋体" w:cs="宋体"/>
                <w:snapToGrid w:val="0"/>
                <w:color w:val="auto"/>
                <w:kern w:val="28"/>
                <w:sz w:val="24"/>
                <w:szCs w:val="24"/>
                <w:highlight w:val="none"/>
                <w:lang w:val="en-US" w:eastAsia="zh-CN"/>
              </w:rPr>
              <w:t xml:space="preserve">。       </w:t>
            </w:r>
          </w:p>
          <w:p w14:paraId="565930F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snapToGrid w:val="0"/>
                <w:color w:val="auto"/>
                <w:kern w:val="28"/>
                <w:sz w:val="24"/>
                <w:szCs w:val="24"/>
                <w:highlight w:val="none"/>
              </w:rPr>
              <w:t>采购人、</w:t>
            </w:r>
            <w:r>
              <w:rPr>
                <w:rFonts w:hint="eastAsia" w:ascii="宋体" w:hAnsi="宋体" w:eastAsia="宋体" w:cs="宋体"/>
                <w:b/>
                <w:bCs/>
                <w:snapToGrid w:val="0"/>
                <w:color w:val="auto"/>
                <w:kern w:val="28"/>
                <w:sz w:val="24"/>
                <w:szCs w:val="24"/>
                <w:highlight w:val="none"/>
                <w:lang w:eastAsia="zh-CN"/>
              </w:rPr>
              <w:t>采购代理机构</w:t>
            </w:r>
            <w:r>
              <w:rPr>
                <w:rFonts w:hint="eastAsia" w:ascii="宋体" w:hAnsi="宋体" w:eastAsia="宋体" w:cs="宋体"/>
                <w:b/>
                <w:bCs/>
                <w:snapToGrid w:val="0"/>
                <w:color w:val="auto"/>
                <w:kern w:val="28"/>
                <w:sz w:val="24"/>
                <w:szCs w:val="24"/>
                <w:highlight w:val="none"/>
              </w:rPr>
              <w:t>不强制投标人提交备份投标文件</w:t>
            </w:r>
            <w:r>
              <w:rPr>
                <w:rFonts w:hint="eastAsia" w:ascii="宋体" w:hAnsi="宋体" w:eastAsia="宋体" w:cs="宋体"/>
                <w:b/>
                <w:bCs/>
                <w:snapToGrid w:val="0"/>
                <w:color w:val="auto"/>
                <w:kern w:val="28"/>
                <w:sz w:val="24"/>
                <w:szCs w:val="24"/>
                <w:highlight w:val="none"/>
                <w:lang w:eastAsia="zh-CN"/>
              </w:rPr>
              <w:t>。</w:t>
            </w:r>
          </w:p>
        </w:tc>
      </w:tr>
      <w:tr w14:paraId="4FAF4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trPr>
        <w:tc>
          <w:tcPr>
            <w:tcW w:w="980" w:type="dxa"/>
            <w:vMerge w:val="restart"/>
            <w:tcBorders>
              <w:top w:val="single" w:color="auto" w:sz="4" w:space="0"/>
              <w:left w:val="single" w:color="000000" w:sz="8" w:space="0"/>
              <w:right w:val="single" w:color="000000" w:sz="2" w:space="0"/>
            </w:tcBorders>
            <w:vAlign w:val="center"/>
          </w:tcPr>
          <w:p w14:paraId="0ACF12C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13</w:t>
            </w:r>
          </w:p>
        </w:tc>
        <w:tc>
          <w:tcPr>
            <w:tcW w:w="2227" w:type="dxa"/>
            <w:vMerge w:val="restart"/>
            <w:tcBorders>
              <w:top w:val="single" w:color="000000" w:sz="8" w:space="0"/>
              <w:left w:val="single" w:color="000000" w:sz="2" w:space="0"/>
              <w:right w:val="single" w:color="000000" w:sz="8" w:space="0"/>
            </w:tcBorders>
            <w:vAlign w:val="center"/>
          </w:tcPr>
          <w:p w14:paraId="38F38400">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特别说明</w:t>
            </w:r>
          </w:p>
        </w:tc>
        <w:tc>
          <w:tcPr>
            <w:tcW w:w="6870" w:type="dxa"/>
            <w:tcBorders>
              <w:top w:val="single" w:color="000000" w:sz="8" w:space="0"/>
              <w:left w:val="single" w:color="000000" w:sz="2" w:space="0"/>
              <w:bottom w:val="single" w:color="000000" w:sz="8" w:space="0"/>
              <w:right w:val="single" w:color="000000" w:sz="8" w:space="0"/>
            </w:tcBorders>
            <w:vAlign w:val="center"/>
          </w:tcPr>
          <w:p w14:paraId="166FAEA4">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本项目接受联合体投标。</w:t>
            </w:r>
          </w:p>
        </w:tc>
      </w:tr>
      <w:tr w14:paraId="2D5D0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980" w:type="dxa"/>
            <w:vMerge w:val="continue"/>
            <w:tcBorders>
              <w:left w:val="single" w:color="000000" w:sz="8" w:space="0"/>
              <w:right w:val="single" w:color="000000" w:sz="2" w:space="0"/>
            </w:tcBorders>
          </w:tcPr>
          <w:p w14:paraId="708DB8BC">
            <w:pPr>
              <w:snapToGrid w:val="0"/>
              <w:spacing w:line="360" w:lineRule="auto"/>
              <w:jc w:val="center"/>
              <w:rPr>
                <w:rFonts w:hint="eastAsia" w:ascii="宋体" w:hAnsi="宋体" w:eastAsia="宋体" w:cs="宋体"/>
                <w:color w:val="auto"/>
                <w:sz w:val="24"/>
                <w:szCs w:val="24"/>
                <w:highlight w:val="none"/>
              </w:rPr>
            </w:pPr>
          </w:p>
        </w:tc>
        <w:tc>
          <w:tcPr>
            <w:tcW w:w="2227" w:type="dxa"/>
            <w:vMerge w:val="continue"/>
            <w:tcBorders>
              <w:left w:val="single" w:color="000000" w:sz="2" w:space="0"/>
              <w:right w:val="single" w:color="000000" w:sz="8" w:space="0"/>
            </w:tcBorders>
            <w:vAlign w:val="center"/>
          </w:tcPr>
          <w:p w14:paraId="3FD2AB2D">
            <w:pPr>
              <w:snapToGrid w:val="0"/>
              <w:spacing w:line="360" w:lineRule="auto"/>
              <w:jc w:val="center"/>
              <w:rPr>
                <w:rFonts w:hint="eastAsia" w:ascii="宋体" w:hAnsi="宋体" w:eastAsia="宋体" w:cs="宋体"/>
                <w:b/>
                <w:color w:val="auto"/>
                <w:sz w:val="24"/>
                <w:szCs w:val="24"/>
                <w:highlight w:val="none"/>
              </w:rPr>
            </w:pPr>
          </w:p>
        </w:tc>
        <w:tc>
          <w:tcPr>
            <w:tcW w:w="6870" w:type="dxa"/>
            <w:tcBorders>
              <w:top w:val="single" w:color="000000" w:sz="8" w:space="0"/>
              <w:left w:val="single" w:color="000000" w:sz="2" w:space="0"/>
              <w:bottom w:val="single" w:color="000000" w:sz="8" w:space="0"/>
              <w:right w:val="single" w:color="000000" w:sz="8" w:space="0"/>
            </w:tcBorders>
            <w:vAlign w:val="center"/>
          </w:tcPr>
          <w:p w14:paraId="7805B2B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28"/>
                <w:sz w:val="24"/>
                <w:szCs w:val="24"/>
                <w:highlight w:val="none"/>
              </w:rPr>
            </w:pPr>
            <w:r>
              <w:rPr>
                <w:rFonts w:hint="eastAsia" w:ascii="Wingdings" w:hAnsi="Wingdings" w:eastAsia="宋体" w:cs="宋体"/>
                <w:color w:val="auto"/>
                <w:kern w:val="0"/>
                <w:sz w:val="24"/>
                <w:szCs w:val="24"/>
                <w:highlight w:val="none"/>
                <w:lang w:val="en-US" w:eastAsia="zh-CN" w:bidi="ar-SA"/>
              </w:rPr>
              <w:sym w:font="Wingdings" w:char="00FE"/>
            </w:r>
            <w:r>
              <w:rPr>
                <w:rFonts w:hint="eastAsia" w:ascii="宋体" w:hAnsi="宋体" w:eastAsia="宋体" w:cs="宋体"/>
                <w:snapToGrid w:val="0"/>
                <w:color w:val="auto"/>
                <w:kern w:val="28"/>
                <w:sz w:val="24"/>
                <w:szCs w:val="24"/>
                <w:highlight w:val="none"/>
              </w:rPr>
              <w:t>联合体投标的，联合体各方均需按招标文件第四部分评标标准要求提供资信证明文件，否则视为不符合相关要求。</w:t>
            </w:r>
          </w:p>
          <w:p w14:paraId="0EB0DCF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397D7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980" w:type="dxa"/>
            <w:tcBorders>
              <w:top w:val="single" w:color="auto" w:sz="4" w:space="0"/>
              <w:left w:val="single" w:color="000000" w:sz="8" w:space="0"/>
              <w:right w:val="single" w:color="000000" w:sz="2" w:space="0"/>
            </w:tcBorders>
            <w:vAlign w:val="center"/>
          </w:tcPr>
          <w:p w14:paraId="706E8BDC">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p>
        </w:tc>
        <w:tc>
          <w:tcPr>
            <w:tcW w:w="2227" w:type="dxa"/>
            <w:tcBorders>
              <w:top w:val="single" w:color="000000" w:sz="8" w:space="0"/>
              <w:left w:val="single" w:color="000000" w:sz="2" w:space="0"/>
              <w:right w:val="single" w:color="000000" w:sz="8" w:space="0"/>
            </w:tcBorders>
            <w:vAlign w:val="center"/>
          </w:tcPr>
          <w:p w14:paraId="0AB0A750">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采购代理服务费</w:t>
            </w:r>
          </w:p>
        </w:tc>
        <w:tc>
          <w:tcPr>
            <w:tcW w:w="6870" w:type="dxa"/>
            <w:tcBorders>
              <w:top w:val="single" w:color="000000" w:sz="8" w:space="0"/>
              <w:left w:val="single" w:color="000000" w:sz="2" w:space="0"/>
              <w:bottom w:val="single" w:color="000000" w:sz="8" w:space="0"/>
              <w:right w:val="single" w:color="000000" w:sz="8" w:space="0"/>
            </w:tcBorders>
            <w:vAlign w:val="center"/>
          </w:tcPr>
          <w:p w14:paraId="3E2BA576">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w:t>
            </w:r>
            <w:r>
              <w:rPr>
                <w:rFonts w:hint="eastAsia" w:ascii="宋体" w:hAnsi="宋体" w:eastAsia="宋体" w:cs="宋体"/>
                <w:snapToGrid w:val="0"/>
                <w:color w:val="auto"/>
                <w:kern w:val="28"/>
                <w:sz w:val="24"/>
                <w:szCs w:val="24"/>
                <w:highlight w:val="none"/>
                <w:lang w:val="en-US" w:eastAsia="zh-CN"/>
              </w:rPr>
              <w:t>1</w:t>
            </w:r>
            <w:r>
              <w:rPr>
                <w:rFonts w:hint="eastAsia" w:ascii="宋体" w:hAnsi="宋体" w:eastAsia="宋体" w:cs="宋体"/>
                <w:snapToGrid w:val="0"/>
                <w:color w:val="auto"/>
                <w:kern w:val="28"/>
                <w:sz w:val="24"/>
                <w:szCs w:val="24"/>
                <w:highlight w:val="none"/>
              </w:rPr>
              <w:t>）</w:t>
            </w:r>
            <w:r>
              <w:rPr>
                <w:rFonts w:hint="eastAsia" w:ascii="宋体" w:hAnsi="宋体" w:eastAsia="宋体" w:cs="宋体"/>
                <w:snapToGrid w:val="0"/>
                <w:color w:val="auto"/>
                <w:kern w:val="28"/>
                <w:sz w:val="24"/>
                <w:szCs w:val="24"/>
                <w:highlight w:val="none"/>
                <w:lang w:val="en-US" w:eastAsia="zh-CN"/>
              </w:rPr>
              <w:t>收取方式：</w:t>
            </w:r>
            <w:r>
              <w:rPr>
                <w:rFonts w:hint="eastAsia" w:ascii="宋体" w:hAnsi="宋体" w:eastAsia="宋体" w:cs="宋体"/>
                <w:snapToGrid w:val="0"/>
                <w:color w:val="auto"/>
                <w:kern w:val="28"/>
                <w:sz w:val="24"/>
                <w:szCs w:val="24"/>
                <w:highlight w:val="none"/>
              </w:rPr>
              <w:t>供应商应当自</w:t>
            </w:r>
            <w:r>
              <w:rPr>
                <w:rFonts w:hint="eastAsia" w:ascii="宋体" w:hAnsi="宋体" w:eastAsia="宋体" w:cs="宋体"/>
                <w:snapToGrid w:val="0"/>
                <w:color w:val="auto"/>
                <w:kern w:val="28"/>
                <w:sz w:val="24"/>
                <w:szCs w:val="24"/>
                <w:highlight w:val="none"/>
                <w:lang w:val="en-US" w:eastAsia="zh-CN"/>
              </w:rPr>
              <w:t>中标</w:t>
            </w:r>
            <w:r>
              <w:rPr>
                <w:rFonts w:hint="eastAsia" w:ascii="宋体" w:hAnsi="宋体" w:eastAsia="宋体" w:cs="宋体"/>
                <w:snapToGrid w:val="0"/>
                <w:color w:val="auto"/>
                <w:kern w:val="28"/>
                <w:sz w:val="24"/>
                <w:szCs w:val="24"/>
                <w:highlight w:val="none"/>
              </w:rPr>
              <w:t>结果公告发布之日起5个工作日内一次性向采购代理机构支付代理服务费。</w:t>
            </w:r>
          </w:p>
          <w:p w14:paraId="35D915AB">
            <w:pPr>
              <w:overflowPunct w:val="0"/>
              <w:adjustRightInd w:val="0"/>
              <w:snapToGrid w:val="0"/>
              <w:spacing w:line="360" w:lineRule="auto"/>
              <w:jc w:val="left"/>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rPr>
              <w:t>（2）采购</w:t>
            </w:r>
            <w:r>
              <w:rPr>
                <w:rFonts w:hint="eastAsia" w:ascii="宋体" w:hAnsi="宋体" w:eastAsia="宋体" w:cs="宋体"/>
                <w:snapToGrid w:val="0"/>
                <w:color w:val="auto"/>
                <w:kern w:val="28"/>
                <w:sz w:val="24"/>
                <w:szCs w:val="24"/>
                <w:highlight w:val="none"/>
              </w:rPr>
              <w:t>代理服务费用收取标准：本项目服务费用参照宁波市招标投标协会关于印发《宁波市招标（采购）代理服务收费指导意见》通知规定的标准</w:t>
            </w:r>
            <w:r>
              <w:rPr>
                <w:rFonts w:hint="eastAsia" w:ascii="宋体" w:hAnsi="宋体" w:cs="宋体"/>
                <w:snapToGrid w:val="0"/>
                <w:color w:val="auto"/>
                <w:kern w:val="28"/>
                <w:sz w:val="24"/>
                <w:szCs w:val="24"/>
                <w:highlight w:val="none"/>
                <w:lang w:eastAsia="zh-CN"/>
              </w:rPr>
              <w:t>（</w:t>
            </w:r>
            <w:r>
              <w:rPr>
                <w:rFonts w:hint="eastAsia" w:ascii="宋体" w:hAnsi="宋体" w:cs="宋体"/>
                <w:snapToGrid w:val="0"/>
                <w:color w:val="auto"/>
                <w:kern w:val="28"/>
                <w:sz w:val="24"/>
                <w:szCs w:val="24"/>
                <w:highlight w:val="none"/>
                <w:lang w:val="en-US" w:eastAsia="zh-CN"/>
              </w:rPr>
              <w:t>下表，按照累进制计算</w:t>
            </w:r>
            <w:r>
              <w:rPr>
                <w:rFonts w:hint="eastAsia" w:ascii="宋体" w:hAnsi="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，按照中标金额向中标人收取服务费。</w:t>
            </w:r>
          </w:p>
          <w:p w14:paraId="141D4DDB">
            <w:pPr>
              <w:spacing w:line="360" w:lineRule="auto"/>
              <w:rPr>
                <w:rFonts w:hint="eastAsia" w:ascii="宋体" w:hAnsi="宋体" w:eastAsia="宋体" w:cs="宋体"/>
                <w:snapToGrid w:val="0"/>
                <w:color w:val="auto"/>
                <w:kern w:val="28"/>
                <w:sz w:val="24"/>
                <w:szCs w:val="24"/>
                <w:highlight w:val="none"/>
              </w:rPr>
            </w:pPr>
            <w:r>
              <w:rPr>
                <w:color w:val="auto"/>
                <w:highlight w:val="none"/>
              </w:rPr>
              <w:drawing>
                <wp:inline distT="0" distB="0" distL="0" distR="0">
                  <wp:extent cx="4326255" cy="2301875"/>
                  <wp:effectExtent l="0" t="0" r="17145" b="3175"/>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7" cstate="print"/>
                          <a:srcRect/>
                          <a:stretch>
                            <a:fillRect/>
                          </a:stretch>
                        </pic:blipFill>
                        <pic:spPr>
                          <a:xfrm>
                            <a:off x="0" y="0"/>
                            <a:ext cx="4326255" cy="2301875"/>
                          </a:xfrm>
                          <a:prstGeom prst="rect">
                            <a:avLst/>
                          </a:prstGeom>
                          <a:ln>
                            <a:noFill/>
                          </a:ln>
                        </pic:spPr>
                      </pic:pic>
                    </a:graphicData>
                  </a:graphic>
                </wp:inline>
              </w:drawing>
            </w:r>
            <w:r>
              <w:rPr>
                <w:rFonts w:hint="eastAsia" w:ascii="宋体" w:hAnsi="宋体" w:eastAsia="宋体" w:cs="宋体"/>
                <w:snapToGrid w:val="0"/>
                <w:color w:val="auto"/>
                <w:kern w:val="28"/>
                <w:sz w:val="24"/>
                <w:szCs w:val="24"/>
                <w:highlight w:val="none"/>
              </w:rPr>
              <w:t>（</w:t>
            </w:r>
            <w:r>
              <w:rPr>
                <w:rFonts w:hint="eastAsia" w:ascii="宋体" w:hAnsi="宋体" w:eastAsia="宋体" w:cs="宋体"/>
                <w:snapToGrid w:val="0"/>
                <w:color w:val="auto"/>
                <w:kern w:val="28"/>
                <w:sz w:val="24"/>
                <w:szCs w:val="24"/>
                <w:highlight w:val="none"/>
                <w:lang w:val="en-US" w:eastAsia="zh-CN"/>
              </w:rPr>
              <w:t>3</w:t>
            </w:r>
            <w:r>
              <w:rPr>
                <w:rFonts w:hint="eastAsia" w:ascii="宋体" w:hAnsi="宋体" w:eastAsia="宋体" w:cs="宋体"/>
                <w:snapToGrid w:val="0"/>
                <w:color w:val="auto"/>
                <w:kern w:val="28"/>
                <w:sz w:val="24"/>
                <w:szCs w:val="24"/>
                <w:highlight w:val="none"/>
              </w:rPr>
              <w:t>）支付形式及账号：</w:t>
            </w:r>
          </w:p>
          <w:p w14:paraId="4483E003">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①代理服务费缴纳形式：汇票/电汇/现金</w:t>
            </w:r>
          </w:p>
          <w:p w14:paraId="39DE5D4F">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②代理服务费汇入以下账户 ：</w:t>
            </w:r>
          </w:p>
          <w:p w14:paraId="4D830C76">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收款单位（户名）：宁波中基国际招标有限公司</w:t>
            </w:r>
          </w:p>
          <w:p w14:paraId="51133FCC">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开户：宁波银行科技支行</w:t>
            </w:r>
          </w:p>
          <w:p w14:paraId="4098CA18">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账号：31010122000005488</w:t>
            </w:r>
          </w:p>
          <w:p w14:paraId="3077A1BC">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rPr>
              <w:t>（4）</w:t>
            </w:r>
            <w:r>
              <w:rPr>
                <w:rFonts w:hint="eastAsia" w:ascii="宋体" w:hAnsi="宋体" w:eastAsia="宋体" w:cs="宋体"/>
                <w:snapToGrid w:val="0"/>
                <w:color w:val="auto"/>
                <w:kern w:val="28"/>
                <w:sz w:val="24"/>
                <w:szCs w:val="24"/>
                <w:highlight w:val="none"/>
              </w:rPr>
              <w:t>支付流程：</w:t>
            </w:r>
            <w:r>
              <w:rPr>
                <w:rFonts w:hint="eastAsia" w:ascii="宋体" w:hAnsi="宋体" w:eastAsia="宋体" w:cs="宋体"/>
                <w:snapToGrid w:val="0"/>
                <w:color w:val="auto"/>
                <w:kern w:val="28"/>
                <w:sz w:val="24"/>
                <w:szCs w:val="24"/>
                <w:highlight w:val="none"/>
                <w:lang w:val="en-US" w:eastAsia="zh-CN"/>
              </w:rPr>
              <w:t>中标</w:t>
            </w:r>
            <w:r>
              <w:rPr>
                <w:rFonts w:hint="eastAsia" w:ascii="宋体" w:hAnsi="宋体" w:eastAsia="宋体" w:cs="宋体"/>
                <w:snapToGrid w:val="0"/>
                <w:color w:val="auto"/>
                <w:kern w:val="28"/>
                <w:sz w:val="24"/>
                <w:szCs w:val="24"/>
                <w:highlight w:val="none"/>
              </w:rPr>
              <w:t>供应商按照</w:t>
            </w:r>
            <w:r>
              <w:rPr>
                <w:rFonts w:hint="eastAsia" w:ascii="宋体" w:hAnsi="宋体" w:eastAsia="宋体" w:cs="宋体"/>
                <w:snapToGrid w:val="0"/>
                <w:color w:val="auto"/>
                <w:kern w:val="28"/>
                <w:sz w:val="24"/>
                <w:szCs w:val="24"/>
                <w:highlight w:val="none"/>
                <w:lang w:val="en-US" w:eastAsia="zh-CN"/>
              </w:rPr>
              <w:t>中标</w:t>
            </w:r>
            <w:r>
              <w:rPr>
                <w:rFonts w:hint="eastAsia" w:ascii="宋体" w:hAnsi="宋体" w:eastAsia="宋体" w:cs="宋体"/>
                <w:snapToGrid w:val="0"/>
                <w:color w:val="auto"/>
                <w:kern w:val="28"/>
                <w:sz w:val="24"/>
                <w:szCs w:val="24"/>
                <w:highlight w:val="none"/>
              </w:rPr>
              <w:t>结果公告确定金额支付至采购代理机构账户后将汇款底单、开票信息和发票邮寄地址发送至</w:t>
            </w:r>
            <w:r>
              <w:rPr>
                <w:rFonts w:hint="eastAsia" w:ascii="宋体" w:hAnsi="宋体" w:eastAsia="宋体" w:cs="宋体"/>
                <w:snapToGrid w:val="0"/>
                <w:color w:val="auto"/>
                <w:kern w:val="28"/>
                <w:sz w:val="24"/>
                <w:szCs w:val="24"/>
                <w:highlight w:val="none"/>
                <w:u w:val="single"/>
                <w:lang w:val="en-US" w:eastAsia="zh-CN"/>
              </w:rPr>
              <w:t xml:space="preserve"> 719126619@qq.com</w:t>
            </w:r>
            <w:r>
              <w:rPr>
                <w:rFonts w:hint="eastAsia" w:ascii="宋体" w:hAnsi="宋体" w:eastAsia="宋体" w:cs="宋体"/>
                <w:snapToGrid w:val="0"/>
                <w:color w:val="auto"/>
                <w:kern w:val="28"/>
                <w:sz w:val="24"/>
                <w:szCs w:val="24"/>
                <w:highlight w:val="none"/>
              </w:rPr>
              <w:t>，采购代理机构在收到邮件后开具发票。</w:t>
            </w:r>
          </w:p>
        </w:tc>
      </w:tr>
    </w:tbl>
    <w:p w14:paraId="02E09F5F">
      <w:pPr>
        <w:snapToGrid w:val="0"/>
        <w:spacing w:line="360" w:lineRule="auto"/>
        <w:jc w:val="center"/>
        <w:rPr>
          <w:rFonts w:hint="eastAsia" w:ascii="宋体" w:hAnsi="宋体" w:eastAsia="宋体" w:cs="宋体"/>
          <w:b/>
          <w:color w:val="auto"/>
          <w:sz w:val="24"/>
          <w:szCs w:val="24"/>
          <w:highlight w:val="none"/>
        </w:rPr>
      </w:pPr>
    </w:p>
    <w:bookmarkEnd w:id="18"/>
    <w:p w14:paraId="479E150B">
      <w:pPr>
        <w:rPr>
          <w:rFonts w:hint="eastAsia" w:ascii="宋体" w:hAnsi="宋体" w:eastAsia="宋体" w:cs="宋体"/>
          <w:b/>
          <w:color w:val="auto"/>
          <w:sz w:val="24"/>
          <w:szCs w:val="24"/>
          <w:highlight w:val="none"/>
        </w:rPr>
      </w:pPr>
      <w:bookmarkStart w:id="35" w:name="第三部分"/>
      <w:bookmarkStart w:id="36" w:name="_Toc164416483"/>
      <w:r>
        <w:rPr>
          <w:rFonts w:hint="eastAsia" w:ascii="宋体" w:hAnsi="宋体" w:eastAsia="宋体" w:cs="宋体"/>
          <w:b/>
          <w:color w:val="auto"/>
          <w:sz w:val="24"/>
          <w:szCs w:val="24"/>
          <w:highlight w:val="none"/>
        </w:rPr>
        <w:br w:type="page"/>
      </w:r>
    </w:p>
    <w:p w14:paraId="00F7C6E9">
      <w:pPr>
        <w:adjustRightInd/>
        <w:spacing w:line="360" w:lineRule="auto"/>
        <w:jc w:val="center"/>
        <w:outlineLvl w:val="1"/>
        <w:rPr>
          <w:rFonts w:hint="eastAsia" w:ascii="宋体" w:hAnsi="宋体" w:eastAsia="宋体" w:cs="宋体"/>
          <w:b/>
          <w:color w:val="auto"/>
          <w:sz w:val="24"/>
          <w:szCs w:val="24"/>
          <w:highlight w:val="none"/>
        </w:rPr>
      </w:pPr>
      <w:bookmarkStart w:id="37" w:name="_Toc19896"/>
      <w:r>
        <w:rPr>
          <w:rFonts w:hint="eastAsia" w:ascii="宋体" w:hAnsi="宋体" w:eastAsia="宋体" w:cs="宋体"/>
          <w:b/>
          <w:color w:val="auto"/>
          <w:sz w:val="24"/>
          <w:szCs w:val="24"/>
          <w:highlight w:val="none"/>
        </w:rPr>
        <w:t>一、总则</w:t>
      </w:r>
      <w:bookmarkEnd w:id="37"/>
    </w:p>
    <w:p w14:paraId="0CC872FF">
      <w:pPr>
        <w:spacing w:line="360" w:lineRule="auto"/>
        <w:ind w:firstLine="241" w:firstLineChars="100"/>
        <w:rPr>
          <w:rFonts w:hint="eastAsia" w:ascii="宋体" w:hAnsi="宋体" w:eastAsia="宋体" w:cs="宋体"/>
          <w:b/>
          <w:color w:val="auto"/>
          <w:sz w:val="24"/>
          <w:szCs w:val="24"/>
          <w:highlight w:val="none"/>
        </w:rPr>
      </w:pPr>
      <w:bookmarkStart w:id="38" w:name="_Toc4803"/>
      <w:r>
        <w:rPr>
          <w:rFonts w:hint="eastAsia" w:ascii="宋体" w:hAnsi="宋体" w:eastAsia="宋体" w:cs="宋体"/>
          <w:b/>
          <w:color w:val="auto"/>
          <w:sz w:val="24"/>
          <w:szCs w:val="24"/>
          <w:highlight w:val="none"/>
        </w:rPr>
        <w:t>1. 适用范围</w:t>
      </w:r>
      <w:bookmarkEnd w:id="38"/>
    </w:p>
    <w:p w14:paraId="54F7F6C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6D77186E">
      <w:pPr>
        <w:spacing w:line="360" w:lineRule="auto"/>
        <w:ind w:firstLine="241" w:firstLineChars="100"/>
        <w:rPr>
          <w:rFonts w:hint="eastAsia" w:ascii="宋体" w:hAnsi="宋体" w:eastAsia="宋体" w:cs="宋体"/>
          <w:b/>
          <w:color w:val="auto"/>
          <w:sz w:val="24"/>
          <w:szCs w:val="24"/>
          <w:highlight w:val="none"/>
        </w:rPr>
      </w:pPr>
      <w:bookmarkStart w:id="39" w:name="_Toc17533"/>
      <w:r>
        <w:rPr>
          <w:rFonts w:hint="eastAsia" w:ascii="宋体" w:hAnsi="宋体" w:eastAsia="宋体" w:cs="宋体"/>
          <w:b/>
          <w:color w:val="auto"/>
          <w:sz w:val="24"/>
          <w:szCs w:val="24"/>
          <w:highlight w:val="none"/>
        </w:rPr>
        <w:t>2.定义</w:t>
      </w:r>
      <w:bookmarkEnd w:id="39"/>
    </w:p>
    <w:p w14:paraId="478D55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44CBC5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”系指招标公告中载明的本项目的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0144BE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6EE7C1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48D0B7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03FA51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7E9E84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 系指实质性要求条款，“</w:t>
      </w: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szCs w:val="24"/>
          <w:highlight w:val="none"/>
        </w:rPr>
        <w:t>”  系指适用本项目的要求，“</w:t>
      </w: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sz w:val="24"/>
          <w:szCs w:val="24"/>
          <w:highlight w:val="none"/>
        </w:rPr>
        <w:t>” 系指不适用本项目的要求。</w:t>
      </w:r>
    </w:p>
    <w:p w14:paraId="4985A330">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0424B384">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sz w:val="24"/>
          <w:szCs w:val="24"/>
          <w:highlight w:val="none"/>
          <w:lang w:eastAsia="zh-CN"/>
        </w:rPr>
        <w:t>。</w:t>
      </w:r>
    </w:p>
    <w:p w14:paraId="7DB62A3E">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34DC9CEB">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52205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40" w:name="_Hlk107568539"/>
    </w:p>
    <w:p w14:paraId="126669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鼓励供应商在参加政府采购过程中开展绿色设计、选择绿色材料、打造绿色制造工艺、开展绿色运输、做好废弃产品回收处理，实现产品全周期的绿色环保。</w:t>
      </w:r>
      <w:bookmarkEnd w:id="40"/>
    </w:p>
    <w:p w14:paraId="63FE0F6C">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DFE0E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6E2F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722AEB3D">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w:t>
      </w:r>
      <w:r>
        <w:rPr>
          <w:rFonts w:hint="eastAsia" w:ascii="宋体" w:hAnsi="宋体" w:eastAsia="宋体" w:cs="宋体"/>
          <w:color w:val="auto"/>
          <w:kern w:val="0"/>
          <w:sz w:val="24"/>
          <w:szCs w:val="24"/>
          <w:highlight w:val="none"/>
          <w:lang w:val="en-US" w:eastAsia="zh-CN"/>
        </w:rPr>
        <w:t>民法典</w:t>
      </w:r>
      <w:r>
        <w:rPr>
          <w:rFonts w:hint="eastAsia" w:ascii="宋体" w:hAnsi="宋体" w:eastAsia="宋体" w:cs="宋体"/>
          <w:color w:val="auto"/>
          <w:kern w:val="0"/>
          <w:sz w:val="24"/>
          <w:szCs w:val="24"/>
          <w:highlight w:val="none"/>
        </w:rPr>
        <w:t>》订立劳动合同的从业人员。</w:t>
      </w:r>
    </w:p>
    <w:p w14:paraId="2B168B3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53E43F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4778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7B6957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ED6C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B541A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231379A5">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77A617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对省级以上主管部门认定的首台套产品，自纳入《省推广应用指导目录》起三年内参加政府采购活动，视同已具备相应销售业绩，业绩分为满分。</w:t>
      </w:r>
    </w:p>
    <w:p w14:paraId="5D627E7F">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31A905BB">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5F8E9020">
      <w:pPr>
        <w:autoSpaceDE w:val="0"/>
        <w:autoSpaceDN w:val="0"/>
        <w:spacing w:line="360" w:lineRule="auto"/>
        <w:ind w:firstLine="240" w:firstLineChars="1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供应商询问</w:t>
      </w:r>
    </w:p>
    <w:p w14:paraId="455027A5">
      <w:pPr>
        <w:autoSpaceDE w:val="0"/>
        <w:autoSpaceDN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7AD2BF">
      <w:pPr>
        <w:autoSpaceDE w:val="0"/>
        <w:autoSpaceDN w:val="0"/>
        <w:spacing w:line="360" w:lineRule="auto"/>
        <w:ind w:firstLine="240" w:firstLineChars="1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供应商质疑</w:t>
      </w:r>
    </w:p>
    <w:p w14:paraId="15D2E764">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4221E3E1">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659D69BC">
      <w:pPr>
        <w:pStyle w:val="16"/>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.2.1对招标文件提出质疑的，质疑期限为供应商获得招标文件之日或者招标文件公告期限届满之日起计算。</w:t>
      </w:r>
    </w:p>
    <w:p w14:paraId="7AD7F6B4">
      <w:pPr>
        <w:pStyle w:val="34"/>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.2.2对采购过程提出质疑的，质疑期限为各采购程序环节结束之日起计算。4.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.2.3对采购结果提出质疑的，质疑期限自采购结果公告期限届满之日起计算。</w:t>
      </w:r>
    </w:p>
    <w:p w14:paraId="187EB061">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.3</w:t>
      </w:r>
      <w:r>
        <w:rPr>
          <w:rFonts w:hint="eastAsia" w:ascii="宋体" w:hAnsi="宋体" w:eastAsia="宋体" w:cs="宋体"/>
          <w:color w:val="auto"/>
          <w:sz w:val="24"/>
          <w:szCs w:val="24"/>
          <w:highlight w:val="none"/>
        </w:rPr>
        <w:t>供应商提出质疑应当提交质疑函和必要的证明材料。质疑函应当包括下列内容：</w:t>
      </w:r>
    </w:p>
    <w:p w14:paraId="5D851ACD">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.3.1供应商的姓名或者名称、地址、邮编、联系人及联系电话；</w:t>
      </w:r>
    </w:p>
    <w:p w14:paraId="72EEBEB0">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.3.2质疑项目的名称、编号；</w:t>
      </w:r>
    </w:p>
    <w:p w14:paraId="0C2EB777">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.3.3具体、明确的质疑事项和与质疑事项相关的请求；</w:t>
      </w:r>
    </w:p>
    <w:p w14:paraId="4FF3C69A">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.3.4事实依据；</w:t>
      </w:r>
    </w:p>
    <w:p w14:paraId="571294E6">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.3.5必要的法律依据；</w:t>
      </w:r>
    </w:p>
    <w:p w14:paraId="02D04BB9">
      <w:pPr>
        <w:pStyle w:val="34"/>
        <w:spacing w:line="360" w:lineRule="auto"/>
        <w:ind w:firstLine="960" w:firstLineChars="4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.3.6提出质疑的日期。</w:t>
      </w:r>
    </w:p>
    <w:p w14:paraId="11A8B80E">
      <w:pPr>
        <w:pStyle w:val="34"/>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6578753E">
      <w:pPr>
        <w:pStyle w:val="34"/>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质疑函范本请到浙江政府采购网下载专区下载。</w:t>
      </w:r>
    </w:p>
    <w:p w14:paraId="2168800D">
      <w:pPr>
        <w:pStyle w:val="34"/>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4.2.4</w:t>
      </w:r>
      <w:r>
        <w:rPr>
          <w:rFonts w:hint="eastAsia" w:ascii="宋体" w:hAnsi="宋体" w:eastAsia="宋体" w:cs="宋体"/>
          <w:color w:val="auto"/>
          <w:kern w:val="0"/>
          <w:sz w:val="24"/>
          <w:szCs w:val="24"/>
          <w:highlight w:val="none"/>
          <w:lang w:val="zh-CN" w:eastAsia="zh-CN"/>
        </w:rPr>
        <w:t>对同一采购程序环节的质疑，供应商须在法定质疑期内一次性提出。</w:t>
      </w:r>
    </w:p>
    <w:p w14:paraId="6745907D">
      <w:pPr>
        <w:pStyle w:val="34"/>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4.2.5</w:t>
      </w:r>
      <w:r>
        <w:rPr>
          <w:rFonts w:hint="eastAsia" w:ascii="宋体" w:hAnsi="宋体" w:eastAsia="宋体" w:cs="宋体"/>
          <w:color w:val="auto"/>
          <w:kern w:val="0"/>
          <w:sz w:val="24"/>
          <w:szCs w:val="24"/>
          <w:highlight w:val="none"/>
          <w:lang w:val="zh-CN" w:eastAsia="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auto"/>
          <w:kern w:val="0"/>
          <w:sz w:val="24"/>
          <w:szCs w:val="24"/>
          <w:highlight w:val="none"/>
          <w:lang w:val="en-US" w:eastAsia="zh-CN"/>
        </w:rPr>
        <w:t>浙江省财政厅关于进一步加强政府采购公平竞争打造最优营商环境的通知</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浙财</w:t>
      </w:r>
      <w:r>
        <w:rPr>
          <w:rFonts w:hint="eastAsia" w:ascii="宋体" w:hAnsi="宋体" w:eastAsia="宋体" w:cs="宋体"/>
          <w:color w:val="auto"/>
          <w:kern w:val="0"/>
          <w:sz w:val="24"/>
          <w:szCs w:val="24"/>
          <w:highlight w:val="none"/>
          <w:lang w:val="zh-CN" w:eastAsia="zh-CN"/>
        </w:rPr>
        <w:t>采监〔2021〕</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lang w:val="zh-CN" w:eastAsia="zh-CN"/>
        </w:rPr>
        <w:t>号）,采购人或者采购代理机构在质疑回复后5个工作日内，在浙江政府采购网的“其他公告”栏目公开质疑答复，答复内容应当完整。质疑函作为附件上传。</w:t>
      </w:r>
    </w:p>
    <w:p w14:paraId="4E88634B">
      <w:pPr>
        <w:pStyle w:val="34"/>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eastAsia="zh-CN"/>
        </w:rPr>
        <w:t>.2</w:t>
      </w:r>
      <w:r>
        <w:rPr>
          <w:rFonts w:hint="eastAsia" w:ascii="宋体" w:hAnsi="宋体" w:eastAsia="宋体" w:cs="宋体"/>
          <w:color w:val="auto"/>
          <w:kern w:val="0"/>
          <w:sz w:val="24"/>
          <w:szCs w:val="24"/>
          <w:highlight w:val="none"/>
          <w:lang w:val="en-US" w:eastAsia="zh-CN"/>
        </w:rPr>
        <w:t>.6询问或者质疑事项可能影响采购结果的，采购人应当暂停签订合同，已经签订合同的，应当中止履行合同。</w:t>
      </w:r>
    </w:p>
    <w:p w14:paraId="4FE493F2">
      <w:pPr>
        <w:pStyle w:val="34"/>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eastAsia="zh-CN"/>
        </w:rPr>
        <w:t>.3供应商投诉</w:t>
      </w:r>
    </w:p>
    <w:p w14:paraId="1677F1E5">
      <w:pPr>
        <w:pStyle w:val="34"/>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4.3.1质疑供应商对采购人、采购代理机构的答复不满意或者采购人、采购代理机构未在规定的时间内作出答复的，可以在答复期满后十五个工作日内向同级政府采购监督管理部门提出投诉。</w:t>
      </w:r>
    </w:p>
    <w:p w14:paraId="0B0E2AC7">
      <w:pPr>
        <w:pStyle w:val="34"/>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4.3.</w:t>
      </w:r>
      <w:r>
        <w:rPr>
          <w:rFonts w:hint="eastAsia" w:ascii="宋体" w:hAnsi="宋体" w:eastAsia="宋体" w:cs="宋体"/>
          <w:color w:val="auto"/>
          <w:kern w:val="0"/>
          <w:sz w:val="24"/>
          <w:szCs w:val="24"/>
          <w:highlight w:val="none"/>
          <w:lang w:val="zh-CN" w:eastAsia="zh-CN"/>
        </w:rPr>
        <w:t>2</w:t>
      </w:r>
      <w:r>
        <w:rPr>
          <w:rFonts w:hint="eastAsia" w:ascii="宋体" w:hAnsi="宋体" w:eastAsia="宋体" w:cs="宋体"/>
          <w:color w:val="auto"/>
          <w:kern w:val="0"/>
          <w:sz w:val="24"/>
          <w:szCs w:val="24"/>
          <w:highlight w:val="none"/>
          <w:lang w:val="en-US" w:eastAsia="zh-CN"/>
        </w:rPr>
        <w:t>供应商投诉的事项不得超出已质疑事项的范围，基于质疑答复内容提出的投诉事项除外。</w:t>
      </w:r>
    </w:p>
    <w:p w14:paraId="3879BAC5">
      <w:pPr>
        <w:pStyle w:val="34"/>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4.3.3供应商投诉应当有明确的请求和必要的证明材料。</w:t>
      </w:r>
    </w:p>
    <w:p w14:paraId="30A24FBB">
      <w:pPr>
        <w:pStyle w:val="34"/>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4.3.5 以联合体形式参加政府采购活动的，其投诉应当由组成联合体的所有供应商共同提出。</w:t>
      </w:r>
    </w:p>
    <w:p w14:paraId="7B935C14">
      <w:pPr>
        <w:pStyle w:val="34"/>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投诉书范本请到浙江政府采购网下载专区下载。</w:t>
      </w:r>
    </w:p>
    <w:p w14:paraId="21E28955">
      <w:pPr>
        <w:pStyle w:val="142"/>
        <w:snapToGrid w:val="0"/>
        <w:spacing w:before="0"/>
        <w:ind w:firstLine="360"/>
        <w:rPr>
          <w:rFonts w:hint="eastAsia" w:ascii="宋体" w:hAnsi="宋体" w:eastAsia="宋体" w:cs="宋体"/>
          <w:b/>
          <w:color w:val="auto"/>
          <w:sz w:val="24"/>
          <w:szCs w:val="24"/>
          <w:highlight w:val="none"/>
        </w:rPr>
      </w:pPr>
    </w:p>
    <w:p w14:paraId="5902F85A">
      <w:pPr>
        <w:adjustRightInd/>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bookmarkStart w:id="41" w:name="_Toc20717"/>
      <w:r>
        <w:rPr>
          <w:rFonts w:hint="eastAsia" w:ascii="宋体" w:hAnsi="宋体" w:eastAsia="宋体" w:cs="宋体"/>
          <w:b/>
          <w:color w:val="auto"/>
          <w:sz w:val="24"/>
          <w:szCs w:val="24"/>
          <w:highlight w:val="none"/>
        </w:rPr>
        <w:t>二、招标文件的构成、澄清、修改</w:t>
      </w:r>
      <w:bookmarkEnd w:id="41"/>
    </w:p>
    <w:p w14:paraId="72993683">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4BB3CFCA">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2B22459">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59C72227">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506399EE">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84F6469">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22F2CF0A">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12796FBE">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14:paraId="7CE138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澄清或者修改的内容为招标文件的组成部分</w:t>
      </w:r>
      <w:r>
        <w:rPr>
          <w:rFonts w:hint="eastAsia" w:ascii="宋体" w:hAnsi="宋体" w:eastAsia="宋体" w:cs="宋体"/>
          <w:color w:val="auto"/>
          <w:sz w:val="24"/>
          <w:szCs w:val="24"/>
          <w:highlight w:val="none"/>
        </w:rPr>
        <w:t>。</w:t>
      </w:r>
    </w:p>
    <w:p w14:paraId="35EEBB00">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AD71894">
      <w:pPr>
        <w:pStyle w:val="142"/>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6.1已获取招标文件的潜在投标人，若有问题需要澄清，应于投标截止时间前，以书面形式向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w:t>
      </w:r>
    </w:p>
    <w:p w14:paraId="04F5DDAD">
      <w:pPr>
        <w:pStyle w:val="142"/>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4A87DCF">
      <w:pPr>
        <w:pStyle w:val="24"/>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    </w:t>
      </w:r>
    </w:p>
    <w:p w14:paraId="628931AC">
      <w:pPr>
        <w:adjustRightInd/>
        <w:spacing w:line="360" w:lineRule="auto"/>
        <w:jc w:val="center"/>
        <w:outlineLvl w:val="1"/>
        <w:rPr>
          <w:rFonts w:hint="eastAsia" w:ascii="宋体" w:hAnsi="宋体" w:eastAsia="宋体" w:cs="宋体"/>
          <w:b/>
          <w:color w:val="auto"/>
          <w:sz w:val="24"/>
          <w:szCs w:val="24"/>
          <w:highlight w:val="none"/>
        </w:rPr>
      </w:pPr>
      <w:bookmarkStart w:id="42" w:name="_Toc6708"/>
      <w:r>
        <w:rPr>
          <w:rFonts w:hint="eastAsia" w:ascii="宋体" w:hAnsi="宋体" w:eastAsia="宋体" w:cs="宋体"/>
          <w:b/>
          <w:color w:val="auto"/>
          <w:sz w:val="24"/>
          <w:szCs w:val="24"/>
          <w:highlight w:val="none"/>
        </w:rPr>
        <w:t>三、投标</w:t>
      </w:r>
      <w:bookmarkEnd w:id="42"/>
    </w:p>
    <w:p w14:paraId="7FDF4404">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3A15C49D">
      <w:pPr>
        <w:spacing w:line="360" w:lineRule="auto"/>
        <w:ind w:firstLine="480" w:firstLineChars="20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3FDDE517">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0AA744E9">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6766AA2">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72596D4B">
      <w:pPr>
        <w:pStyle w:val="16"/>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66FAA768">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443B0D6">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1FCD88AF">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4B6F3B69">
      <w:pPr>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2843142D">
      <w:pPr>
        <w:snapToGrid w:val="0"/>
        <w:spacing w:line="360" w:lineRule="auto"/>
        <w:ind w:left="479" w:leftChars="22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11.1.1有效的企业法人营业执照（或事业法人登记证）、其他组织（个体工商户）的营业执照或者民办非企业单位登记证书，供应商如果有名称变更的，应提供由行政主管部门出具的变更证明文件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若联合体投标的，联合体双方均需提供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A9F816D">
      <w:pPr>
        <w:snapToGrid w:val="0"/>
        <w:spacing w:line="360" w:lineRule="auto"/>
        <w:ind w:left="479" w:leftChars="22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11.1.2</w:t>
      </w:r>
      <w:r>
        <w:rPr>
          <w:rFonts w:hint="eastAsia" w:ascii="宋体" w:hAnsi="宋体" w:eastAsia="宋体" w:cs="宋体"/>
          <w:color w:val="auto"/>
          <w:sz w:val="24"/>
          <w:szCs w:val="24"/>
          <w:highlight w:val="none"/>
        </w:rPr>
        <w:t>符合参加政府采购活动应当具备的一般条件的承诺函；</w:t>
      </w:r>
    </w:p>
    <w:p w14:paraId="5D7230FF">
      <w:pPr>
        <w:snapToGrid w:val="0"/>
        <w:spacing w:line="360" w:lineRule="auto"/>
        <w:ind w:left="479" w:leftChars="228"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落实政府采购政策需满足的资格要求，提供下列证明材料之一</w:t>
      </w:r>
      <w:r>
        <w:rPr>
          <w:rFonts w:hint="eastAsia" w:ascii="宋体" w:hAnsi="宋体" w:cs="宋体"/>
          <w:color w:val="auto"/>
          <w:sz w:val="24"/>
          <w:szCs w:val="24"/>
          <w:highlight w:val="none"/>
          <w:lang w:eastAsia="zh-CN"/>
        </w:rPr>
        <w:t>：</w:t>
      </w:r>
    </w:p>
    <w:p w14:paraId="11776BBC">
      <w:pPr>
        <w:snapToGrid w:val="0"/>
        <w:spacing w:line="360" w:lineRule="auto"/>
        <w:ind w:left="479" w:leftChars="22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①中小企业声明函（如有请提供，格式见附件）；</w:t>
      </w:r>
    </w:p>
    <w:p w14:paraId="6419009D">
      <w:pPr>
        <w:snapToGrid w:val="0"/>
        <w:spacing w:line="360" w:lineRule="auto"/>
        <w:ind w:left="479" w:leftChars="22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②残疾人福利性单位声明函（如有请提供，格式见附件）；</w:t>
      </w:r>
    </w:p>
    <w:p w14:paraId="67365B71">
      <w:pPr>
        <w:snapToGrid w:val="0"/>
        <w:spacing w:line="360" w:lineRule="auto"/>
        <w:ind w:left="479" w:leftChars="228"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③监狱企业的证明文件：由省级以上监狱管理局、戒毒管理局（含新疆生产建设兵团）出具的属于监狱企业的证明文件（如有请提供）</w:t>
      </w:r>
      <w:r>
        <w:rPr>
          <w:rFonts w:hint="eastAsia" w:ascii="宋体" w:hAnsi="宋体" w:cs="宋体"/>
          <w:color w:val="auto"/>
          <w:sz w:val="24"/>
          <w:szCs w:val="24"/>
          <w:highlight w:val="none"/>
          <w:lang w:eastAsia="zh-CN"/>
        </w:rPr>
        <w:t>；</w:t>
      </w:r>
    </w:p>
    <w:p w14:paraId="56A0376E">
      <w:pPr>
        <w:snapToGrid w:val="0"/>
        <w:spacing w:line="360" w:lineRule="auto"/>
        <w:ind w:left="479" w:leftChars="228"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11.1.</w:t>
      </w:r>
      <w:r>
        <w:rPr>
          <w:rFonts w:hint="eastAsia" w:ascii="宋体" w:hAnsi="宋体" w:cs="宋体"/>
          <w:color w:val="auto"/>
          <w:sz w:val="24"/>
          <w:szCs w:val="24"/>
          <w:highlight w:val="none"/>
          <w:lang w:val="en-US" w:eastAsia="zh-CN"/>
        </w:rPr>
        <w:t>4联合协议（</w:t>
      </w:r>
      <w:r>
        <w:rPr>
          <w:rFonts w:hint="eastAsia" w:ascii="宋体" w:hAnsi="宋体" w:eastAsia="宋体" w:cs="宋体"/>
          <w:color w:val="auto"/>
          <w:sz w:val="24"/>
          <w:szCs w:val="24"/>
          <w:highlight w:val="none"/>
        </w:rPr>
        <w:t>如有请提供，</w:t>
      </w:r>
      <w:r>
        <w:rPr>
          <w:rFonts w:hint="eastAsia" w:ascii="宋体" w:hAnsi="宋体" w:cs="宋体"/>
          <w:color w:val="auto"/>
          <w:sz w:val="24"/>
          <w:szCs w:val="24"/>
          <w:highlight w:val="none"/>
          <w:lang w:val="en-US" w:eastAsia="zh-CN"/>
        </w:rPr>
        <w:t>格式见附件）</w:t>
      </w:r>
    </w:p>
    <w:p w14:paraId="5BAA23A1">
      <w:pPr>
        <w:snapToGrid w:val="0"/>
        <w:spacing w:line="360" w:lineRule="auto"/>
        <w:ind w:left="479" w:leftChars="228"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11.1.5</w:t>
      </w:r>
      <w:r>
        <w:rPr>
          <w:rFonts w:hint="eastAsia" w:ascii="宋体" w:hAnsi="宋体" w:eastAsia="宋体" w:cs="宋体"/>
          <w:color w:val="auto"/>
          <w:sz w:val="24"/>
          <w:szCs w:val="24"/>
          <w:highlight w:val="none"/>
        </w:rPr>
        <w:t>业务专用章使用说明函（如适用</w:t>
      </w:r>
      <w:r>
        <w:rPr>
          <w:rFonts w:hint="eastAsia" w:ascii="宋体" w:hAnsi="宋体" w:eastAsia="宋体" w:cs="宋体"/>
          <w:color w:val="auto"/>
          <w:kern w:val="0"/>
          <w:sz w:val="24"/>
          <w:szCs w:val="24"/>
          <w:highlight w:val="none"/>
        </w:rPr>
        <w:t>）</w:t>
      </w:r>
      <w:r>
        <w:rPr>
          <w:rFonts w:hint="eastAsia" w:hAnsi="宋体" w:cs="宋体"/>
          <w:color w:val="auto"/>
          <w:kern w:val="0"/>
          <w:sz w:val="24"/>
          <w:szCs w:val="24"/>
          <w:highlight w:val="none"/>
          <w:lang w:eastAsia="zh-CN"/>
        </w:rPr>
        <w:t>。</w:t>
      </w:r>
    </w:p>
    <w:p w14:paraId="0C05A8D0">
      <w:pPr>
        <w:pStyle w:val="24"/>
        <w:ind w:firstLine="964" w:firstLineChars="400"/>
        <w:rPr>
          <w:rFonts w:hint="eastAsia" w:ascii="宋体" w:hAnsi="宋体" w:eastAsia="宋体" w:cs="宋体"/>
          <w:b/>
          <w:bCs/>
          <w:color w:val="auto"/>
          <w:sz w:val="24"/>
          <w:szCs w:val="24"/>
          <w:highlight w:val="none"/>
          <w:lang w:val="zh-CN"/>
        </w:rPr>
      </w:pPr>
    </w:p>
    <w:p w14:paraId="0369BBE3">
      <w:pPr>
        <w:pStyle w:val="24"/>
        <w:ind w:firstLine="964" w:firstLineChars="4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商务技术</w:t>
      </w:r>
      <w:r>
        <w:rPr>
          <w:rFonts w:hint="eastAsia" w:ascii="宋体" w:hAnsi="宋体" w:eastAsia="宋体" w:cs="宋体"/>
          <w:b/>
          <w:bCs/>
          <w:color w:val="auto"/>
          <w:sz w:val="24"/>
          <w:szCs w:val="24"/>
          <w:highlight w:val="none"/>
          <w:lang w:val="zh-CN"/>
        </w:rPr>
        <w:t>文件：</w:t>
      </w:r>
    </w:p>
    <w:p w14:paraId="074C9A2F">
      <w:pPr>
        <w:snapToGri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en-US" w:eastAsia="zh-CN"/>
        </w:rPr>
        <w:t>；</w:t>
      </w:r>
    </w:p>
    <w:p w14:paraId="15B43E8F">
      <w:pPr>
        <w:snapToGrid w:val="0"/>
        <w:spacing w:line="360" w:lineRule="auto"/>
        <w:ind w:left="958" w:leftChars="456"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授权委托书或法定代表人（单位负责人、自然人本人）身份证明</w:t>
      </w:r>
      <w:r>
        <w:rPr>
          <w:rFonts w:hint="eastAsia" w:ascii="宋体" w:hAnsi="宋体" w:eastAsia="宋体" w:cs="宋体"/>
          <w:color w:val="auto"/>
          <w:sz w:val="24"/>
          <w:szCs w:val="24"/>
          <w:highlight w:val="none"/>
          <w:lang w:val="en-US" w:eastAsia="zh-CN"/>
        </w:rPr>
        <w:t>；</w:t>
      </w:r>
    </w:p>
    <w:p w14:paraId="6EA04DED">
      <w:pPr>
        <w:snapToGrid w:val="0"/>
        <w:spacing w:line="360" w:lineRule="auto"/>
        <w:ind w:left="958" w:leftChars="456"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分包意向协议</w:t>
      </w:r>
      <w:r>
        <w:rPr>
          <w:rFonts w:hint="eastAsia" w:ascii="宋体" w:hAnsi="宋体" w:eastAsia="宋体" w:cs="宋体"/>
          <w:color w:val="auto"/>
          <w:kern w:val="0"/>
          <w:sz w:val="24"/>
          <w:szCs w:val="24"/>
          <w:highlight w:val="none"/>
        </w:rPr>
        <w:t>（如适用）</w:t>
      </w:r>
      <w:r>
        <w:rPr>
          <w:rFonts w:hint="eastAsia" w:ascii="宋体" w:hAnsi="宋体" w:eastAsia="宋体" w:cs="宋体"/>
          <w:snapToGrid w:val="0"/>
          <w:color w:val="auto"/>
          <w:kern w:val="28"/>
          <w:sz w:val="24"/>
          <w:szCs w:val="24"/>
          <w:highlight w:val="none"/>
          <w:lang w:val="en-US" w:eastAsia="zh-CN"/>
        </w:rPr>
        <w:t>；</w:t>
      </w:r>
    </w:p>
    <w:p w14:paraId="6A4F81D8">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符合性审查资料</w:t>
      </w:r>
      <w:r>
        <w:rPr>
          <w:rFonts w:hint="eastAsia" w:ascii="宋体" w:hAnsi="宋体" w:eastAsia="宋体" w:cs="宋体"/>
          <w:color w:val="auto"/>
          <w:sz w:val="24"/>
          <w:szCs w:val="24"/>
          <w:highlight w:val="none"/>
          <w:lang w:val="en-US" w:eastAsia="zh-CN"/>
        </w:rPr>
        <w:t>；</w:t>
      </w:r>
    </w:p>
    <w:p w14:paraId="7BC46A4C">
      <w:pPr>
        <w:snapToGrid w:val="0"/>
        <w:spacing w:line="360" w:lineRule="auto"/>
        <w:ind w:firstLine="960"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政府采购供应商廉洁自律承诺书</w:t>
      </w:r>
      <w:r>
        <w:rPr>
          <w:rFonts w:hint="eastAsia" w:ascii="宋体" w:hAnsi="宋体" w:eastAsia="宋体" w:cs="宋体"/>
          <w:color w:val="auto"/>
          <w:sz w:val="24"/>
          <w:szCs w:val="24"/>
          <w:highlight w:val="none"/>
          <w:lang w:val="en-US" w:eastAsia="zh-CN"/>
        </w:rPr>
        <w:t>；</w:t>
      </w:r>
    </w:p>
    <w:p w14:paraId="6E4981F1">
      <w:pPr>
        <w:snapToGri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商务技术偏离表</w:t>
      </w:r>
      <w:r>
        <w:rPr>
          <w:rFonts w:hint="eastAsia" w:ascii="宋体" w:hAnsi="宋体" w:eastAsia="宋体" w:cs="宋体"/>
          <w:color w:val="auto"/>
          <w:sz w:val="24"/>
          <w:szCs w:val="24"/>
          <w:highlight w:val="none"/>
          <w:lang w:val="en-US" w:eastAsia="zh-CN"/>
        </w:rPr>
        <w:t>；</w:t>
      </w:r>
    </w:p>
    <w:p w14:paraId="3F31B194">
      <w:pPr>
        <w:pStyle w:val="24"/>
        <w:ind w:firstLine="960" w:firstLineChars="4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kern w:val="2"/>
          <w:sz w:val="24"/>
          <w:szCs w:val="24"/>
          <w:highlight w:val="none"/>
          <w:lang w:val="en-US" w:eastAsia="zh-CN" w:bidi="ar-SA"/>
        </w:rPr>
        <w:t>1.2.7</w:t>
      </w:r>
      <w:r>
        <w:rPr>
          <w:rFonts w:hint="eastAsia"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评标标准相应的商务技术资料；</w:t>
      </w:r>
    </w:p>
    <w:p w14:paraId="64B83F66">
      <w:pPr>
        <w:snapToGrid w:val="0"/>
        <w:spacing w:line="360" w:lineRule="auto"/>
        <w:ind w:left="958" w:leftChars="456"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（11.2.7-1）</w:t>
      </w:r>
      <w:r>
        <w:rPr>
          <w:rFonts w:hint="eastAsia" w:ascii="宋体" w:hAnsi="宋体" w:cs="宋体"/>
          <w:color w:val="auto"/>
          <w:kern w:val="2"/>
          <w:sz w:val="24"/>
          <w:szCs w:val="24"/>
          <w:highlight w:val="none"/>
          <w:lang w:val="en-US" w:eastAsia="zh-CN" w:bidi="ar-SA"/>
        </w:rPr>
        <w:t>系统设计方案</w:t>
      </w:r>
      <w:r>
        <w:rPr>
          <w:rFonts w:hint="eastAsia" w:ascii="宋体" w:hAnsi="宋体" w:eastAsia="宋体" w:cs="宋体"/>
          <w:color w:val="auto"/>
          <w:kern w:val="2"/>
          <w:sz w:val="24"/>
          <w:szCs w:val="24"/>
          <w:highlight w:val="none"/>
          <w:lang w:val="en-US" w:eastAsia="zh-CN" w:bidi="ar-SA"/>
        </w:rPr>
        <w:t>；</w:t>
      </w:r>
    </w:p>
    <w:p w14:paraId="7D981CC3">
      <w:pPr>
        <w:snapToGrid w:val="0"/>
        <w:spacing w:line="360" w:lineRule="auto"/>
        <w:ind w:left="958" w:leftChars="456"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（11.2.7-2）项目实施方案；</w:t>
      </w:r>
    </w:p>
    <w:p w14:paraId="2D123FBA">
      <w:pPr>
        <w:snapToGrid w:val="0"/>
        <w:spacing w:line="360" w:lineRule="auto"/>
        <w:ind w:left="958" w:leftChars="456"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（11.2.7-3）项目保障及售后服务；</w:t>
      </w:r>
    </w:p>
    <w:p w14:paraId="1575ABFA">
      <w:pPr>
        <w:snapToGrid w:val="0"/>
        <w:spacing w:line="360" w:lineRule="auto"/>
        <w:ind w:left="958" w:leftChars="456"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（11.2.7-4）项目实施团队；</w:t>
      </w:r>
    </w:p>
    <w:p w14:paraId="7ED56F79">
      <w:pPr>
        <w:snapToGrid w:val="0"/>
        <w:spacing w:line="360" w:lineRule="auto"/>
        <w:ind w:left="958" w:leftChars="456"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（11.2.7-</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综合实力</w:t>
      </w:r>
      <w:r>
        <w:rPr>
          <w:rFonts w:hint="eastAsia" w:ascii="宋体" w:hAnsi="宋体" w:eastAsia="宋体" w:cs="宋体"/>
          <w:color w:val="auto"/>
          <w:kern w:val="2"/>
          <w:sz w:val="24"/>
          <w:szCs w:val="24"/>
          <w:highlight w:val="none"/>
          <w:lang w:val="en-US" w:eastAsia="zh-CN" w:bidi="ar-SA"/>
        </w:rPr>
        <w:t>（</w:t>
      </w:r>
      <w:r>
        <w:rPr>
          <w:rFonts w:hint="eastAsia"/>
          <w:color w:val="auto"/>
          <w:highlight w:val="none"/>
        </w:rPr>
        <w:t>如有，</w:t>
      </w:r>
      <w:r>
        <w:rPr>
          <w:rFonts w:hint="eastAsia" w:ascii="宋体" w:hAnsi="宋体" w:eastAsia="宋体" w:cs="宋体"/>
          <w:color w:val="auto"/>
          <w:kern w:val="2"/>
          <w:sz w:val="24"/>
          <w:szCs w:val="24"/>
          <w:highlight w:val="none"/>
          <w:lang w:val="en-US" w:eastAsia="zh-CN" w:bidi="ar-SA"/>
        </w:rPr>
        <w:t>按评分标准要求提供）；</w:t>
      </w:r>
    </w:p>
    <w:p w14:paraId="366AF382">
      <w:pPr>
        <w:snapToGrid w:val="0"/>
        <w:spacing w:line="360" w:lineRule="auto"/>
        <w:ind w:left="958" w:leftChars="456"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（11.2.7-</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）业绩一览表（按评分标准要求提供）；</w:t>
      </w:r>
    </w:p>
    <w:p w14:paraId="76030CEE">
      <w:pPr>
        <w:snapToGrid w:val="0"/>
        <w:spacing w:line="360" w:lineRule="auto"/>
        <w:ind w:firstLine="960" w:firstLineChars="4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（11.2.7-</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认为需要提供的其他资料；</w:t>
      </w:r>
    </w:p>
    <w:p w14:paraId="6DC9F69C">
      <w:pPr>
        <w:snapToGrid w:val="0"/>
        <w:spacing w:line="360" w:lineRule="auto"/>
        <w:ind w:firstLine="960" w:firstLineChars="400"/>
        <w:rPr>
          <w:rFonts w:hint="eastAsia" w:ascii="宋体" w:hAnsi="宋体" w:eastAsia="宋体" w:cs="宋体"/>
          <w:color w:val="auto"/>
          <w:sz w:val="24"/>
          <w:szCs w:val="24"/>
          <w:highlight w:val="none"/>
          <w:lang w:val="en-US" w:eastAsia="zh-CN"/>
        </w:rPr>
      </w:pPr>
    </w:p>
    <w:p w14:paraId="7A82EBA8">
      <w:pPr>
        <w:snapToGrid w:val="0"/>
        <w:spacing w:line="360" w:lineRule="auto"/>
        <w:ind w:firstLine="964" w:firstLineChars="400"/>
        <w:rPr>
          <w:rFonts w:hint="eastAsia" w:ascii="宋体" w:hAnsi="宋体" w:eastAsia="宋体" w:cs="宋体"/>
          <w:color w:val="auto"/>
          <w:sz w:val="24"/>
          <w:szCs w:val="24"/>
          <w:highlight w:val="none"/>
          <w:u w:val="single"/>
          <w:lang w:val="zh-CN"/>
        </w:rPr>
      </w:pPr>
      <w:r>
        <w:rPr>
          <w:rFonts w:hint="eastAsia" w:ascii="宋体" w:hAnsi="宋体" w:eastAsia="宋体" w:cs="宋体"/>
          <w:b/>
          <w:bCs/>
          <w:color w:val="auto"/>
          <w:kern w:val="0"/>
          <w:sz w:val="24"/>
          <w:szCs w:val="24"/>
          <w:highlight w:val="none"/>
          <w:lang w:val="zh-CN"/>
        </w:rPr>
        <w:t>11.</w:t>
      </w:r>
      <w:r>
        <w:rPr>
          <w:rFonts w:hint="eastAsia" w:ascii="宋体" w:hAnsi="宋体" w:eastAsia="宋体" w:cs="宋体"/>
          <w:b/>
          <w:bCs/>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0E6BAE05">
      <w:pPr>
        <w:snapToGri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11.3.1开标一览表；</w:t>
      </w:r>
    </w:p>
    <w:p w14:paraId="077C13AD">
      <w:pPr>
        <w:snapToGrid w:val="0"/>
        <w:spacing w:line="360" w:lineRule="auto"/>
        <w:ind w:firstLine="960"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en-US" w:eastAsia="zh-CN"/>
        </w:rPr>
        <w:t>2投标报价明细表</w:t>
      </w:r>
      <w:r>
        <w:rPr>
          <w:rFonts w:hint="eastAsia" w:ascii="宋体" w:hAnsi="宋体" w:cs="宋体"/>
          <w:color w:val="auto"/>
          <w:sz w:val="24"/>
          <w:szCs w:val="24"/>
          <w:highlight w:val="none"/>
          <w:lang w:eastAsia="zh-CN"/>
        </w:rPr>
        <w:t>；</w:t>
      </w:r>
    </w:p>
    <w:p w14:paraId="367D8460">
      <w:pPr>
        <w:pStyle w:val="24"/>
        <w:rPr>
          <w:rFonts w:hint="eastAsia" w:ascii="宋体" w:hAnsi="宋体" w:eastAsia="宋体" w:cs="宋体"/>
          <w:color w:val="auto"/>
          <w:sz w:val="24"/>
          <w:szCs w:val="24"/>
          <w:highlight w:val="none"/>
        </w:rPr>
      </w:pPr>
    </w:p>
    <w:p w14:paraId="3CA3CCA7">
      <w:pPr>
        <w:spacing w:line="360" w:lineRule="auto"/>
        <w:ind w:firstLine="723" w:firstLine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投标文件含有采购人不能接受的附加条件的，投标无效；</w:t>
      </w:r>
    </w:p>
    <w:p w14:paraId="477ABE2A">
      <w:pPr>
        <w:spacing w:line="360" w:lineRule="auto"/>
        <w:ind w:firstLine="723" w:firstLine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投标人提供虚假材料投标的，投标无效。</w:t>
      </w:r>
    </w:p>
    <w:p w14:paraId="3585A1AE">
      <w:pPr>
        <w:snapToGrid w:val="0"/>
        <w:spacing w:line="360" w:lineRule="auto"/>
        <w:rPr>
          <w:rFonts w:hint="eastAsia" w:ascii="宋体" w:hAnsi="宋体" w:eastAsia="宋体" w:cs="宋体"/>
          <w:b/>
          <w:color w:val="auto"/>
          <w:sz w:val="24"/>
          <w:szCs w:val="24"/>
          <w:highlight w:val="none"/>
        </w:rPr>
      </w:pPr>
      <w:bookmarkStart w:id="43" w:name="_Toc14413"/>
      <w:r>
        <w:rPr>
          <w:rFonts w:hint="eastAsia" w:ascii="宋体" w:hAnsi="宋体" w:eastAsia="宋体" w:cs="宋体"/>
          <w:b/>
          <w:color w:val="auto"/>
          <w:sz w:val="24"/>
          <w:szCs w:val="24"/>
          <w:highlight w:val="none"/>
        </w:rPr>
        <w:t>12</w:t>
      </w:r>
      <w:r>
        <w:rPr>
          <w:rFonts w:hint="eastAsia" w:ascii="宋体" w:hAnsi="宋体" w:eastAsia="宋体" w:cs="宋体"/>
          <w:b/>
          <w:color w:val="auto"/>
          <w:sz w:val="24"/>
          <w:szCs w:val="24"/>
          <w:highlight w:val="none"/>
          <w:lang w:val="zh-CN"/>
        </w:rPr>
        <w:t xml:space="preserve">. </w:t>
      </w:r>
      <w:r>
        <w:rPr>
          <w:rFonts w:hint="eastAsia" w:ascii="宋体" w:hAnsi="宋体" w:eastAsia="宋体" w:cs="宋体"/>
          <w:b/>
          <w:color w:val="auto"/>
          <w:sz w:val="24"/>
          <w:szCs w:val="24"/>
          <w:highlight w:val="none"/>
        </w:rPr>
        <w:t>投标文件的编制</w:t>
      </w:r>
      <w:bookmarkEnd w:id="43"/>
    </w:p>
    <w:p w14:paraId="6923B2C1">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4B1F1A4">
      <w:pP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4D44751">
      <w:pP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5D77D868">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2FF08142">
      <w:pPr>
        <w:pStyle w:val="142"/>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13.1投标文件按照招标文件第六部分格式要求进行签署、盖章。以联合体形式参与本项目</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的，联合协议中联合体成员均需盖章。除</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文件有特别要求外，其他采购文件要求需盖章的部分仅由联合体牵头人盖章即可。除银行、保险、石油石化、电力、电信、移动、联通等行业允许分公司参加外，其余法人的分支机构不允许参加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；分公司参加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的，分公司负责人签署的相关投标资料与本采购文件规定由法定代表人签署的文件材料具有同等效力。</w:t>
      </w:r>
    </w:p>
    <w:p w14:paraId="3590365C">
      <w:pPr>
        <w:pStyle w:val="142"/>
        <w:snapToGrid w:val="0"/>
        <w:spacing w:before="0"/>
        <w:ind w:firstLine="48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5FE2C600">
      <w:pPr>
        <w:pStyle w:val="142"/>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w:t>
      </w:r>
    </w:p>
    <w:p w14:paraId="798EDD21">
      <w:pPr>
        <w:pStyle w:val="142"/>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w:t>
      </w:r>
    </w:p>
    <w:p w14:paraId="702791D9">
      <w:pPr>
        <w:pStyle w:val="142"/>
        <w:spacing w:before="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7EAEF39F">
      <w:pPr>
        <w:pStyle w:val="142"/>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0FA661A">
      <w:pPr>
        <w:pStyle w:val="142"/>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123FC12">
      <w:pPr>
        <w:pStyle w:val="142"/>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可以视情况延长投标文件提交的截止时间。在上述情况下，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与投标人以前在投标截止期方面的全部权利、责任和义务，将适用于延长至新的投标截止期。</w:t>
      </w:r>
    </w:p>
    <w:p w14:paraId="7D3E18AC">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1569E34D">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w:t>
      </w:r>
      <w:r>
        <w:rPr>
          <w:rFonts w:hint="eastAsia" w:ascii="宋体" w:hAnsi="宋体" w:eastAsia="宋体" w:cs="宋体"/>
          <w:color w:val="auto"/>
          <w:sz w:val="24"/>
          <w:szCs w:val="24"/>
          <w:highlight w:val="none"/>
          <w:lang w:val="en-US" w:eastAsia="zh-CN"/>
        </w:rPr>
        <w:t>寄</w:t>
      </w:r>
      <w:r>
        <w:rPr>
          <w:rFonts w:hint="eastAsia" w:ascii="宋体" w:hAnsi="宋体" w:eastAsia="宋体" w:cs="宋体"/>
          <w:color w:val="auto"/>
          <w:sz w:val="24"/>
          <w:szCs w:val="24"/>
          <w:highlight w:val="none"/>
        </w:rPr>
        <w:t>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不强制投标人提交备份投标文件。</w:t>
      </w:r>
    </w:p>
    <w:p w14:paraId="11F91BC9">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snapToGrid w:val="0"/>
          <w:color w:val="auto"/>
          <w:kern w:val="28"/>
          <w:sz w:val="24"/>
          <w:szCs w:val="24"/>
          <w:highlight w:val="none"/>
        </w:rPr>
        <w:t>U盘存储</w:t>
      </w:r>
      <w:r>
        <w:rPr>
          <w:rFonts w:hint="eastAsia" w:ascii="宋体" w:hAnsi="宋体" w:eastAsia="宋体" w:cs="宋体"/>
          <w:color w:val="auto"/>
          <w:sz w:val="24"/>
          <w:szCs w:val="24"/>
          <w:highlight w:val="none"/>
          <w:lang w:val="en-US" w:eastAsia="zh-CN"/>
        </w:rPr>
        <w:t>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14:paraId="3B076081">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15.3直接提交备份投标文件的，投标人应于投标截止时间前在招标文件第二部分投标人须知前附表载明地点将备份投标文件提交给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12F8F147">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w:t>
      </w:r>
      <w:r>
        <w:rPr>
          <w:rFonts w:hint="eastAsia" w:ascii="宋体" w:hAnsi="宋体" w:eastAsia="宋体" w:cs="宋体"/>
          <w:color w:val="auto"/>
          <w:sz w:val="24"/>
          <w:szCs w:val="24"/>
          <w:highlight w:val="none"/>
          <w:lang w:val="en-US" w:eastAsia="zh-CN"/>
        </w:rPr>
        <w:t>邮寄</w:t>
      </w:r>
      <w:r>
        <w:rPr>
          <w:rFonts w:hint="eastAsia" w:ascii="宋体" w:hAnsi="宋体" w:eastAsia="宋体" w:cs="宋体"/>
          <w:color w:val="auto"/>
          <w:sz w:val="24"/>
          <w:szCs w:val="24"/>
          <w:highlight w:val="none"/>
        </w:rPr>
        <w:t>方式递交备份投标文件的，投标人应先将备份投标文件按要求密封和标记，再进行</w:t>
      </w:r>
      <w:r>
        <w:rPr>
          <w:rFonts w:hint="eastAsia" w:ascii="宋体" w:hAnsi="宋体" w:eastAsia="宋体" w:cs="宋体"/>
          <w:color w:val="auto"/>
          <w:sz w:val="24"/>
          <w:szCs w:val="24"/>
          <w:highlight w:val="none"/>
          <w:lang w:val="en-US" w:eastAsia="zh-CN"/>
        </w:rPr>
        <w:t>邮件外</w:t>
      </w:r>
      <w:r>
        <w:rPr>
          <w:rFonts w:hint="eastAsia" w:ascii="宋体" w:hAnsi="宋体" w:eastAsia="宋体" w:cs="宋体"/>
          <w:color w:val="auto"/>
          <w:sz w:val="24"/>
          <w:szCs w:val="24"/>
          <w:highlight w:val="none"/>
        </w:rPr>
        <w:t>包装后邮寄。备份投标文件须在招标文件第二部分投标人须知前附表规定截止时间之前送达到规定的地点；送达时间以签收人签收时间为准。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4CA823DF">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14C51CD5">
      <w:pPr>
        <w:pStyle w:val="142"/>
        <w:spacing w:before="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60D9E515">
      <w:pPr>
        <w:pStyle w:val="25"/>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有招标文件第四部分4.2规定的情形之一的，投标无效：</w:t>
      </w:r>
    </w:p>
    <w:p w14:paraId="29BC6FAD">
      <w:pPr>
        <w:pStyle w:val="142"/>
        <w:spacing w:before="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03BBC9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p>
    <w:p w14:paraId="678FE45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7C759E26">
      <w:pPr>
        <w:pStyle w:val="142"/>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2812850B">
      <w:pPr>
        <w:pStyle w:val="142"/>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可以以书面形式通知投标人延长投标有效期。投标人同意延长的，不得要求或被允许修改其投标文件，投标人拒绝延长的，其投标无效。</w:t>
      </w:r>
    </w:p>
    <w:p w14:paraId="210CB954">
      <w:pPr>
        <w:pStyle w:val="142"/>
        <w:spacing w:before="0"/>
        <w:ind w:firstLine="643"/>
        <w:rPr>
          <w:rFonts w:hint="eastAsia" w:ascii="宋体" w:hAnsi="宋体" w:eastAsia="宋体" w:cs="宋体"/>
          <w:b/>
          <w:color w:val="auto"/>
          <w:sz w:val="24"/>
          <w:szCs w:val="24"/>
          <w:highlight w:val="none"/>
        </w:rPr>
      </w:pPr>
    </w:p>
    <w:p w14:paraId="2574AE43">
      <w:pPr>
        <w:pStyle w:val="142"/>
        <w:spacing w:before="0"/>
        <w:ind w:firstLine="1446" w:firstLineChars="600"/>
        <w:jc w:val="center"/>
        <w:outlineLvl w:val="1"/>
        <w:rPr>
          <w:rFonts w:hint="eastAsia" w:ascii="宋体" w:hAnsi="宋体" w:eastAsia="宋体" w:cs="宋体"/>
          <w:b/>
          <w:color w:val="auto"/>
          <w:sz w:val="24"/>
          <w:szCs w:val="24"/>
          <w:highlight w:val="none"/>
        </w:rPr>
      </w:pPr>
      <w:bookmarkStart w:id="44" w:name="_Toc24357"/>
      <w:r>
        <w:rPr>
          <w:rFonts w:hint="eastAsia" w:ascii="宋体" w:hAnsi="宋体" w:eastAsia="宋体" w:cs="宋体"/>
          <w:b/>
          <w:color w:val="auto"/>
          <w:sz w:val="24"/>
          <w:szCs w:val="24"/>
          <w:highlight w:val="none"/>
        </w:rPr>
        <w:t>四、开标、资格审查与信用信息查询</w:t>
      </w:r>
      <w:bookmarkEnd w:id="44"/>
    </w:p>
    <w:p w14:paraId="7A043613">
      <w:pPr>
        <w:pStyle w:val="564"/>
        <w:spacing w:before="0" w:line="360" w:lineRule="auto"/>
        <w:ind w:left="0" w:firstLine="241" w:firstLineChars="100"/>
        <w:contextualSpacing/>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szCs w:val="24"/>
          <w:highlight w:val="none"/>
        </w:rPr>
        <w:t xml:space="preserve"> </w:t>
      </w:r>
    </w:p>
    <w:p w14:paraId="06F2B74E">
      <w:pPr>
        <w:pStyle w:val="564"/>
        <w:spacing w:before="0"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按照招标文件规定的时间通过电子交易平台组织开标，所有投标人均应当准时在线参加。投标人不足3家的，不得开标。</w:t>
      </w:r>
    </w:p>
    <w:p w14:paraId="527ADB68">
      <w:pPr>
        <w:pStyle w:val="564"/>
        <w:spacing w:before="0" w:line="360" w:lineRule="auto"/>
        <w:ind w:left="0" w:firstLine="240" w:firstLineChars="1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18.2开标时，电子交易平台按开标时间自动提取所有投标文件。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依托电子交易平台发起开始解密指令，投标人按照平台提示和招标文件的规定在半小时内完成在线解密。</w:t>
      </w:r>
    </w:p>
    <w:p w14:paraId="1ADD42D3">
      <w:pPr>
        <w:pStyle w:val="564"/>
        <w:spacing w:before="0" w:line="360" w:lineRule="auto"/>
        <w:ind w:left="0" w:firstLine="241" w:firstLineChars="100"/>
        <w:contextualSpacing/>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18.3投标</w:t>
      </w:r>
      <w:r>
        <w:rPr>
          <w:rFonts w:hint="eastAsia" w:ascii="宋体" w:hAnsi="宋体" w:eastAsia="宋体" w:cs="宋体"/>
          <w:b/>
          <w:color w:val="auto"/>
          <w:sz w:val="24"/>
          <w:szCs w:val="24"/>
          <w:highlight w:val="none"/>
        </w:rPr>
        <w:t>文件未按时解密，投标人提供了备份投标文件的，以备份投标文件作为依据，否则视为投标文件撤回。投标文件已按时解密的，备份投标文件自动失效。</w:t>
      </w:r>
    </w:p>
    <w:p w14:paraId="78F70082">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19</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资格审查</w:t>
      </w:r>
    </w:p>
    <w:p w14:paraId="4E8D249F">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sz w:val="24"/>
          <w:szCs w:val="24"/>
          <w:highlight w:val="none"/>
        </w:rPr>
        <w:t>采购人或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依据法律法规和招标文件的规定，对投标人的资格进行审查。</w:t>
      </w:r>
    </w:p>
    <w:p w14:paraId="1EF9714C">
      <w:pPr>
        <w:pStyle w:val="142"/>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投标人未按照招标文件要求提供与</w:t>
      </w:r>
      <w:r>
        <w:rPr>
          <w:rFonts w:hint="eastAsia" w:ascii="宋体" w:hAnsi="宋体" w:eastAsia="宋体" w:cs="宋体"/>
          <w:color w:val="auto"/>
          <w:sz w:val="24"/>
          <w:szCs w:val="24"/>
          <w:highlight w:val="none"/>
        </w:rPr>
        <w:t>资格条件相应的</w:t>
      </w:r>
      <w:r>
        <w:rPr>
          <w:rFonts w:hint="eastAsia" w:ascii="宋体" w:hAnsi="宋体" w:eastAsia="宋体" w:cs="宋体"/>
          <w:color w:val="auto"/>
          <w:kern w:val="0"/>
          <w:sz w:val="24"/>
          <w:szCs w:val="24"/>
          <w:highlight w:val="none"/>
        </w:rPr>
        <w:t>有效资格证明材料的，视为</w:t>
      </w:r>
      <w:r>
        <w:rPr>
          <w:rFonts w:hint="eastAsia" w:ascii="宋体" w:hAnsi="宋体" w:eastAsia="宋体" w:cs="宋体"/>
          <w:color w:val="auto"/>
          <w:sz w:val="24"/>
          <w:szCs w:val="24"/>
          <w:highlight w:val="none"/>
        </w:rPr>
        <w:t>投标人不具备招标文件中规定的资格要求，其投标无效。</w:t>
      </w:r>
    </w:p>
    <w:p w14:paraId="6BCF9F7F">
      <w:pPr>
        <w:pStyle w:val="142"/>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对未通过资格审查的投标人，采购人或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告知其未通过的原因。</w:t>
      </w:r>
    </w:p>
    <w:p w14:paraId="3CE95506">
      <w:pPr>
        <w:pStyle w:val="142"/>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合格投标人不足3家的，不再评标。</w:t>
      </w:r>
    </w:p>
    <w:p w14:paraId="2A74734D">
      <w:pPr>
        <w:pStyle w:val="142"/>
        <w:spacing w:before="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信用信息查询</w:t>
      </w:r>
    </w:p>
    <w:p w14:paraId="3AF9B1AA">
      <w:pPr>
        <w:pStyle w:val="142"/>
        <w:spacing w:before="0"/>
        <w:ind w:firstLine="49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20.1信用信息查询渠道及截止时间：</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将在资格审查时通过“信用中国”网站(www.creditchina.gov.cn)、中国政府采购网(www.ccgp.gov.cn)渠道查询投标人接受资格审查时的信用记录。</w:t>
      </w:r>
    </w:p>
    <w:p w14:paraId="751F64E9">
      <w:pPr>
        <w:pStyle w:val="142"/>
        <w:spacing w:before="0"/>
        <w:ind w:firstLine="49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20.2信用信息查询记录和证据留存的具体方式：现场查询的投标人的信用记录、查询结果经确认后将与采购文件一起存档。</w:t>
      </w:r>
    </w:p>
    <w:p w14:paraId="0CD270BB">
      <w:pPr>
        <w:pStyle w:val="142"/>
        <w:spacing w:before="0"/>
        <w:ind w:firstLine="49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20.3信用信息的使用规则：经查询列入失信被执行人名单、</w:t>
      </w:r>
      <w:r>
        <w:rPr>
          <w:rFonts w:hint="eastAsia" w:ascii="宋体" w:hAnsi="宋体" w:eastAsia="宋体" w:cs="宋体"/>
          <w:color w:val="auto"/>
          <w:sz w:val="24"/>
          <w:szCs w:val="24"/>
          <w:highlight w:val="none"/>
          <w:lang w:val="en-US" w:eastAsia="zh-CN"/>
        </w:rPr>
        <w:t>重大税收违法失信主体</w:t>
      </w:r>
      <w:r>
        <w:rPr>
          <w:rFonts w:hint="eastAsia" w:ascii="宋体" w:hAnsi="宋体" w:eastAsia="宋体" w:cs="宋体"/>
          <w:color w:val="auto"/>
          <w:kern w:val="0"/>
          <w:sz w:val="24"/>
          <w:szCs w:val="24"/>
          <w:highlight w:val="none"/>
        </w:rPr>
        <w:t>、政府采购严重违法失信行为记录名单的投标人将被拒绝参与政府采购活动。</w:t>
      </w:r>
    </w:p>
    <w:p w14:paraId="6C0189CC">
      <w:pPr>
        <w:pStyle w:val="142"/>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20.4联合体信用信息查询：两个</w:t>
      </w:r>
      <w:r>
        <w:rPr>
          <w:rFonts w:hint="eastAsia" w:ascii="宋体" w:hAnsi="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rPr>
        <w:t>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4"/>
          <w:szCs w:val="24"/>
          <w:highlight w:val="none"/>
        </w:rPr>
        <w:t>。</w:t>
      </w:r>
    </w:p>
    <w:p w14:paraId="4D0597FC">
      <w:pPr>
        <w:pStyle w:val="142"/>
        <w:spacing w:before="0"/>
        <w:ind w:firstLine="0" w:firstLineChars="0"/>
        <w:rPr>
          <w:rFonts w:hint="eastAsia" w:ascii="宋体" w:hAnsi="宋体" w:eastAsia="宋体" w:cs="宋体"/>
          <w:color w:val="auto"/>
          <w:kern w:val="0"/>
          <w:sz w:val="24"/>
          <w:szCs w:val="24"/>
          <w:highlight w:val="none"/>
        </w:rPr>
      </w:pPr>
    </w:p>
    <w:p w14:paraId="5E823E29">
      <w:pPr>
        <w:snapToGrid w:val="0"/>
        <w:spacing w:line="360" w:lineRule="auto"/>
        <w:jc w:val="center"/>
        <w:outlineLvl w:val="1"/>
        <w:rPr>
          <w:rFonts w:hint="eastAsia" w:ascii="宋体" w:hAnsi="宋体" w:eastAsia="宋体" w:cs="宋体"/>
          <w:b/>
          <w:color w:val="auto"/>
          <w:sz w:val="24"/>
          <w:szCs w:val="24"/>
          <w:highlight w:val="none"/>
        </w:rPr>
      </w:pPr>
      <w:bookmarkStart w:id="45" w:name="_Toc23139"/>
      <w:r>
        <w:rPr>
          <w:rFonts w:hint="eastAsia" w:ascii="宋体" w:hAnsi="宋体" w:eastAsia="宋体" w:cs="宋体"/>
          <w:b/>
          <w:color w:val="auto"/>
          <w:sz w:val="24"/>
          <w:szCs w:val="24"/>
          <w:highlight w:val="none"/>
        </w:rPr>
        <w:t>五、评标</w:t>
      </w:r>
      <w:bookmarkEnd w:id="45"/>
    </w:p>
    <w:p w14:paraId="1559A6B2">
      <w:pPr>
        <w:spacing w:line="360" w:lineRule="auto"/>
        <w:rPr>
          <w:rFonts w:hint="eastAsia" w:ascii="宋体" w:hAnsi="宋体" w:eastAsia="宋体" w:cs="宋体"/>
          <w:color w:val="auto"/>
          <w:sz w:val="24"/>
          <w:szCs w:val="24"/>
          <w:highlight w:val="none"/>
        </w:rPr>
      </w:pPr>
      <w:bookmarkStart w:id="46" w:name="_Toc91899903"/>
      <w:r>
        <w:rPr>
          <w:rFonts w:hint="eastAsia" w:ascii="宋体" w:hAnsi="宋体" w:eastAsia="宋体" w:cs="宋体"/>
          <w:b w:val="0"/>
          <w:bCs/>
          <w:color w:val="auto"/>
          <w:sz w:val="24"/>
          <w:szCs w:val="24"/>
          <w:highlight w:val="none"/>
        </w:rPr>
        <w:t>21. 评</w:t>
      </w:r>
      <w:r>
        <w:rPr>
          <w:rFonts w:hint="eastAsia" w:ascii="宋体" w:hAnsi="宋体" w:eastAsia="宋体" w:cs="宋体"/>
          <w:color w:val="auto"/>
          <w:sz w:val="24"/>
          <w:szCs w:val="24"/>
          <w:highlight w:val="none"/>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328333E2">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详见招标文件第四部分评标办法。</w:t>
      </w:r>
    </w:p>
    <w:p w14:paraId="34C90689">
      <w:pPr>
        <w:spacing w:line="360" w:lineRule="auto"/>
        <w:rPr>
          <w:rFonts w:hint="eastAsia" w:ascii="宋体" w:hAnsi="宋体" w:eastAsia="宋体" w:cs="宋体"/>
          <w:b/>
          <w:color w:val="auto"/>
          <w:sz w:val="24"/>
          <w:szCs w:val="24"/>
          <w:highlight w:val="none"/>
        </w:rPr>
      </w:pPr>
    </w:p>
    <w:p w14:paraId="1B0D1171">
      <w:pPr>
        <w:snapToGrid w:val="0"/>
        <w:spacing w:line="360" w:lineRule="auto"/>
        <w:jc w:val="center"/>
        <w:outlineLvl w:val="1"/>
        <w:rPr>
          <w:rFonts w:hint="eastAsia" w:ascii="宋体" w:hAnsi="宋体" w:eastAsia="宋体" w:cs="宋体"/>
          <w:b/>
          <w:color w:val="auto"/>
          <w:sz w:val="24"/>
          <w:szCs w:val="24"/>
          <w:highlight w:val="none"/>
        </w:rPr>
      </w:pPr>
      <w:bookmarkStart w:id="47" w:name="_Toc32708"/>
      <w:r>
        <w:rPr>
          <w:rFonts w:hint="eastAsia" w:ascii="宋体" w:hAnsi="宋体" w:eastAsia="宋体" w:cs="宋体"/>
          <w:b/>
          <w:color w:val="auto"/>
          <w:sz w:val="24"/>
          <w:szCs w:val="24"/>
          <w:highlight w:val="none"/>
        </w:rPr>
        <w:t>六、定 标</w:t>
      </w:r>
      <w:bookmarkEnd w:id="47"/>
    </w:p>
    <w:p w14:paraId="1F770C21">
      <w:pPr>
        <w:pStyle w:val="25"/>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确定中标供应商</w:t>
      </w:r>
    </w:p>
    <w:p w14:paraId="088A7F4D">
      <w:pPr>
        <w:pStyle w:val="142"/>
        <w:snapToGrid w:val="0"/>
        <w:spacing w:before="0"/>
        <w:ind w:firstLine="48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02D7D51">
      <w:pPr>
        <w:pStyle w:val="142"/>
        <w:numPr>
          <w:ilvl w:val="0"/>
          <w:numId w:val="2"/>
        </w:numPr>
        <w:snapToGrid w:val="0"/>
        <w:spacing w:before="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中标通知与中标结果公告</w:t>
      </w:r>
    </w:p>
    <w:p w14:paraId="29061D20">
      <w:pPr>
        <w:pStyle w:val="142"/>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.1自中标人确定之日起2个工作日内，采购代理机构通过电子交易平台向中标人发出中标通知书，同时编制发布采购结果公告。采购代理机构也可以以纸质形式进行中标通知。</w:t>
      </w:r>
    </w:p>
    <w:p w14:paraId="646806E5">
      <w:pPr>
        <w:pStyle w:val="142"/>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.2中标结果公告内容包括采购人及其委托的采购代理机构的名称、地址、联系方式，项目名称和项目编号，中标人名称、地址和中标金额，主要中标标的的名称、</w:t>
      </w:r>
      <w:r>
        <w:rPr>
          <w:rFonts w:hint="eastAsia" w:ascii="宋体" w:hAnsi="宋体" w:eastAsia="宋体" w:cs="宋体"/>
          <w:color w:val="auto"/>
          <w:sz w:val="24"/>
          <w:szCs w:val="24"/>
          <w:highlight w:val="none"/>
          <w:lang w:val="en-US" w:eastAsia="zh-CN"/>
        </w:rPr>
        <w:t>服务要求或者标的基本概况等</w:t>
      </w:r>
      <w:r>
        <w:rPr>
          <w:rFonts w:hint="eastAsia" w:ascii="宋体" w:hAnsi="宋体" w:eastAsia="宋体" w:cs="宋体"/>
          <w:color w:val="auto"/>
          <w:sz w:val="24"/>
          <w:szCs w:val="24"/>
          <w:highlight w:val="none"/>
        </w:rPr>
        <w:t>、中标公告期限以及评审专家名单、评分汇总及明细。</w:t>
      </w:r>
    </w:p>
    <w:p w14:paraId="778EBF19">
      <w:pPr>
        <w:pStyle w:val="142"/>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.3公告期限为1个工作日。</w:t>
      </w:r>
    </w:p>
    <w:p w14:paraId="3472F169">
      <w:pPr>
        <w:snapToGrid w:val="0"/>
        <w:spacing w:line="360" w:lineRule="auto"/>
        <w:ind w:left="120" w:leftChars="57" w:firstLine="361" w:firstLineChars="150"/>
        <w:jc w:val="center"/>
        <w:rPr>
          <w:rFonts w:hint="eastAsia" w:ascii="宋体" w:hAnsi="宋体" w:eastAsia="宋体" w:cs="宋体"/>
          <w:b/>
          <w:color w:val="auto"/>
          <w:sz w:val="24"/>
          <w:szCs w:val="24"/>
          <w:highlight w:val="none"/>
        </w:rPr>
      </w:pPr>
    </w:p>
    <w:p w14:paraId="29C91E85">
      <w:pPr>
        <w:snapToGrid w:val="0"/>
        <w:spacing w:line="360" w:lineRule="auto"/>
        <w:ind w:left="120" w:leftChars="57" w:firstLine="361" w:firstLineChars="150"/>
        <w:jc w:val="center"/>
        <w:outlineLvl w:val="1"/>
        <w:rPr>
          <w:rFonts w:hint="eastAsia" w:ascii="宋体" w:hAnsi="宋体" w:eastAsia="宋体" w:cs="宋体"/>
          <w:b/>
          <w:color w:val="auto"/>
          <w:sz w:val="24"/>
          <w:szCs w:val="24"/>
          <w:highlight w:val="none"/>
        </w:rPr>
      </w:pPr>
      <w:bookmarkStart w:id="48" w:name="_Toc22272"/>
      <w:r>
        <w:rPr>
          <w:rFonts w:hint="eastAsia" w:ascii="宋体" w:hAnsi="宋体" w:eastAsia="宋体" w:cs="宋体"/>
          <w:b/>
          <w:color w:val="auto"/>
          <w:sz w:val="24"/>
          <w:szCs w:val="24"/>
          <w:highlight w:val="none"/>
        </w:rPr>
        <w:t>七、合同授予</w:t>
      </w:r>
      <w:bookmarkEnd w:id="48"/>
    </w:p>
    <w:p w14:paraId="7509D261">
      <w:pPr>
        <w:pStyle w:val="25"/>
        <w:spacing w:line="360" w:lineRule="auto"/>
        <w:ind w:left="479" w:hanging="479" w:hangingChars="19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24. 合同主要条款详见第五部分拟签订的合同文本。</w:t>
      </w:r>
    </w:p>
    <w:p w14:paraId="7205905E">
      <w:pPr>
        <w:pStyle w:val="25"/>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465938C6">
      <w:pPr>
        <w:pStyle w:val="142"/>
        <w:spacing w:before="0"/>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25.1 采购人与中标供应商应当在中标通知书发出之日起三十日内，按照招标文件及中标供应商的投标文件确定的事项签订政府采购合同，并在合同签订之日起2个工作日内依法发布合同公告。</w:t>
      </w:r>
    </w:p>
    <w:p w14:paraId="06CBAC32">
      <w:pPr>
        <w:pStyle w:val="142"/>
        <w:snapToGrid w:val="0"/>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00424E2">
      <w:pPr>
        <w:pStyle w:val="142"/>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25.3如签订合同并生效后，供应商无故拒绝或延期，除按照合同条款处理外，列入不良行为记录一次，并给予通报。</w:t>
      </w:r>
    </w:p>
    <w:p w14:paraId="64291E90">
      <w:pPr>
        <w:pStyle w:val="142"/>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12E70953">
      <w:pPr>
        <w:pStyle w:val="142"/>
        <w:snapToGrid w:val="0"/>
        <w:spacing w:before="0" w:after="12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25.5采购合同由采购人与中标供应商根据招标文件、投标文件等内容通过政府采购电子交易平台在线签订，自动备案。</w:t>
      </w:r>
    </w:p>
    <w:p w14:paraId="13DD0923">
      <w:pPr>
        <w:pStyle w:val="25"/>
        <w:spacing w:line="360" w:lineRule="auto"/>
        <w:ind w:left="479" w:hanging="479" w:hangingChars="19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26. 履约保证金</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如有</w:t>
      </w:r>
      <w:r>
        <w:rPr>
          <w:rFonts w:hint="eastAsia" w:ascii="宋体" w:hAnsi="宋体" w:eastAsia="宋体" w:cs="宋体"/>
          <w:b/>
          <w:color w:val="auto"/>
          <w:sz w:val="24"/>
          <w:szCs w:val="24"/>
          <w:highlight w:val="none"/>
          <w:lang w:eastAsia="zh-CN"/>
        </w:rPr>
        <w:t>）</w:t>
      </w:r>
    </w:p>
    <w:p w14:paraId="55EA656E">
      <w:pPr>
        <w:tabs>
          <w:tab w:val="left" w:pos="0"/>
        </w:tabs>
        <w:spacing w:line="360" w:lineRule="auto"/>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拟签订的合同文本</w:t>
      </w:r>
      <w:r>
        <w:rPr>
          <w:rFonts w:hint="eastAsia" w:ascii="宋体" w:hAnsi="宋体" w:eastAsia="宋体" w:cs="宋体"/>
          <w:color w:val="auto"/>
          <w:kern w:val="0"/>
          <w:sz w:val="24"/>
          <w:szCs w:val="24"/>
          <w:highlight w:val="none"/>
          <w:lang w:val="en-US" w:eastAsia="zh-CN"/>
        </w:rPr>
        <w:t>如</w:t>
      </w:r>
      <w:r>
        <w:rPr>
          <w:rFonts w:hint="eastAsia" w:ascii="宋体" w:hAnsi="宋体" w:eastAsia="宋体" w:cs="宋体"/>
          <w:color w:val="auto"/>
          <w:kern w:val="0"/>
          <w:sz w:val="24"/>
          <w:szCs w:val="24"/>
          <w:highlight w:val="none"/>
        </w:rPr>
        <w:t>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w:t>
      </w:r>
    </w:p>
    <w:p w14:paraId="6BE96EFD">
      <w:pPr>
        <w:tabs>
          <w:tab w:val="left" w:pos="0"/>
        </w:tabs>
        <w:spacing w:line="360" w:lineRule="auto"/>
        <w:ind w:firstLine="482"/>
        <w:rPr>
          <w:rFonts w:hint="eastAsia" w:ascii="宋体" w:hAnsi="宋体" w:eastAsia="宋体" w:cs="宋体"/>
          <w:b w:val="0"/>
          <w:bCs w:val="0"/>
          <w:snapToGrid w:val="0"/>
          <w:color w:val="auto"/>
          <w:kern w:val="28"/>
          <w:sz w:val="24"/>
          <w:szCs w:val="24"/>
          <w:highlight w:val="none"/>
        </w:rPr>
      </w:pPr>
      <w:bookmarkStart w:id="49" w:name="_Toc5410"/>
      <w:r>
        <w:rPr>
          <w:rFonts w:hint="eastAsia" w:ascii="宋体" w:hAnsi="宋体" w:eastAsia="宋体" w:cs="宋体"/>
          <w:color w:val="auto"/>
          <w:kern w:val="0"/>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9"/>
    </w:p>
    <w:p w14:paraId="58E7F6D7">
      <w:pPr>
        <w:rPr>
          <w:rFonts w:hint="eastAsia" w:ascii="宋体" w:hAnsi="宋体" w:eastAsia="宋体" w:cs="宋体"/>
          <w:color w:val="auto"/>
          <w:sz w:val="24"/>
          <w:szCs w:val="24"/>
          <w:highlight w:val="none"/>
        </w:rPr>
      </w:pPr>
    </w:p>
    <w:p w14:paraId="485F10AF">
      <w:pPr>
        <w:rPr>
          <w:rFonts w:hint="eastAsia" w:ascii="宋体" w:hAnsi="宋体" w:eastAsia="宋体" w:cs="宋体"/>
          <w:b/>
          <w:color w:val="auto"/>
          <w:sz w:val="24"/>
          <w:szCs w:val="24"/>
          <w:highlight w:val="none"/>
        </w:rPr>
      </w:pPr>
      <w:bookmarkStart w:id="50" w:name="_Toc362"/>
    </w:p>
    <w:p w14:paraId="298E5380">
      <w:pPr>
        <w:snapToGrid w:val="0"/>
        <w:spacing w:line="360" w:lineRule="auto"/>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八、电子交易活动的中止</w:t>
      </w:r>
      <w:bookmarkEnd w:id="50"/>
    </w:p>
    <w:p w14:paraId="319426DD">
      <w:pPr>
        <w:pStyle w:val="142"/>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rPr>
        <w:t>27</w:t>
      </w:r>
      <w:r>
        <w:rPr>
          <w:rFonts w:hint="eastAsia" w:ascii="宋体" w:hAnsi="宋体" w:eastAsia="宋体" w:cs="宋体"/>
          <w:b/>
          <w:color w:val="auto"/>
          <w:sz w:val="24"/>
          <w:szCs w:val="24"/>
          <w:highlight w:val="none"/>
        </w:rPr>
        <w:t>. 电子交易活动的中止。</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可中止电子交易活动：</w:t>
      </w:r>
    </w:p>
    <w:p w14:paraId="62C1D1E3">
      <w:pPr>
        <w:pStyle w:val="142"/>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.1电子交易平台发生故障而无法登录访问的； </w:t>
      </w:r>
    </w:p>
    <w:p w14:paraId="452DE296">
      <w:pPr>
        <w:pStyle w:val="142"/>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.2电子交易平台应用或数据库出现错误，不能进行正常操作的；</w:t>
      </w:r>
    </w:p>
    <w:p w14:paraId="5AE5051D">
      <w:pPr>
        <w:pStyle w:val="142"/>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.3电子交易平台发现严重安全漏洞，有潜在泄密危险的；</w:t>
      </w:r>
    </w:p>
    <w:p w14:paraId="2129A89B">
      <w:pPr>
        <w:pStyle w:val="142"/>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.4病毒发作导致不能进行正常操作的； </w:t>
      </w:r>
    </w:p>
    <w:p w14:paraId="29CE8DD0">
      <w:pPr>
        <w:pStyle w:val="142"/>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.5其他无法保证电子交易的公平、公正和安全的情况。</w:t>
      </w:r>
    </w:p>
    <w:p w14:paraId="646E07AC">
      <w:pPr>
        <w:pStyle w:val="142"/>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B3D0F0D">
      <w:pPr>
        <w:tabs>
          <w:tab w:val="left" w:pos="0"/>
        </w:tabs>
        <w:spacing w:line="360" w:lineRule="auto"/>
        <w:ind w:firstLine="480"/>
        <w:rPr>
          <w:rFonts w:hint="eastAsia" w:ascii="宋体" w:hAnsi="宋体" w:eastAsia="宋体" w:cs="宋体"/>
          <w:color w:val="auto"/>
          <w:sz w:val="24"/>
          <w:szCs w:val="24"/>
          <w:highlight w:val="none"/>
        </w:rPr>
      </w:pPr>
    </w:p>
    <w:p w14:paraId="2C17EBFB">
      <w:pPr>
        <w:snapToGrid w:val="0"/>
        <w:spacing w:line="360" w:lineRule="auto"/>
        <w:ind w:left="120" w:leftChars="57" w:firstLine="361" w:firstLineChars="150"/>
        <w:jc w:val="center"/>
        <w:outlineLvl w:val="1"/>
        <w:rPr>
          <w:rFonts w:hint="eastAsia" w:ascii="宋体" w:hAnsi="宋体" w:eastAsia="宋体" w:cs="宋体"/>
          <w:b/>
          <w:color w:val="auto"/>
          <w:sz w:val="24"/>
          <w:szCs w:val="24"/>
          <w:highlight w:val="none"/>
        </w:rPr>
      </w:pPr>
      <w:bookmarkStart w:id="51" w:name="_Toc12798"/>
      <w:r>
        <w:rPr>
          <w:rFonts w:hint="eastAsia" w:ascii="宋体" w:hAnsi="宋体" w:eastAsia="宋体" w:cs="宋体"/>
          <w:b/>
          <w:color w:val="auto"/>
          <w:sz w:val="24"/>
          <w:szCs w:val="24"/>
          <w:highlight w:val="none"/>
        </w:rPr>
        <w:t>九、验收</w:t>
      </w:r>
      <w:bookmarkEnd w:id="51"/>
    </w:p>
    <w:p w14:paraId="4E6F8BAA">
      <w:pPr>
        <w:pStyle w:val="25"/>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29</w:t>
      </w:r>
      <w:r>
        <w:rPr>
          <w:rFonts w:hint="eastAsia" w:ascii="宋体" w:hAnsi="宋体" w:eastAsia="宋体" w:cs="宋体"/>
          <w:b/>
          <w:color w:val="auto"/>
          <w:sz w:val="24"/>
          <w:szCs w:val="24"/>
          <w:highlight w:val="none"/>
        </w:rPr>
        <w:t>.验收</w:t>
      </w:r>
    </w:p>
    <w:p w14:paraId="35E927C6">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29</w:t>
      </w:r>
      <w:r>
        <w:rPr>
          <w:rFonts w:hint="eastAsia" w:ascii="宋体" w:hAnsi="宋体" w:eastAsia="宋体" w:cs="宋体"/>
          <w:color w:val="auto"/>
          <w:kern w:val="0"/>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6AB48E">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29</w:t>
      </w:r>
      <w:r>
        <w:rPr>
          <w:rFonts w:hint="eastAsia" w:ascii="宋体" w:hAnsi="宋体" w:eastAsia="宋体" w:cs="宋体"/>
          <w:color w:val="auto"/>
          <w:kern w:val="0"/>
          <w:sz w:val="24"/>
          <w:szCs w:val="24"/>
          <w:highlight w:val="none"/>
        </w:rPr>
        <w:t>.2采购人可以邀请参加本项目的其他投标人或者第三方机构参与验收。参与验收的投标人或者第三方机构的意见作为验收书的参考资料一并存档。</w:t>
      </w:r>
    </w:p>
    <w:p w14:paraId="2CB4F113">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29</w:t>
      </w:r>
      <w:r>
        <w:rPr>
          <w:rFonts w:hint="eastAsia" w:ascii="宋体" w:hAnsi="宋体" w:eastAsia="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97E846">
      <w:pPr>
        <w:tabs>
          <w:tab w:val="left" w:pos="0"/>
        </w:tabs>
        <w:spacing w:line="360" w:lineRule="auto"/>
        <w:ind w:firstLine="480"/>
        <w:rPr>
          <w:rFonts w:hint="eastAsia" w:ascii="宋体" w:hAnsi="宋体" w:eastAsia="宋体" w:cs="宋体"/>
          <w:color w:val="auto"/>
          <w:kern w:val="0"/>
          <w:sz w:val="24"/>
          <w:szCs w:val="24"/>
          <w:highlight w:val="none"/>
        </w:rPr>
        <w:sectPr>
          <w:headerReference r:id="rId4" w:type="first"/>
          <w:footerReference r:id="rId6" w:type="first"/>
          <w:headerReference r:id="rId3" w:type="default"/>
          <w:footerReference r:id="rId5"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eastAsia="宋体" w:cs="宋体"/>
          <w:color w:val="auto"/>
          <w:kern w:val="0"/>
          <w:sz w:val="24"/>
          <w:szCs w:val="24"/>
          <w:highlight w:val="none"/>
          <w:lang w:val="en-US" w:eastAsia="zh-CN"/>
        </w:rPr>
        <w:t>29</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6"/>
      <w:bookmarkStart w:id="52" w:name="_Hlt74707468"/>
      <w:bookmarkEnd w:id="52"/>
      <w:bookmarkStart w:id="53" w:name="_Hlt68072990"/>
      <w:bookmarkEnd w:id="53"/>
      <w:bookmarkStart w:id="54" w:name="_Hlt75236290"/>
      <w:bookmarkEnd w:id="54"/>
      <w:bookmarkStart w:id="55" w:name="_Hlt74714665"/>
      <w:bookmarkEnd w:id="55"/>
      <w:bookmarkStart w:id="56" w:name="_Hlt68057669"/>
      <w:bookmarkEnd w:id="56"/>
      <w:bookmarkStart w:id="57" w:name="_Hlt75236011"/>
      <w:bookmarkEnd w:id="57"/>
      <w:bookmarkStart w:id="58" w:name="_Hlt74730295"/>
      <w:bookmarkEnd w:id="58"/>
      <w:bookmarkStart w:id="59" w:name="_Hlt75236101"/>
      <w:bookmarkEnd w:id="59"/>
      <w:bookmarkStart w:id="60" w:name="_Hlt74729768"/>
      <w:bookmarkEnd w:id="60"/>
      <w:bookmarkStart w:id="61" w:name="_Hlt68403820"/>
      <w:bookmarkEnd w:id="61"/>
      <w:bookmarkStart w:id="62" w:name="_Hlt68073093"/>
      <w:bookmarkEnd w:id="62"/>
      <w:bookmarkStart w:id="63" w:name="_Hlt68072998"/>
      <w:bookmarkEnd w:id="63"/>
    </w:p>
    <w:bookmarkEnd w:id="35"/>
    <w:bookmarkEnd w:id="36"/>
    <w:p w14:paraId="6500F4C0">
      <w:pPr>
        <w:pStyle w:val="2"/>
        <w:bidi w:val="0"/>
        <w:rPr>
          <w:rFonts w:hint="eastAsia"/>
          <w:color w:val="auto"/>
          <w:highlight w:val="none"/>
        </w:rPr>
      </w:pPr>
      <w:bookmarkStart w:id="64" w:name="_Toc9424"/>
      <w:bookmarkStart w:id="65" w:name="_Toc17321"/>
      <w:bookmarkStart w:id="66" w:name="_Toc19347"/>
      <w:bookmarkStart w:id="67" w:name="第四部分"/>
      <w:r>
        <w:rPr>
          <w:rFonts w:hint="eastAsia"/>
          <w:color w:val="auto"/>
          <w:highlight w:val="none"/>
        </w:rPr>
        <w:t>第三部分   采购需求</w:t>
      </w:r>
      <w:bookmarkEnd w:id="64"/>
      <w:bookmarkEnd w:id="65"/>
      <w:bookmarkEnd w:id="66"/>
    </w:p>
    <w:p w14:paraId="1AABD6AC">
      <w:pPr>
        <w:keepNext w:val="0"/>
        <w:keepLines w:val="0"/>
        <w:pageBreakBefore w:val="0"/>
        <w:widowControl w:val="0"/>
        <w:wordWrap/>
        <w:topLinePunct w:val="0"/>
        <w:bidi w:val="0"/>
        <w:adjustRightInd w:val="0"/>
        <w:snapToGrid w:val="0"/>
        <w:spacing w:line="360" w:lineRule="auto"/>
        <w:ind w:left="0" w:leftChars="0" w:firstLine="482"/>
        <w:jc w:val="both"/>
        <w:textAlignment w:val="auto"/>
        <w:rPr>
          <w:rFonts w:hint="eastAsia" w:ascii="宋体" w:hAnsi="宋体" w:eastAsia="宋体" w:cs="宋体"/>
          <w:b/>
          <w:color w:val="auto"/>
          <w:sz w:val="24"/>
          <w:szCs w:val="24"/>
          <w:highlight w:val="none"/>
          <w:lang w:val="en-US" w:eastAsia="zh-CN"/>
        </w:rPr>
      </w:pPr>
      <w:bookmarkStart w:id="68" w:name="_Toc22878"/>
      <w:bookmarkStart w:id="69" w:name="_Toc22578"/>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项目背景</w:t>
      </w:r>
    </w:p>
    <w:p w14:paraId="7D4C1066">
      <w:pPr>
        <w:pStyle w:val="980"/>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督查检查考核工作是推动党的理论和路线方针政策、党中央决策部署贯彻落实的重要手段，是改进党的作风、激励广大干部担当作为的重要举措。</w:t>
      </w:r>
    </w:p>
    <w:p w14:paraId="133CE62E">
      <w:pPr>
        <w:pStyle w:val="980"/>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习近平总书记指出，一分部署、九分落实。2018年10月，中共中央办公厅就印发了《关于统筹规范督查检查考核工作的通知》，对统筹规范督查检查考核工作作出要求，《通知》中指出：要注重工作实绩，改进方式方法，创新督查检查考核方式，充分运用信息化手段，实现信息资源共享，优化第三方评估，提高督查检查考核的质量和效率。</w:t>
      </w:r>
    </w:p>
    <w:p w14:paraId="75445A42">
      <w:pPr>
        <w:pStyle w:val="980"/>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为深入贯彻落实总书记指示要求，高站位推动中央决策、省委部署在宁波落地生根、开花结果，</w:t>
      </w:r>
      <w:r>
        <w:rPr>
          <w:rFonts w:hint="eastAsia" w:ascii="宋体" w:hAnsi="宋体" w:cs="宋体"/>
          <w:color w:val="auto"/>
          <w:sz w:val="24"/>
          <w:highlight w:val="none"/>
          <w:lang w:val="en-US" w:eastAsia="zh-CN"/>
        </w:rPr>
        <w:t>建设</w:t>
      </w:r>
      <w:r>
        <w:rPr>
          <w:rFonts w:hint="eastAsia" w:ascii="宋体" w:hAnsi="宋体" w:eastAsia="宋体" w:cs="宋体"/>
          <w:color w:val="auto"/>
          <w:sz w:val="24"/>
          <w:highlight w:val="none"/>
          <w:lang w:eastAsia="zh-CN"/>
        </w:rPr>
        <w:t>鄞州区督考一体化应用，进一步提升督查考评工作信息化水平。本项目紧扣市委、市政府中心工作，以数字化改革为牵引，融合“七张问题清单”、领导批示、民生事实、绩效考评等重点工作，将督查任务和考评工作纵向贯通、横向联动，全力构建数智大督考格局。</w:t>
      </w:r>
    </w:p>
    <w:p w14:paraId="600C2CE4">
      <w:pPr>
        <w:keepNext w:val="0"/>
        <w:keepLines w:val="0"/>
        <w:pageBreakBefore w:val="0"/>
        <w:widowControl w:val="0"/>
        <w:numPr>
          <w:ilvl w:val="0"/>
          <w:numId w:val="3"/>
        </w:numPr>
        <w:wordWrap/>
        <w:topLinePunct w:val="0"/>
        <w:bidi w:val="0"/>
        <w:adjustRightInd w:val="0"/>
        <w:snapToGrid w:val="0"/>
        <w:spacing w:line="360" w:lineRule="auto"/>
        <w:ind w:left="0" w:leftChars="0"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建设目标</w:t>
      </w:r>
    </w:p>
    <w:p w14:paraId="3B4C0C64">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精准把握和有效承接上级关于督考业务的改革指向与基本精神，在对接和联动宁波市争先进位数智督考应用的大框架下，按照“督考一体化、全周期整合立体式画像”的总思路，结合鄞州区实际，探索打造有鄞州特色的督考一体化应用，建设督考事项全方位收集、督考实施全链条跟进、督考效果全维度画像的全周期支撑平台。</w:t>
      </w:r>
    </w:p>
    <w:p w14:paraId="42871C94">
      <w:pPr>
        <w:keepNext w:val="0"/>
        <w:keepLines w:val="0"/>
        <w:pageBreakBefore w:val="0"/>
        <w:widowControl w:val="0"/>
        <w:numPr>
          <w:ilvl w:val="0"/>
          <w:numId w:val="3"/>
        </w:numPr>
        <w:wordWrap/>
        <w:topLinePunct w:val="0"/>
        <w:bidi w:val="0"/>
        <w:adjustRightInd w:val="0"/>
        <w:snapToGrid w:val="0"/>
        <w:spacing w:line="360" w:lineRule="auto"/>
        <w:ind w:left="0" w:leftChars="0"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建设内容</w:t>
      </w:r>
    </w:p>
    <w:p w14:paraId="6C18D205">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本项目建设内容主要包括业务应用建设、应用支撑建设、数据资源建设和基础设施建设。具体包含：</w:t>
      </w:r>
    </w:p>
    <w:p w14:paraId="7C7BE8B2">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cs="宋体"/>
          <w:color w:val="auto"/>
          <w:sz w:val="24"/>
          <w:szCs w:val="24"/>
          <w:highlight w:val="none"/>
          <w:lang w:val="en-US" w:eastAsia="zh-CN"/>
        </w:rPr>
        <w:t>业务</w:t>
      </w:r>
      <w:r>
        <w:rPr>
          <w:rFonts w:hint="eastAsia" w:ascii="宋体" w:hAnsi="宋体" w:eastAsia="宋体" w:cs="宋体"/>
          <w:color w:val="auto"/>
          <w:sz w:val="24"/>
          <w:szCs w:val="24"/>
          <w:highlight w:val="none"/>
          <w:lang w:val="en-US" w:eastAsia="zh-CN"/>
        </w:rPr>
        <w:t>应用系统建设</w:t>
      </w:r>
    </w:p>
    <w:p w14:paraId="46AECFDE">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应用系统主要建设内容为督考一体化综合集成、督考一体化综合展示、党政督查（领导批示、决策督查、专项督查）、督考一体化全生命周期管理、综合考核、督考先锋</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民生实事、整合集成业务（建议提案、鄞擂台）以及浙政钉移动端（督查任务签收功能等）。</w:t>
      </w:r>
    </w:p>
    <w:p w14:paraId="24E1A333">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（二）应用支撑</w:t>
      </w:r>
      <w:r>
        <w:rPr>
          <w:rFonts w:hint="eastAsia" w:ascii="宋体" w:hAnsi="宋体" w:cs="宋体"/>
          <w:color w:val="auto"/>
          <w:sz w:val="24"/>
          <w:szCs w:val="24"/>
          <w:highlight w:val="none"/>
          <w:lang w:val="en-US" w:eastAsia="zh-CN"/>
        </w:rPr>
        <w:t>系统</w:t>
      </w:r>
      <w:r>
        <w:rPr>
          <w:rFonts w:hint="eastAsia" w:ascii="宋体" w:hAnsi="宋体" w:eastAsia="宋体" w:cs="宋体"/>
          <w:color w:val="auto"/>
          <w:sz w:val="24"/>
          <w:szCs w:val="24"/>
          <w:highlight w:val="none"/>
          <w:lang w:val="en-US" w:eastAsia="zh-CN"/>
        </w:rPr>
        <w:t>建设</w:t>
      </w:r>
    </w:p>
    <w:p w14:paraId="4CA92DDF">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为满足鄞州区督考一体化应用项目的建设要求，充分利用宁波市和鄞州区的一体化智能化公共数据平台、政务云平台资源，搭建鄞州区督考应用支撑、智能辅助分析，为上层业务应用提供支撑。</w:t>
      </w:r>
    </w:p>
    <w:p w14:paraId="448E0E05">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（三）数据资源建设</w:t>
      </w:r>
    </w:p>
    <w:p w14:paraId="0D37BAF5">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数据资源体系建设主要包括数据采集</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、数据治理服务、数据安全管理及数据仓建设。</w:t>
      </w:r>
    </w:p>
    <w:p w14:paraId="778D6FF5">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（四）基础设施建设</w:t>
      </w:r>
    </w:p>
    <w:p w14:paraId="0BF0EC2D">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充分利用宁波市政务云平台资源，申请相关计算资源、存储资源以及安全服务等，同时根据信创环境要求采购国产化操作系统、国产化数据库，用于本项目应用系统的部署运行。</w:t>
      </w:r>
    </w:p>
    <w:p w14:paraId="7782D3A9">
      <w:pPr>
        <w:keepNext w:val="0"/>
        <w:keepLines w:val="0"/>
        <w:pageBreakBefore w:val="0"/>
        <w:widowControl w:val="0"/>
        <w:numPr>
          <w:ilvl w:val="0"/>
          <w:numId w:val="3"/>
        </w:numPr>
        <w:wordWrap/>
        <w:topLinePunct w:val="0"/>
        <w:bidi w:val="0"/>
        <w:adjustRightInd w:val="0"/>
        <w:snapToGrid w:val="0"/>
        <w:spacing w:line="360" w:lineRule="auto"/>
        <w:ind w:left="0" w:leftChars="0" w:firstLine="482"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系统</w:t>
      </w:r>
      <w:r>
        <w:rPr>
          <w:rFonts w:hint="eastAsia" w:ascii="宋体" w:hAnsi="宋体" w:eastAsia="宋体" w:cs="宋体"/>
          <w:b/>
          <w:bCs/>
          <w:color w:val="auto"/>
          <w:sz w:val="24"/>
          <w:szCs w:val="24"/>
          <w:highlight w:val="none"/>
          <w:lang w:val="en-US" w:eastAsia="zh-CN"/>
        </w:rPr>
        <w:t>性能要求</w:t>
      </w:r>
    </w:p>
    <w:p w14:paraId="7CF50438">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鄞州区督考一体化应用场景应用需具有高可靠性、可用性、开放的、多种交互方式的信息化服务系统，数据库要具备横向资源扩展的能力。系统开发时需要满足以下的功能及性能需求：</w:t>
      </w:r>
    </w:p>
    <w:p w14:paraId="332BF48C">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1．系统的统一性：系统所有应用需要符合宁波市一体化智能化公共数据平台的统一规划和部署要求，能够统一使用平台提供的虚化资源及大数据分析接口。</w:t>
      </w:r>
    </w:p>
    <w:p w14:paraId="1806D6FF">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2．系统的开放性：基于目前先进开发技术和开放标准，具备信息共享，接口交互的能力，能够充分考虑到和宁波市一体化智能化公共数据平台大数据计算、分析及数据开发工具之间的接口开放。</w:t>
      </w:r>
    </w:p>
    <w:p w14:paraId="6D4ABC8A">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3．系统的易用性：能够提供友好的界面，满足管理人员日常管理监控业务的需求，同时满足相关业务人员在可视化界面下灵活方便地实现数据获取需求。</w:t>
      </w:r>
    </w:p>
    <w:p w14:paraId="2F6465F1">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4．系统的安全性：系统部署环境建立在信创云平台之上，能够借助信创云平台自身的安全措施，系统安全等级保护测评需达到等保二级标准。同时在数据的安全上，要能实时实现数据的副本备份。</w:t>
      </w:r>
    </w:p>
    <w:p w14:paraId="0DD416B0">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系统的稳定性：系统应支持一年365天不间断运行；连续一年的运行中因软件故障导致停机的次数不得超过3次，单次系统修复时间不得超过4小时；重点系统修复时间不超过2个小时。不能出现大的程序错误，不能有数据错误；系统在瘫痪后能够在短时间内迅速恢复，系统应有相应的检修和自动恢复功能；系统在用户出现错误操作时能进行提示，并自动停止该操作。</w:t>
      </w:r>
    </w:p>
    <w:p w14:paraId="6AAB62BE">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6．系统的可扩展性：支持现有环境下使用人员并发量、存储量等平滑扩展和硬件随需扩展需求，在未来信息量、使用人员量不断扩大的情况下，系统能够同步扩展增长。</w:t>
      </w:r>
    </w:p>
    <w:p w14:paraId="5B9D91AF">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7．系统的可移植性、可重用性：具有较强的可移植性、可重用性，保证在将来发展中迅速采用最新出现的技术、适应硬件系统升级以后的平台、长期保持系统的先进。</w:t>
      </w:r>
    </w:p>
    <w:p w14:paraId="31187546">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8．系统的可用性：（1）在线支持用户并发数据的综合查询时间&lt;3s。</w:t>
      </w:r>
    </w:p>
    <w:p w14:paraId="6E35178D">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（2）数据报表展现时间&lt;2s。</w:t>
      </w:r>
    </w:p>
    <w:p w14:paraId="5EAA73F3">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（3）数据分析时间&lt;2s。</w:t>
      </w:r>
    </w:p>
    <w:p w14:paraId="092B4EB2">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（4）空间数据展现时间&lt;2s。</w:t>
      </w:r>
    </w:p>
    <w:p w14:paraId="034E08CD">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（5）支持300人以上在线用户，同时支持100个用户并发访问操作。</w:t>
      </w:r>
    </w:p>
    <w:p w14:paraId="5690CD7C">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9．系统的响应时间：设计合理的数据库结构和查询算法，以保证查询的响应速度不会随记录数的增长急速下降，系统平均响应时间＜3秒。</w:t>
      </w:r>
    </w:p>
    <w:p w14:paraId="0934BE7E">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10．负载均衡能力：系统需具备负载均衡能力，以保证多用户并发访问时的系统的可靠性和系统性能不受到严重影响。</w:t>
      </w:r>
    </w:p>
    <w:p w14:paraId="7CD09DEF">
      <w:pPr>
        <w:keepNext w:val="0"/>
        <w:keepLines w:val="0"/>
        <w:pageBreakBefore w:val="0"/>
        <w:widowControl w:val="0"/>
        <w:wordWrap/>
        <w:topLinePunct w:val="0"/>
        <w:bidi w:val="0"/>
        <w:adjustRightInd w:val="0"/>
        <w:snapToGrid w:val="0"/>
        <w:spacing w:line="360" w:lineRule="auto"/>
        <w:ind w:left="0" w:leftChars="0" w:firstLine="480"/>
        <w:jc w:val="both"/>
        <w:textAlignment w:val="auto"/>
        <w:rPr>
          <w:rFonts w:hint="default"/>
          <w:color w:val="auto"/>
          <w:highlight w:val="none"/>
          <w:lang w:val="en-US" w:eastAsia="zh-CN"/>
        </w:rPr>
      </w:pPr>
      <w:r>
        <w:rPr>
          <w:rFonts w:hint="default" w:ascii="宋体" w:hAnsi="宋体" w:eastAsia="宋体" w:cs="宋体"/>
          <w:color w:val="auto"/>
          <w:sz w:val="24"/>
          <w:szCs w:val="24"/>
          <w:highlight w:val="none"/>
          <w:lang w:val="en-US" w:eastAsia="zh-CN"/>
        </w:rPr>
        <w:t>11．运维人员安全操作：针对运维人员的操作需进行实时监控并形成日志，方便后续对违规操作情况进行核对确认。</w:t>
      </w:r>
    </w:p>
    <w:p w14:paraId="300CF145">
      <w:pPr>
        <w:keepNext w:val="0"/>
        <w:keepLines w:val="0"/>
        <w:pageBreakBefore w:val="0"/>
        <w:widowControl w:val="0"/>
        <w:numPr>
          <w:ilvl w:val="0"/>
          <w:numId w:val="3"/>
        </w:numPr>
        <w:wordWrap/>
        <w:topLinePunct w:val="0"/>
        <w:bidi w:val="0"/>
        <w:adjustRightInd w:val="0"/>
        <w:snapToGrid w:val="0"/>
        <w:spacing w:line="360" w:lineRule="auto"/>
        <w:ind w:left="0" w:leftChars="0" w:firstLine="482"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建设清单</w:t>
      </w:r>
    </w:p>
    <w:tbl>
      <w:tblPr>
        <w:tblStyle w:val="65"/>
        <w:tblW w:w="4944"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91"/>
        <w:gridCol w:w="2707"/>
        <w:gridCol w:w="2921"/>
        <w:gridCol w:w="3424"/>
      </w:tblGrid>
      <w:tr w14:paraId="601A3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7" w:hRule="atLeast"/>
        </w:trPr>
        <w:tc>
          <w:tcPr>
            <w:tcW w:w="691" w:type="dxa"/>
            <w:tcBorders>
              <w:tl2br w:val="nil"/>
              <w:tr2bl w:val="nil"/>
            </w:tcBorders>
            <w:vAlign w:val="center"/>
          </w:tcPr>
          <w:p w14:paraId="004A6EA4">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rPr>
              <w:t>序号</w:t>
            </w:r>
          </w:p>
        </w:tc>
        <w:tc>
          <w:tcPr>
            <w:tcW w:w="5628" w:type="dxa"/>
            <w:gridSpan w:val="2"/>
            <w:tcBorders>
              <w:tl2br w:val="nil"/>
              <w:tr2bl w:val="nil"/>
            </w:tcBorders>
            <w:vAlign w:val="center"/>
          </w:tcPr>
          <w:p w14:paraId="2A571B7F">
            <w:pPr>
              <w:keepNext w:val="0"/>
              <w:keepLines w:val="0"/>
              <w:widowControl/>
              <w:suppressLineNumbers w:val="0"/>
              <w:spacing w:line="240" w:lineRule="auto"/>
              <w:jc w:val="center"/>
              <w:textAlignment w:val="center"/>
              <w:rPr>
                <w:rFonts w:hint="eastAsia" w:ascii="宋体" w:hAnsi="宋体" w:cs="宋体"/>
                <w:b/>
                <w:bCs/>
                <w:i w:val="0"/>
                <w:iCs w:val="0"/>
                <w:color w:val="auto"/>
                <w:kern w:val="0"/>
                <w:sz w:val="21"/>
                <w:szCs w:val="21"/>
                <w:highlight w:val="none"/>
                <w:u w:val="none"/>
                <w:lang w:val="en-US" w:eastAsia="zh-CN"/>
              </w:rPr>
            </w:pPr>
            <w:r>
              <w:rPr>
                <w:rFonts w:hint="eastAsia" w:ascii="宋体" w:hAnsi="宋体" w:cs="宋体"/>
                <w:b/>
                <w:bCs/>
                <w:i w:val="0"/>
                <w:iCs w:val="0"/>
                <w:color w:val="auto"/>
                <w:kern w:val="0"/>
                <w:sz w:val="21"/>
                <w:szCs w:val="21"/>
                <w:highlight w:val="none"/>
                <w:u w:val="none"/>
                <w:lang w:val="en-US" w:eastAsia="zh-CN"/>
              </w:rPr>
              <w:t>品目</w:t>
            </w:r>
          </w:p>
        </w:tc>
        <w:tc>
          <w:tcPr>
            <w:tcW w:w="3424" w:type="dxa"/>
            <w:tcBorders>
              <w:tl2br w:val="nil"/>
              <w:tr2bl w:val="nil"/>
            </w:tcBorders>
            <w:vAlign w:val="center"/>
          </w:tcPr>
          <w:p w14:paraId="123DD267">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rPr>
              <w:t>技术参数要求</w:t>
            </w:r>
          </w:p>
        </w:tc>
      </w:tr>
      <w:tr w14:paraId="2F93B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691" w:type="dxa"/>
            <w:vMerge w:val="restart"/>
            <w:tcBorders>
              <w:tl2br w:val="nil"/>
              <w:tr2bl w:val="nil"/>
            </w:tcBorders>
            <w:vAlign w:val="center"/>
          </w:tcPr>
          <w:p w14:paraId="40D8EB2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w:t>
            </w:r>
          </w:p>
        </w:tc>
        <w:tc>
          <w:tcPr>
            <w:tcW w:w="2707" w:type="dxa"/>
            <w:vMerge w:val="restart"/>
            <w:tcBorders>
              <w:tl2br w:val="nil"/>
              <w:tr2bl w:val="nil"/>
            </w:tcBorders>
            <w:vAlign w:val="center"/>
          </w:tcPr>
          <w:p w14:paraId="1B32956E">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kern w:val="0"/>
                <w:sz w:val="21"/>
                <w:szCs w:val="21"/>
                <w:highlight w:val="none"/>
                <w:u w:val="none"/>
                <w:lang w:val="en-US" w:eastAsia="zh-CN"/>
              </w:rPr>
            </w:pPr>
            <w:r>
              <w:rPr>
                <w:rFonts w:hint="eastAsia" w:ascii="宋体" w:hAnsi="宋体" w:cs="宋体"/>
                <w:b w:val="0"/>
                <w:bCs w:val="0"/>
                <w:i w:val="0"/>
                <w:iCs w:val="0"/>
                <w:color w:val="auto"/>
                <w:kern w:val="0"/>
                <w:sz w:val="21"/>
                <w:szCs w:val="21"/>
                <w:highlight w:val="none"/>
                <w:u w:val="none"/>
                <w:lang w:val="en-US" w:eastAsia="zh-CN"/>
              </w:rPr>
              <w:t>业务应用系统</w:t>
            </w:r>
          </w:p>
        </w:tc>
        <w:tc>
          <w:tcPr>
            <w:tcW w:w="2921" w:type="dxa"/>
            <w:tcBorders>
              <w:tl2br w:val="nil"/>
              <w:tr2bl w:val="nil"/>
            </w:tcBorders>
            <w:vAlign w:val="center"/>
          </w:tcPr>
          <w:p w14:paraId="6C360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督考一体化综合集成</w:t>
            </w:r>
          </w:p>
        </w:tc>
        <w:tc>
          <w:tcPr>
            <w:tcW w:w="3424" w:type="dxa"/>
            <w:vMerge w:val="restart"/>
            <w:tcBorders>
              <w:tl2br w:val="nil"/>
              <w:tr2bl w:val="nil"/>
            </w:tcBorders>
            <w:vAlign w:val="center"/>
          </w:tcPr>
          <w:p w14:paraId="7E64227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详见</w:t>
            </w:r>
            <w:r>
              <w:rPr>
                <w:rFonts w:hint="eastAsia" w:ascii="宋体" w:hAnsi="宋体" w:cs="宋体"/>
                <w:b w:val="0"/>
                <w:bCs w:val="0"/>
                <w:i w:val="0"/>
                <w:iCs w:val="0"/>
                <w:color w:val="auto"/>
                <w:kern w:val="0"/>
                <w:sz w:val="21"/>
                <w:szCs w:val="21"/>
                <w:highlight w:val="none"/>
                <w:u w:val="none"/>
                <w:lang w:val="en-US" w:eastAsia="zh-CN"/>
              </w:rPr>
              <w:t>6.1业务应用系统建设详细技术要求</w:t>
            </w:r>
          </w:p>
        </w:tc>
      </w:tr>
      <w:tr w14:paraId="62A0C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691" w:type="dxa"/>
            <w:vMerge w:val="continue"/>
            <w:tcBorders>
              <w:tl2br w:val="nil"/>
              <w:tr2bl w:val="nil"/>
            </w:tcBorders>
            <w:vAlign w:val="center"/>
          </w:tcPr>
          <w:p w14:paraId="56447AE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c>
          <w:tcPr>
            <w:tcW w:w="2707" w:type="dxa"/>
            <w:vMerge w:val="continue"/>
            <w:tcBorders>
              <w:tl2br w:val="nil"/>
              <w:tr2bl w:val="nil"/>
            </w:tcBorders>
            <w:vAlign w:val="center"/>
          </w:tcPr>
          <w:p w14:paraId="5E6C1F1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c>
          <w:tcPr>
            <w:tcW w:w="2921" w:type="dxa"/>
            <w:tcBorders>
              <w:tl2br w:val="nil"/>
              <w:tr2bl w:val="nil"/>
            </w:tcBorders>
            <w:vAlign w:val="center"/>
          </w:tcPr>
          <w:p w14:paraId="74FE8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督考一体化综合展示</w:t>
            </w:r>
          </w:p>
        </w:tc>
        <w:tc>
          <w:tcPr>
            <w:tcW w:w="3424" w:type="dxa"/>
            <w:vMerge w:val="continue"/>
            <w:tcBorders>
              <w:tl2br w:val="nil"/>
              <w:tr2bl w:val="nil"/>
            </w:tcBorders>
            <w:vAlign w:val="center"/>
          </w:tcPr>
          <w:p w14:paraId="141F688F">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r>
      <w:tr w14:paraId="6759E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691" w:type="dxa"/>
            <w:vMerge w:val="continue"/>
            <w:tcBorders>
              <w:tl2br w:val="nil"/>
              <w:tr2bl w:val="nil"/>
            </w:tcBorders>
            <w:vAlign w:val="center"/>
          </w:tcPr>
          <w:p w14:paraId="5CC0911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c>
          <w:tcPr>
            <w:tcW w:w="2707" w:type="dxa"/>
            <w:vMerge w:val="continue"/>
            <w:tcBorders>
              <w:tl2br w:val="nil"/>
              <w:tr2bl w:val="nil"/>
            </w:tcBorders>
            <w:vAlign w:val="center"/>
          </w:tcPr>
          <w:p w14:paraId="472D21D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c>
          <w:tcPr>
            <w:tcW w:w="2921" w:type="dxa"/>
            <w:tcBorders>
              <w:tl2br w:val="nil"/>
              <w:tr2bl w:val="nil"/>
            </w:tcBorders>
            <w:vAlign w:val="center"/>
          </w:tcPr>
          <w:p w14:paraId="25F3F4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业务应用</w:t>
            </w:r>
          </w:p>
        </w:tc>
        <w:tc>
          <w:tcPr>
            <w:tcW w:w="3424" w:type="dxa"/>
            <w:vMerge w:val="continue"/>
            <w:tcBorders>
              <w:tl2br w:val="nil"/>
              <w:tr2bl w:val="nil"/>
            </w:tcBorders>
            <w:vAlign w:val="center"/>
          </w:tcPr>
          <w:p w14:paraId="474F3D5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r>
      <w:tr w14:paraId="2069C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691" w:type="dxa"/>
            <w:vMerge w:val="continue"/>
            <w:tcBorders>
              <w:tl2br w:val="nil"/>
              <w:tr2bl w:val="nil"/>
            </w:tcBorders>
            <w:vAlign w:val="center"/>
          </w:tcPr>
          <w:p w14:paraId="6A80CC0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c>
          <w:tcPr>
            <w:tcW w:w="2707" w:type="dxa"/>
            <w:vMerge w:val="continue"/>
            <w:tcBorders>
              <w:tl2br w:val="nil"/>
              <w:tr2bl w:val="nil"/>
            </w:tcBorders>
            <w:vAlign w:val="center"/>
          </w:tcPr>
          <w:p w14:paraId="4AD339A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c>
          <w:tcPr>
            <w:tcW w:w="2921" w:type="dxa"/>
            <w:tcBorders>
              <w:tl2br w:val="nil"/>
              <w:tr2bl w:val="nil"/>
            </w:tcBorders>
            <w:vAlign w:val="center"/>
          </w:tcPr>
          <w:p w14:paraId="32C488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浙政钉移动端（</w:t>
            </w:r>
            <w:r>
              <w:rPr>
                <w:rFonts w:hint="eastAsia" w:ascii="宋体" w:hAnsi="宋体" w:cs="宋体"/>
                <w:color w:val="auto"/>
                <w:kern w:val="0"/>
                <w:szCs w:val="21"/>
                <w:highlight w:val="none"/>
              </w:rPr>
              <w:t>督查任务签收功能等</w:t>
            </w:r>
            <w:r>
              <w:rPr>
                <w:rFonts w:hint="eastAsia" w:ascii="宋体" w:hAnsi="宋体" w:eastAsia="宋体" w:cs="宋体"/>
                <w:i w:val="0"/>
                <w:iCs w:val="0"/>
                <w:color w:val="auto"/>
                <w:kern w:val="0"/>
                <w:sz w:val="21"/>
                <w:szCs w:val="21"/>
                <w:highlight w:val="none"/>
                <w:u w:val="none"/>
                <w:lang w:val="en-US" w:eastAsia="zh-CN"/>
              </w:rPr>
              <w:t>）</w:t>
            </w:r>
          </w:p>
        </w:tc>
        <w:tc>
          <w:tcPr>
            <w:tcW w:w="3424" w:type="dxa"/>
            <w:vMerge w:val="continue"/>
            <w:tcBorders>
              <w:tl2br w:val="nil"/>
              <w:tr2bl w:val="nil"/>
            </w:tcBorders>
            <w:vAlign w:val="center"/>
          </w:tcPr>
          <w:p w14:paraId="4ED91D0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r>
      <w:tr w14:paraId="0D09B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691" w:type="dxa"/>
            <w:vMerge w:val="restart"/>
            <w:tcBorders>
              <w:tl2br w:val="nil"/>
              <w:tr2bl w:val="nil"/>
            </w:tcBorders>
            <w:vAlign w:val="center"/>
          </w:tcPr>
          <w:p w14:paraId="7B30144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w:t>
            </w:r>
          </w:p>
        </w:tc>
        <w:tc>
          <w:tcPr>
            <w:tcW w:w="2707" w:type="dxa"/>
            <w:vMerge w:val="restart"/>
            <w:tcBorders>
              <w:tl2br w:val="nil"/>
              <w:tr2bl w:val="nil"/>
            </w:tcBorders>
            <w:vAlign w:val="center"/>
          </w:tcPr>
          <w:p w14:paraId="322E37AC">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应用支撑系统</w:t>
            </w:r>
          </w:p>
        </w:tc>
        <w:tc>
          <w:tcPr>
            <w:tcW w:w="2921" w:type="dxa"/>
            <w:tcBorders>
              <w:tl2br w:val="nil"/>
              <w:tr2bl w:val="nil"/>
            </w:tcBorders>
            <w:vAlign w:val="center"/>
          </w:tcPr>
          <w:p w14:paraId="7FA8E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督考应用支撑</w:t>
            </w:r>
          </w:p>
        </w:tc>
        <w:tc>
          <w:tcPr>
            <w:tcW w:w="3424" w:type="dxa"/>
            <w:vMerge w:val="restart"/>
            <w:tcBorders>
              <w:tl2br w:val="nil"/>
              <w:tr2bl w:val="nil"/>
            </w:tcBorders>
            <w:vAlign w:val="center"/>
          </w:tcPr>
          <w:p w14:paraId="548D490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详见6.2</w:t>
            </w:r>
            <w:r>
              <w:rPr>
                <w:rFonts w:hint="eastAsia" w:ascii="宋体" w:hAnsi="宋体" w:cs="宋体"/>
                <w:b w:val="0"/>
                <w:bCs w:val="0"/>
                <w:i w:val="0"/>
                <w:iCs w:val="0"/>
                <w:color w:val="auto"/>
                <w:kern w:val="0"/>
                <w:sz w:val="21"/>
                <w:szCs w:val="21"/>
                <w:highlight w:val="none"/>
                <w:u w:val="none"/>
                <w:lang w:val="en-US" w:eastAsia="zh-CN"/>
              </w:rPr>
              <w:t>应用支撑系统建设详细技术要求</w:t>
            </w:r>
          </w:p>
        </w:tc>
      </w:tr>
      <w:tr w14:paraId="374FA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691" w:type="dxa"/>
            <w:vMerge w:val="continue"/>
            <w:tcBorders>
              <w:tl2br w:val="nil"/>
              <w:tr2bl w:val="nil"/>
            </w:tcBorders>
            <w:vAlign w:val="center"/>
          </w:tcPr>
          <w:p w14:paraId="0369FDE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c>
          <w:tcPr>
            <w:tcW w:w="2707" w:type="dxa"/>
            <w:vMerge w:val="continue"/>
            <w:tcBorders>
              <w:tl2br w:val="nil"/>
              <w:tr2bl w:val="nil"/>
            </w:tcBorders>
            <w:vAlign w:val="center"/>
          </w:tcPr>
          <w:p w14:paraId="49810DA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c>
          <w:tcPr>
            <w:tcW w:w="2921" w:type="dxa"/>
            <w:tcBorders>
              <w:tl2br w:val="nil"/>
              <w:tr2bl w:val="nil"/>
            </w:tcBorders>
            <w:vAlign w:val="center"/>
          </w:tcPr>
          <w:p w14:paraId="60CB4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智能辅助分析</w:t>
            </w:r>
          </w:p>
        </w:tc>
        <w:tc>
          <w:tcPr>
            <w:tcW w:w="3424" w:type="dxa"/>
            <w:vMerge w:val="continue"/>
            <w:tcBorders>
              <w:tl2br w:val="nil"/>
              <w:tr2bl w:val="nil"/>
            </w:tcBorders>
            <w:vAlign w:val="center"/>
          </w:tcPr>
          <w:p w14:paraId="11D3331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r>
      <w:tr w14:paraId="7629D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691" w:type="dxa"/>
            <w:vMerge w:val="restart"/>
            <w:tcBorders>
              <w:tl2br w:val="nil"/>
              <w:tr2bl w:val="nil"/>
            </w:tcBorders>
            <w:vAlign w:val="center"/>
          </w:tcPr>
          <w:p w14:paraId="5075F2E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3</w:t>
            </w:r>
          </w:p>
        </w:tc>
        <w:tc>
          <w:tcPr>
            <w:tcW w:w="2707" w:type="dxa"/>
            <w:vMerge w:val="restart"/>
            <w:tcBorders>
              <w:tl2br w:val="nil"/>
              <w:tr2bl w:val="nil"/>
            </w:tcBorders>
            <w:vAlign w:val="center"/>
          </w:tcPr>
          <w:p w14:paraId="2A99574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数据资源建设</w:t>
            </w:r>
          </w:p>
        </w:tc>
        <w:tc>
          <w:tcPr>
            <w:tcW w:w="2921" w:type="dxa"/>
            <w:tcBorders>
              <w:tl2br w:val="nil"/>
              <w:tr2bl w:val="nil"/>
            </w:tcBorders>
            <w:vAlign w:val="center"/>
          </w:tcPr>
          <w:p w14:paraId="786E5D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数据采集服务</w:t>
            </w:r>
          </w:p>
        </w:tc>
        <w:tc>
          <w:tcPr>
            <w:tcW w:w="3424" w:type="dxa"/>
            <w:vMerge w:val="restart"/>
            <w:tcBorders>
              <w:tl2br w:val="nil"/>
              <w:tr2bl w:val="nil"/>
            </w:tcBorders>
            <w:vAlign w:val="center"/>
          </w:tcPr>
          <w:p w14:paraId="59D430E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详见6.3数据资源建设详细技术要求</w:t>
            </w:r>
          </w:p>
        </w:tc>
      </w:tr>
      <w:tr w14:paraId="5B4AD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691" w:type="dxa"/>
            <w:vMerge w:val="continue"/>
            <w:tcBorders>
              <w:tl2br w:val="nil"/>
              <w:tr2bl w:val="nil"/>
            </w:tcBorders>
            <w:vAlign w:val="center"/>
          </w:tcPr>
          <w:p w14:paraId="3A8EA48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c>
          <w:tcPr>
            <w:tcW w:w="2707" w:type="dxa"/>
            <w:vMerge w:val="continue"/>
            <w:tcBorders>
              <w:tl2br w:val="nil"/>
              <w:tr2bl w:val="nil"/>
            </w:tcBorders>
            <w:vAlign w:val="center"/>
          </w:tcPr>
          <w:p w14:paraId="0C4C6FC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c>
          <w:tcPr>
            <w:tcW w:w="2921" w:type="dxa"/>
            <w:tcBorders>
              <w:tl2br w:val="nil"/>
              <w:tr2bl w:val="nil"/>
            </w:tcBorders>
            <w:vAlign w:val="center"/>
          </w:tcPr>
          <w:p w14:paraId="672452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数据治理服务</w:t>
            </w:r>
          </w:p>
        </w:tc>
        <w:tc>
          <w:tcPr>
            <w:tcW w:w="3424" w:type="dxa"/>
            <w:vMerge w:val="continue"/>
            <w:tcBorders>
              <w:tl2br w:val="nil"/>
              <w:tr2bl w:val="nil"/>
            </w:tcBorders>
            <w:vAlign w:val="center"/>
          </w:tcPr>
          <w:p w14:paraId="4129831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r>
      <w:tr w14:paraId="433F7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691" w:type="dxa"/>
            <w:vMerge w:val="continue"/>
            <w:tcBorders>
              <w:tl2br w:val="nil"/>
              <w:tr2bl w:val="nil"/>
            </w:tcBorders>
            <w:vAlign w:val="center"/>
          </w:tcPr>
          <w:p w14:paraId="7973E6E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c>
          <w:tcPr>
            <w:tcW w:w="2707" w:type="dxa"/>
            <w:vMerge w:val="continue"/>
            <w:tcBorders>
              <w:tl2br w:val="nil"/>
              <w:tr2bl w:val="nil"/>
            </w:tcBorders>
            <w:vAlign w:val="center"/>
          </w:tcPr>
          <w:p w14:paraId="300C657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c>
          <w:tcPr>
            <w:tcW w:w="2921" w:type="dxa"/>
            <w:tcBorders>
              <w:tl2br w:val="nil"/>
              <w:tr2bl w:val="nil"/>
            </w:tcBorders>
            <w:vAlign w:val="center"/>
          </w:tcPr>
          <w:p w14:paraId="78A89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数据安全管理</w:t>
            </w:r>
          </w:p>
        </w:tc>
        <w:tc>
          <w:tcPr>
            <w:tcW w:w="3424" w:type="dxa"/>
            <w:vMerge w:val="continue"/>
            <w:tcBorders>
              <w:tl2br w:val="nil"/>
              <w:tr2bl w:val="nil"/>
            </w:tcBorders>
            <w:vAlign w:val="center"/>
          </w:tcPr>
          <w:p w14:paraId="6A1FEA6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r>
      <w:tr w14:paraId="0036A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691" w:type="dxa"/>
            <w:vMerge w:val="continue"/>
            <w:tcBorders>
              <w:tl2br w:val="nil"/>
              <w:tr2bl w:val="nil"/>
            </w:tcBorders>
            <w:vAlign w:val="center"/>
          </w:tcPr>
          <w:p w14:paraId="7AE4728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c>
          <w:tcPr>
            <w:tcW w:w="2707" w:type="dxa"/>
            <w:vMerge w:val="continue"/>
            <w:tcBorders>
              <w:tl2br w:val="nil"/>
              <w:tr2bl w:val="nil"/>
            </w:tcBorders>
            <w:vAlign w:val="center"/>
          </w:tcPr>
          <w:p w14:paraId="7DCB6BF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c>
          <w:tcPr>
            <w:tcW w:w="2921" w:type="dxa"/>
            <w:tcBorders>
              <w:tl2br w:val="nil"/>
              <w:tr2bl w:val="nil"/>
            </w:tcBorders>
            <w:vAlign w:val="center"/>
          </w:tcPr>
          <w:p w14:paraId="66276C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数据仓建设</w:t>
            </w:r>
          </w:p>
        </w:tc>
        <w:tc>
          <w:tcPr>
            <w:tcW w:w="3424" w:type="dxa"/>
            <w:vMerge w:val="continue"/>
            <w:tcBorders>
              <w:tl2br w:val="nil"/>
              <w:tr2bl w:val="nil"/>
            </w:tcBorders>
            <w:vAlign w:val="center"/>
          </w:tcPr>
          <w:p w14:paraId="3863148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p>
        </w:tc>
      </w:tr>
      <w:tr w14:paraId="75C08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691" w:type="dxa"/>
            <w:tcBorders>
              <w:tl2br w:val="nil"/>
              <w:tr2bl w:val="nil"/>
            </w:tcBorders>
            <w:vAlign w:val="center"/>
          </w:tcPr>
          <w:p w14:paraId="218FB406">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kern w:val="0"/>
                <w:sz w:val="21"/>
                <w:szCs w:val="21"/>
                <w:highlight w:val="none"/>
                <w:u w:val="none"/>
                <w:lang w:val="en-US" w:eastAsia="zh-CN"/>
              </w:rPr>
            </w:pPr>
            <w:r>
              <w:rPr>
                <w:rFonts w:hint="eastAsia" w:ascii="宋体" w:hAnsi="宋体" w:cs="宋体"/>
                <w:b w:val="0"/>
                <w:bCs w:val="0"/>
                <w:i w:val="0"/>
                <w:iCs w:val="0"/>
                <w:color w:val="auto"/>
                <w:kern w:val="0"/>
                <w:sz w:val="21"/>
                <w:szCs w:val="21"/>
                <w:highlight w:val="none"/>
                <w:u w:val="none"/>
                <w:lang w:val="en-US" w:eastAsia="zh-CN"/>
              </w:rPr>
              <w:t>4</w:t>
            </w:r>
          </w:p>
        </w:tc>
        <w:tc>
          <w:tcPr>
            <w:tcW w:w="2707" w:type="dxa"/>
            <w:tcBorders>
              <w:tl2br w:val="nil"/>
              <w:tr2bl w:val="nil"/>
            </w:tcBorders>
            <w:vAlign w:val="center"/>
          </w:tcPr>
          <w:p w14:paraId="74AB7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基础设施建设</w:t>
            </w:r>
          </w:p>
        </w:tc>
        <w:tc>
          <w:tcPr>
            <w:tcW w:w="2921" w:type="dxa"/>
            <w:tcBorders>
              <w:tl2br w:val="nil"/>
              <w:tr2bl w:val="nil"/>
            </w:tcBorders>
            <w:vAlign w:val="center"/>
          </w:tcPr>
          <w:p w14:paraId="0CCA9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国产化基础软件采购</w:t>
            </w:r>
          </w:p>
        </w:tc>
        <w:tc>
          <w:tcPr>
            <w:tcW w:w="3424" w:type="dxa"/>
            <w:tcBorders>
              <w:tl2br w:val="nil"/>
              <w:tr2bl w:val="nil"/>
            </w:tcBorders>
            <w:vAlign w:val="center"/>
          </w:tcPr>
          <w:p w14:paraId="072FD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详见6.4基础设施建设详细技术要求</w:t>
            </w:r>
          </w:p>
        </w:tc>
      </w:tr>
      <w:tr w14:paraId="6E5C6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7" w:hRule="atLeast"/>
        </w:trPr>
        <w:tc>
          <w:tcPr>
            <w:tcW w:w="691" w:type="dxa"/>
            <w:vMerge w:val="restart"/>
            <w:tcBorders>
              <w:tl2br w:val="nil"/>
              <w:tr2bl w:val="nil"/>
            </w:tcBorders>
            <w:vAlign w:val="center"/>
          </w:tcPr>
          <w:p w14:paraId="343C005D">
            <w:pPr>
              <w:keepNext w:val="0"/>
              <w:keepLines w:val="0"/>
              <w:widowControl/>
              <w:suppressLineNumbers w:val="0"/>
              <w:spacing w:line="240" w:lineRule="auto"/>
              <w:jc w:val="center"/>
              <w:textAlignment w:val="center"/>
              <w:rPr>
                <w:rFonts w:hint="default" w:ascii="宋体" w:hAnsi="宋体" w:cs="宋体"/>
                <w:b w:val="0"/>
                <w:bCs w:val="0"/>
                <w:i w:val="0"/>
                <w:iCs w:val="0"/>
                <w:color w:val="auto"/>
                <w:kern w:val="0"/>
                <w:sz w:val="21"/>
                <w:szCs w:val="21"/>
                <w:highlight w:val="none"/>
                <w:u w:val="none"/>
                <w:lang w:val="en-US" w:eastAsia="zh-CN"/>
              </w:rPr>
            </w:pPr>
            <w:r>
              <w:rPr>
                <w:rFonts w:hint="eastAsia" w:ascii="宋体" w:hAnsi="宋体" w:cs="宋体"/>
                <w:b w:val="0"/>
                <w:bCs w:val="0"/>
                <w:i w:val="0"/>
                <w:iCs w:val="0"/>
                <w:color w:val="auto"/>
                <w:kern w:val="0"/>
                <w:sz w:val="21"/>
                <w:szCs w:val="21"/>
                <w:highlight w:val="none"/>
                <w:u w:val="none"/>
                <w:lang w:val="en-US" w:eastAsia="zh-CN"/>
              </w:rPr>
              <w:t>5</w:t>
            </w:r>
          </w:p>
        </w:tc>
        <w:tc>
          <w:tcPr>
            <w:tcW w:w="2707" w:type="dxa"/>
            <w:vMerge w:val="restart"/>
            <w:tcBorders>
              <w:tl2br w:val="nil"/>
              <w:tr2bl w:val="nil"/>
            </w:tcBorders>
            <w:vAlign w:val="center"/>
          </w:tcPr>
          <w:p w14:paraId="63E5F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安全等级要求</w:t>
            </w:r>
          </w:p>
        </w:tc>
        <w:tc>
          <w:tcPr>
            <w:tcW w:w="2921" w:type="dxa"/>
            <w:tcBorders>
              <w:tl2br w:val="nil"/>
              <w:tr2bl w:val="nil"/>
            </w:tcBorders>
            <w:vAlign w:val="center"/>
          </w:tcPr>
          <w:p w14:paraId="54366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等保二级</w:t>
            </w:r>
            <w:r>
              <w:rPr>
                <w:rFonts w:hint="eastAsia" w:ascii="宋体" w:hAnsi="宋体" w:eastAsia="宋体" w:cs="宋体"/>
                <w:i w:val="0"/>
                <w:iCs w:val="0"/>
                <w:color w:val="auto"/>
                <w:kern w:val="0"/>
                <w:sz w:val="21"/>
                <w:szCs w:val="21"/>
                <w:highlight w:val="none"/>
                <w:u w:val="none"/>
                <w:lang w:val="en-US" w:eastAsia="zh-CN"/>
              </w:rPr>
              <w:t>测评</w:t>
            </w:r>
          </w:p>
        </w:tc>
        <w:tc>
          <w:tcPr>
            <w:tcW w:w="3424" w:type="dxa"/>
            <w:vMerge w:val="restart"/>
            <w:tcBorders>
              <w:tl2br w:val="nil"/>
              <w:tr2bl w:val="nil"/>
            </w:tcBorders>
            <w:vAlign w:val="center"/>
          </w:tcPr>
          <w:p w14:paraId="00236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详见6.5</w:t>
            </w:r>
            <w:r>
              <w:rPr>
                <w:rFonts w:hint="eastAsia" w:ascii="宋体" w:hAnsi="宋体" w:cs="宋体"/>
                <w:i w:val="0"/>
                <w:iCs w:val="0"/>
                <w:color w:val="auto"/>
                <w:kern w:val="0"/>
                <w:sz w:val="21"/>
                <w:szCs w:val="21"/>
                <w:highlight w:val="none"/>
                <w:u w:val="none"/>
                <w:lang w:val="en-US" w:eastAsia="zh-CN"/>
              </w:rPr>
              <w:t>安全等级要求</w:t>
            </w:r>
          </w:p>
        </w:tc>
      </w:tr>
      <w:tr w14:paraId="5D56F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7" w:hRule="atLeast"/>
        </w:trPr>
        <w:tc>
          <w:tcPr>
            <w:tcW w:w="691" w:type="dxa"/>
            <w:vMerge w:val="continue"/>
            <w:tcBorders>
              <w:tl2br w:val="nil"/>
              <w:tr2bl w:val="nil"/>
            </w:tcBorders>
            <w:vAlign w:val="center"/>
          </w:tcPr>
          <w:p w14:paraId="686B6EB8">
            <w:pPr>
              <w:keepNext w:val="0"/>
              <w:keepLines w:val="0"/>
              <w:widowControl/>
              <w:suppressLineNumbers w:val="0"/>
              <w:spacing w:line="240" w:lineRule="auto"/>
              <w:jc w:val="center"/>
              <w:textAlignment w:val="center"/>
              <w:rPr>
                <w:rFonts w:hint="eastAsia" w:ascii="宋体" w:hAnsi="宋体" w:cs="宋体"/>
                <w:b w:val="0"/>
                <w:bCs w:val="0"/>
                <w:i w:val="0"/>
                <w:iCs w:val="0"/>
                <w:color w:val="auto"/>
                <w:kern w:val="0"/>
                <w:sz w:val="21"/>
                <w:szCs w:val="21"/>
                <w:highlight w:val="none"/>
                <w:u w:val="none"/>
                <w:lang w:val="en-US" w:eastAsia="zh-CN"/>
              </w:rPr>
            </w:pPr>
          </w:p>
        </w:tc>
        <w:tc>
          <w:tcPr>
            <w:tcW w:w="2707" w:type="dxa"/>
            <w:vMerge w:val="continue"/>
            <w:tcBorders>
              <w:tl2br w:val="nil"/>
              <w:tr2bl w:val="nil"/>
            </w:tcBorders>
            <w:vAlign w:val="center"/>
          </w:tcPr>
          <w:p w14:paraId="01DBA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rPr>
            </w:pPr>
          </w:p>
        </w:tc>
        <w:tc>
          <w:tcPr>
            <w:tcW w:w="2921" w:type="dxa"/>
            <w:tcBorders>
              <w:tl2br w:val="nil"/>
              <w:tr2bl w:val="nil"/>
            </w:tcBorders>
            <w:vAlign w:val="center"/>
          </w:tcPr>
          <w:p w14:paraId="01A0F5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系统测评</w:t>
            </w:r>
          </w:p>
        </w:tc>
        <w:tc>
          <w:tcPr>
            <w:tcW w:w="3424" w:type="dxa"/>
            <w:vMerge w:val="continue"/>
            <w:tcBorders>
              <w:tl2br w:val="nil"/>
              <w:tr2bl w:val="nil"/>
            </w:tcBorders>
            <w:vAlign w:val="center"/>
          </w:tcPr>
          <w:p w14:paraId="10327E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rPr>
            </w:pPr>
          </w:p>
        </w:tc>
      </w:tr>
      <w:tr w14:paraId="14589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7" w:hRule="atLeast"/>
        </w:trPr>
        <w:tc>
          <w:tcPr>
            <w:tcW w:w="691" w:type="dxa"/>
            <w:vMerge w:val="continue"/>
            <w:tcBorders>
              <w:tl2br w:val="nil"/>
              <w:tr2bl w:val="nil"/>
            </w:tcBorders>
            <w:vAlign w:val="center"/>
          </w:tcPr>
          <w:p w14:paraId="33289D40">
            <w:pPr>
              <w:keepNext w:val="0"/>
              <w:keepLines w:val="0"/>
              <w:widowControl/>
              <w:suppressLineNumbers w:val="0"/>
              <w:spacing w:line="240" w:lineRule="auto"/>
              <w:jc w:val="center"/>
              <w:textAlignment w:val="center"/>
              <w:rPr>
                <w:rFonts w:hint="eastAsia" w:ascii="宋体" w:hAnsi="宋体" w:cs="宋体"/>
                <w:b w:val="0"/>
                <w:bCs w:val="0"/>
                <w:i w:val="0"/>
                <w:iCs w:val="0"/>
                <w:color w:val="auto"/>
                <w:kern w:val="0"/>
                <w:sz w:val="21"/>
                <w:szCs w:val="21"/>
                <w:highlight w:val="none"/>
                <w:u w:val="none"/>
                <w:lang w:val="en-US" w:eastAsia="zh-CN"/>
              </w:rPr>
            </w:pPr>
          </w:p>
        </w:tc>
        <w:tc>
          <w:tcPr>
            <w:tcW w:w="2707" w:type="dxa"/>
            <w:vMerge w:val="continue"/>
            <w:tcBorders>
              <w:tl2br w:val="nil"/>
              <w:tr2bl w:val="nil"/>
            </w:tcBorders>
            <w:vAlign w:val="center"/>
          </w:tcPr>
          <w:p w14:paraId="627E1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rPr>
            </w:pPr>
          </w:p>
        </w:tc>
        <w:tc>
          <w:tcPr>
            <w:tcW w:w="2921" w:type="dxa"/>
            <w:tcBorders>
              <w:tl2br w:val="nil"/>
              <w:tr2bl w:val="nil"/>
            </w:tcBorders>
            <w:vAlign w:val="center"/>
          </w:tcPr>
          <w:p w14:paraId="31977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代码测评</w:t>
            </w:r>
          </w:p>
        </w:tc>
        <w:tc>
          <w:tcPr>
            <w:tcW w:w="3424" w:type="dxa"/>
            <w:vMerge w:val="continue"/>
            <w:tcBorders>
              <w:tl2br w:val="nil"/>
              <w:tr2bl w:val="nil"/>
            </w:tcBorders>
            <w:vAlign w:val="center"/>
          </w:tcPr>
          <w:p w14:paraId="1E8693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rPr>
            </w:pPr>
          </w:p>
        </w:tc>
      </w:tr>
    </w:tbl>
    <w:p w14:paraId="48796ECA">
      <w:pPr>
        <w:keepNext w:val="0"/>
        <w:keepLines w:val="0"/>
        <w:pageBreakBefore w:val="0"/>
        <w:widowControl w:val="0"/>
        <w:wordWrap/>
        <w:topLinePunct w:val="0"/>
        <w:bidi w:val="0"/>
        <w:adjustRightInd w:val="0"/>
        <w:snapToGrid w:val="0"/>
        <w:spacing w:line="360" w:lineRule="auto"/>
        <w:ind w:left="0" w:leftChars="0" w:firstLine="482"/>
        <w:jc w:val="both"/>
        <w:textAlignment w:val="auto"/>
        <w:rPr>
          <w:rFonts w:hint="eastAsia" w:ascii="宋体" w:hAnsi="宋体" w:cs="宋体"/>
          <w:b/>
          <w:color w:val="auto"/>
          <w:sz w:val="24"/>
          <w:szCs w:val="24"/>
          <w:highlight w:val="none"/>
          <w:lang w:val="en-US" w:eastAsia="zh-CN"/>
        </w:rPr>
      </w:pPr>
    </w:p>
    <w:p w14:paraId="79EC67D1">
      <w:pPr>
        <w:keepNext w:val="0"/>
        <w:keepLines w:val="0"/>
        <w:pageBreakBefore w:val="0"/>
        <w:widowControl w:val="0"/>
        <w:numPr>
          <w:ilvl w:val="0"/>
          <w:numId w:val="3"/>
        </w:numPr>
        <w:wordWrap/>
        <w:topLinePunct w:val="0"/>
        <w:bidi w:val="0"/>
        <w:adjustRightInd w:val="0"/>
        <w:snapToGrid w:val="0"/>
        <w:spacing w:line="360" w:lineRule="auto"/>
        <w:ind w:left="0" w:leftChars="0" w:firstLine="482" w:firstLineChars="0"/>
        <w:jc w:val="both"/>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系统功能及详细技术要求</w:t>
      </w:r>
    </w:p>
    <w:p w14:paraId="17E5A39A">
      <w:pPr>
        <w:keepNext w:val="0"/>
        <w:keepLines w:val="0"/>
        <w:pageBreakBefore w:val="0"/>
        <w:widowControl w:val="0"/>
        <w:numPr>
          <w:ilvl w:val="0"/>
          <w:numId w:val="0"/>
        </w:numPr>
        <w:wordWrap/>
        <w:topLinePunct w:val="0"/>
        <w:bidi w:val="0"/>
        <w:adjustRightInd w:val="0"/>
        <w:snapToGrid w:val="0"/>
        <w:spacing w:line="360" w:lineRule="auto"/>
        <w:ind w:left="480" w:left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6.1业务应用系统建设详细技术要求</w:t>
      </w:r>
    </w:p>
    <w:tbl>
      <w:tblPr>
        <w:tblStyle w:val="65"/>
        <w:tblW w:w="987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51"/>
        <w:gridCol w:w="517"/>
        <w:gridCol w:w="833"/>
        <w:gridCol w:w="817"/>
        <w:gridCol w:w="794"/>
        <w:gridCol w:w="959"/>
        <w:gridCol w:w="5405"/>
      </w:tblGrid>
      <w:tr w14:paraId="45FFC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08" w:hRule="atLeast"/>
        </w:trPr>
        <w:tc>
          <w:tcPr>
            <w:tcW w:w="551" w:type="dxa"/>
            <w:tcBorders>
              <w:tl2br w:val="nil"/>
              <w:tr2bl w:val="nil"/>
            </w:tcBorders>
            <w:shd w:val="clear" w:color="auto" w:fill="auto"/>
            <w:vAlign w:val="center"/>
          </w:tcPr>
          <w:p w14:paraId="64ACA2FD">
            <w:pPr>
              <w:widowControl/>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2961" w:type="dxa"/>
            <w:gridSpan w:val="4"/>
            <w:tcBorders>
              <w:tl2br w:val="nil"/>
              <w:tr2bl w:val="nil"/>
            </w:tcBorders>
            <w:shd w:val="clear" w:color="auto" w:fill="auto"/>
            <w:vAlign w:val="center"/>
          </w:tcPr>
          <w:p w14:paraId="01979B89">
            <w:pPr>
              <w:widowControl/>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功能模块</w:t>
            </w:r>
          </w:p>
        </w:tc>
        <w:tc>
          <w:tcPr>
            <w:tcW w:w="6364" w:type="dxa"/>
            <w:gridSpan w:val="2"/>
            <w:tcBorders>
              <w:tl2br w:val="nil"/>
              <w:tr2bl w:val="nil"/>
            </w:tcBorders>
            <w:shd w:val="clear" w:color="auto" w:fill="auto"/>
            <w:vAlign w:val="center"/>
          </w:tcPr>
          <w:p w14:paraId="29A38828">
            <w:pPr>
              <w:widowControl/>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功能描述</w:t>
            </w:r>
          </w:p>
        </w:tc>
      </w:tr>
      <w:tr w14:paraId="767CE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40" w:hRule="atLeast"/>
        </w:trPr>
        <w:tc>
          <w:tcPr>
            <w:tcW w:w="551" w:type="dxa"/>
            <w:vMerge w:val="restart"/>
            <w:tcBorders>
              <w:tl2br w:val="nil"/>
              <w:tr2bl w:val="nil"/>
            </w:tcBorders>
            <w:shd w:val="clear" w:color="auto" w:fill="auto"/>
            <w:vAlign w:val="center"/>
          </w:tcPr>
          <w:p w14:paraId="417E3E7D">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17" w:type="dxa"/>
            <w:vMerge w:val="restart"/>
            <w:tcBorders>
              <w:tl2br w:val="nil"/>
              <w:tr2bl w:val="nil"/>
            </w:tcBorders>
            <w:vAlign w:val="center"/>
          </w:tcPr>
          <w:p w14:paraId="2AA4EA7D">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督考一体化综合</w:t>
            </w:r>
            <w:r>
              <w:rPr>
                <w:rFonts w:hint="eastAsia" w:ascii="宋体" w:hAnsi="宋体" w:eastAsia="宋体" w:cs="宋体"/>
                <w:color w:val="auto"/>
                <w:kern w:val="0"/>
                <w:szCs w:val="21"/>
                <w:highlight w:val="none"/>
                <w:lang w:val="en-US" w:eastAsia="zh-CN"/>
              </w:rPr>
              <w:t>集成</w:t>
            </w:r>
          </w:p>
        </w:tc>
        <w:tc>
          <w:tcPr>
            <w:tcW w:w="833" w:type="dxa"/>
            <w:vMerge w:val="restart"/>
            <w:tcBorders>
              <w:tl2br w:val="nil"/>
              <w:tr2bl w:val="nil"/>
            </w:tcBorders>
            <w:shd w:val="clear" w:color="auto" w:fill="auto"/>
            <w:vAlign w:val="center"/>
          </w:tcPr>
          <w:p w14:paraId="37DA3BD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集成工作台</w:t>
            </w:r>
          </w:p>
        </w:tc>
        <w:tc>
          <w:tcPr>
            <w:tcW w:w="1611" w:type="dxa"/>
            <w:gridSpan w:val="2"/>
            <w:tcBorders>
              <w:tl2br w:val="nil"/>
              <w:tr2bl w:val="nil"/>
            </w:tcBorders>
            <w:shd w:val="clear" w:color="auto" w:fill="auto"/>
            <w:vAlign w:val="center"/>
          </w:tcPr>
          <w:p w14:paraId="196F755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系统入口</w:t>
            </w:r>
          </w:p>
        </w:tc>
        <w:tc>
          <w:tcPr>
            <w:tcW w:w="6364" w:type="dxa"/>
            <w:gridSpan w:val="2"/>
            <w:tcBorders>
              <w:tl2br w:val="nil"/>
              <w:tr2bl w:val="nil"/>
            </w:tcBorders>
            <w:shd w:val="clear" w:color="auto" w:fill="auto"/>
            <w:vAlign w:val="center"/>
          </w:tcPr>
          <w:p w14:paraId="216008F6">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采用浙政钉用户体系，根据区里要求做不同的内容展示。</w:t>
            </w:r>
          </w:p>
          <w:p w14:paraId="097166F2">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根据不同角色权限展示不同内容，督考中心角色包含系统入口、督查任务、批（指）示件和综合考核，责任单位包含系统入口、督查任务、批（指）示件、综合考核和办理中/已办结事项。</w:t>
            </w:r>
          </w:p>
        </w:tc>
      </w:tr>
      <w:tr w14:paraId="67D5D3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7" w:hRule="atLeast"/>
        </w:trPr>
        <w:tc>
          <w:tcPr>
            <w:tcW w:w="551" w:type="dxa"/>
            <w:vMerge w:val="continue"/>
            <w:tcBorders>
              <w:tl2br w:val="nil"/>
              <w:tr2bl w:val="nil"/>
            </w:tcBorders>
            <w:shd w:val="clear" w:color="auto" w:fill="auto"/>
            <w:vAlign w:val="center"/>
          </w:tcPr>
          <w:p w14:paraId="75660907">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023C37E2">
            <w:pPr>
              <w:widowControl/>
              <w:jc w:val="center"/>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6B77D5E9">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37DF24E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督查任务</w:t>
            </w:r>
          </w:p>
        </w:tc>
        <w:tc>
          <w:tcPr>
            <w:tcW w:w="6364" w:type="dxa"/>
            <w:gridSpan w:val="2"/>
            <w:tcBorders>
              <w:tl2br w:val="nil"/>
              <w:tr2bl w:val="nil"/>
            </w:tcBorders>
            <w:shd w:val="clear" w:color="auto" w:fill="auto"/>
            <w:vAlign w:val="center"/>
          </w:tcPr>
          <w:p w14:paraId="1D32A286">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督考中心角色</w:t>
            </w:r>
          </w:p>
          <w:p w14:paraId="0FA19868">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所有单位的领导批示、决策督查、专项督查、建议提案和民生实事业务的办件总量、办理中、办结数、办结率、红黄灯预警数、督查发现问题数、销号率、满意度和不满意率。办件量排名按照单位类型展示各单位的办件总数、黄灯数、红灯数、滞后件和综合评价得分，支持二级页面详情列表的查看。</w:t>
            </w:r>
          </w:p>
          <w:p w14:paraId="0B3E36F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责任单位角色</w:t>
            </w:r>
          </w:p>
          <w:p w14:paraId="5769541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仅展示本单位的各业务数据。</w:t>
            </w:r>
          </w:p>
        </w:tc>
      </w:tr>
      <w:tr w14:paraId="3CC1D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6E4FF686">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28E4F73A">
            <w:pPr>
              <w:widowControl/>
              <w:jc w:val="center"/>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41410FA1">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2CCC4F9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批（指）示件</w:t>
            </w:r>
          </w:p>
          <w:p w14:paraId="7D3AF95D">
            <w:pPr>
              <w:widowControl/>
              <w:jc w:val="center"/>
              <w:rPr>
                <w:rFonts w:ascii="宋体" w:hAnsi="宋体" w:eastAsia="宋体" w:cs="宋体"/>
                <w:color w:val="auto"/>
                <w:kern w:val="0"/>
                <w:szCs w:val="21"/>
                <w:highlight w:val="none"/>
              </w:rPr>
            </w:pPr>
          </w:p>
        </w:tc>
        <w:tc>
          <w:tcPr>
            <w:tcW w:w="6364" w:type="dxa"/>
            <w:gridSpan w:val="2"/>
            <w:tcBorders>
              <w:tl2br w:val="nil"/>
              <w:tr2bl w:val="nil"/>
            </w:tcBorders>
            <w:shd w:val="clear" w:color="auto" w:fill="auto"/>
            <w:vAlign w:val="center"/>
          </w:tcPr>
          <w:p w14:paraId="33A85D31">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督考中心角色</w:t>
            </w:r>
          </w:p>
          <w:p w14:paraId="3A0E28A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批（指）示件模块展示所有单位区委和区政府主要领导的批示件签收、办理情况、综合得分情况、批示通报展示及红黄灯预警统计图标，支持二级页面详情列表的查看。</w:t>
            </w:r>
          </w:p>
          <w:p w14:paraId="565F54E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责任单位角色</w:t>
            </w:r>
          </w:p>
          <w:p w14:paraId="3C61E93B">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展示本单位区委和区政府主要领导的批示件签收、办理情况、综合得分以及排名情况。</w:t>
            </w:r>
          </w:p>
        </w:tc>
      </w:tr>
      <w:tr w14:paraId="657C7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14B07C10">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34C51551">
            <w:pPr>
              <w:widowControl/>
              <w:jc w:val="center"/>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3F35C2E0">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2C6CB98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综合考核</w:t>
            </w:r>
          </w:p>
        </w:tc>
        <w:tc>
          <w:tcPr>
            <w:tcW w:w="6364" w:type="dxa"/>
            <w:gridSpan w:val="2"/>
            <w:tcBorders>
              <w:tl2br w:val="nil"/>
              <w:tr2bl w:val="nil"/>
            </w:tcBorders>
            <w:shd w:val="clear" w:color="auto" w:fill="auto"/>
            <w:vAlign w:val="center"/>
          </w:tcPr>
          <w:p w14:paraId="2A7270E2">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督考中心角色</w:t>
            </w:r>
          </w:p>
          <w:p w14:paraId="45DD7F2A">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展示综合考核所有的指标总览、动态指标监测（月度晾晒、季度考评、半年评估、年终考核）情况和七创争先排名情况，支持二级页面详情列表的查看。</w:t>
            </w:r>
          </w:p>
          <w:p w14:paraId="1768A7AD">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责任单位角色</w:t>
            </w:r>
          </w:p>
          <w:p w14:paraId="5F5F11C1">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展示本单位的月度晾晒、季度考评、半年评估、年终考核完成及排名情况。</w:t>
            </w:r>
          </w:p>
        </w:tc>
      </w:tr>
      <w:tr w14:paraId="276FD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64B9CF6E">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56807C07">
            <w:pPr>
              <w:widowControl/>
              <w:jc w:val="center"/>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67A6997C">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3E66EEF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办理中/已办结事项</w:t>
            </w:r>
          </w:p>
          <w:p w14:paraId="1EA63EA0">
            <w:pPr>
              <w:widowControl/>
              <w:jc w:val="center"/>
              <w:rPr>
                <w:rFonts w:ascii="宋体" w:hAnsi="宋体" w:eastAsia="宋体" w:cs="宋体"/>
                <w:color w:val="auto"/>
                <w:kern w:val="0"/>
                <w:szCs w:val="21"/>
                <w:highlight w:val="none"/>
              </w:rPr>
            </w:pPr>
          </w:p>
        </w:tc>
        <w:tc>
          <w:tcPr>
            <w:tcW w:w="6364" w:type="dxa"/>
            <w:gridSpan w:val="2"/>
            <w:tcBorders>
              <w:tl2br w:val="nil"/>
              <w:tr2bl w:val="nil"/>
            </w:tcBorders>
            <w:shd w:val="clear" w:color="auto" w:fill="auto"/>
            <w:vAlign w:val="center"/>
          </w:tcPr>
          <w:p w14:paraId="2837F6A4">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办理中事项中汇集自建系统中所有待办任务，根据业务类型、任务状态进行查询展示，列表展示字段包含业务系统名称、任务名称、状态和亮灯，对于单条任务可直达系统进行处理。</w:t>
            </w:r>
          </w:p>
          <w:p w14:paraId="6B5A20CC">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已办理中事项展示已办结的事项，列表字段同上。</w:t>
            </w:r>
          </w:p>
        </w:tc>
      </w:tr>
      <w:tr w14:paraId="64794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7" w:hRule="atLeast"/>
        </w:trPr>
        <w:tc>
          <w:tcPr>
            <w:tcW w:w="551" w:type="dxa"/>
            <w:vMerge w:val="restart"/>
            <w:tcBorders>
              <w:tl2br w:val="nil"/>
              <w:tr2bl w:val="nil"/>
            </w:tcBorders>
            <w:shd w:val="clear" w:color="auto" w:fill="auto"/>
            <w:vAlign w:val="center"/>
          </w:tcPr>
          <w:p w14:paraId="7A14338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517" w:type="dxa"/>
            <w:vMerge w:val="restart"/>
            <w:tcBorders>
              <w:tl2br w:val="nil"/>
              <w:tr2bl w:val="nil"/>
            </w:tcBorders>
            <w:vAlign w:val="center"/>
          </w:tcPr>
          <w:p w14:paraId="57A3854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督考一体化综合展示</w:t>
            </w:r>
          </w:p>
        </w:tc>
        <w:tc>
          <w:tcPr>
            <w:tcW w:w="833" w:type="dxa"/>
            <w:vMerge w:val="restart"/>
            <w:tcBorders>
              <w:tl2br w:val="nil"/>
              <w:tr2bl w:val="nil"/>
            </w:tcBorders>
            <w:shd w:val="clear" w:color="auto" w:fill="auto"/>
            <w:vAlign w:val="center"/>
          </w:tcPr>
          <w:p w14:paraId="1843B29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首页</w:t>
            </w:r>
          </w:p>
        </w:tc>
        <w:tc>
          <w:tcPr>
            <w:tcW w:w="1611" w:type="dxa"/>
            <w:gridSpan w:val="2"/>
            <w:tcBorders>
              <w:tl2br w:val="nil"/>
              <w:tr2bl w:val="nil"/>
            </w:tcBorders>
            <w:shd w:val="clear" w:color="auto" w:fill="auto"/>
            <w:vAlign w:val="center"/>
          </w:tcPr>
          <w:p w14:paraId="610F141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督查任务</w:t>
            </w:r>
          </w:p>
        </w:tc>
        <w:tc>
          <w:tcPr>
            <w:tcW w:w="6364" w:type="dxa"/>
            <w:gridSpan w:val="2"/>
            <w:tcBorders>
              <w:tl2br w:val="nil"/>
              <w:tr2bl w:val="nil"/>
            </w:tcBorders>
            <w:shd w:val="clear" w:color="auto" w:fill="auto"/>
            <w:vAlign w:val="center"/>
          </w:tcPr>
          <w:p w14:paraId="5101CE39">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主要展示党政督查（领导批示、决策督查、专项督查、督考一体化全生命周期管理）、建议提案、民生实事督查业务的任务总数、办结率、满意度、完成进度等数据信息，支持单个业务的二级详情页查看功能。</w:t>
            </w:r>
          </w:p>
        </w:tc>
      </w:tr>
      <w:tr w14:paraId="3A3EF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8" w:hRule="atLeast"/>
        </w:trPr>
        <w:tc>
          <w:tcPr>
            <w:tcW w:w="551" w:type="dxa"/>
            <w:vMerge w:val="continue"/>
            <w:tcBorders>
              <w:tl2br w:val="nil"/>
              <w:tr2bl w:val="nil"/>
            </w:tcBorders>
            <w:shd w:val="clear" w:color="auto" w:fill="auto"/>
            <w:vAlign w:val="center"/>
          </w:tcPr>
          <w:p w14:paraId="0B85CC64">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74E9E9D0">
            <w:pPr>
              <w:widowControl/>
              <w:jc w:val="center"/>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2333FE89">
            <w:pPr>
              <w:widowControl/>
              <w:jc w:val="center"/>
              <w:rPr>
                <w:rFonts w:ascii="宋体" w:hAnsi="宋体" w:eastAsia="宋体" w:cs="宋体"/>
                <w:color w:val="auto"/>
                <w:kern w:val="0"/>
                <w:szCs w:val="21"/>
                <w:highlight w:val="none"/>
              </w:rPr>
            </w:pPr>
          </w:p>
        </w:tc>
        <w:tc>
          <w:tcPr>
            <w:tcW w:w="817" w:type="dxa"/>
            <w:vMerge w:val="restart"/>
            <w:tcBorders>
              <w:tl2br w:val="nil"/>
              <w:tr2bl w:val="nil"/>
            </w:tcBorders>
            <w:shd w:val="clear" w:color="auto" w:fill="auto"/>
            <w:vAlign w:val="center"/>
          </w:tcPr>
          <w:p w14:paraId="77BDD6B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督考综合评价指数</w:t>
            </w:r>
          </w:p>
        </w:tc>
        <w:tc>
          <w:tcPr>
            <w:tcW w:w="794" w:type="dxa"/>
            <w:tcBorders>
              <w:tl2br w:val="nil"/>
              <w:tr2bl w:val="nil"/>
            </w:tcBorders>
            <w:shd w:val="clear" w:color="auto" w:fill="auto"/>
            <w:vAlign w:val="center"/>
          </w:tcPr>
          <w:p w14:paraId="7450E64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日常指标监测</w:t>
            </w:r>
          </w:p>
        </w:tc>
        <w:tc>
          <w:tcPr>
            <w:tcW w:w="6364" w:type="dxa"/>
            <w:gridSpan w:val="2"/>
            <w:tcBorders>
              <w:tl2br w:val="nil"/>
              <w:tr2bl w:val="nil"/>
            </w:tcBorders>
            <w:shd w:val="clear" w:color="auto" w:fill="auto"/>
            <w:vAlign w:val="center"/>
          </w:tcPr>
          <w:p w14:paraId="31D4BD22">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日常指标监测首先展示鄞州本级的排名情况，再以五色地图的形式呈现各镇街的排名及得分情况，以柱状图展示各镇街的每个指标的目标值、完成值及和区完成值的对比。</w:t>
            </w:r>
          </w:p>
        </w:tc>
      </w:tr>
      <w:tr w14:paraId="22D6E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3E6631E7">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60F538C5">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69132BE2">
            <w:pPr>
              <w:widowControl/>
              <w:rPr>
                <w:rFonts w:ascii="宋体" w:hAnsi="宋体" w:eastAsia="宋体" w:cs="宋体"/>
                <w:color w:val="auto"/>
                <w:kern w:val="0"/>
                <w:szCs w:val="21"/>
                <w:highlight w:val="none"/>
              </w:rPr>
            </w:pPr>
          </w:p>
        </w:tc>
        <w:tc>
          <w:tcPr>
            <w:tcW w:w="817" w:type="dxa"/>
            <w:vMerge w:val="continue"/>
            <w:tcBorders>
              <w:tl2br w:val="nil"/>
              <w:tr2bl w:val="nil"/>
            </w:tcBorders>
            <w:vAlign w:val="center"/>
          </w:tcPr>
          <w:p w14:paraId="11F75197">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1D54AF1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突出问题解决</w:t>
            </w:r>
          </w:p>
        </w:tc>
        <w:tc>
          <w:tcPr>
            <w:tcW w:w="6364" w:type="dxa"/>
            <w:gridSpan w:val="2"/>
            <w:tcBorders>
              <w:tl2br w:val="nil"/>
              <w:tr2bl w:val="nil"/>
            </w:tcBorders>
            <w:shd w:val="clear" w:color="auto" w:fill="auto"/>
            <w:vAlign w:val="center"/>
          </w:tcPr>
          <w:p w14:paraId="7D073C00">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包含问题总数、涉及指标数、责任单位、整改中和已完成的情况展示。</w:t>
            </w:r>
          </w:p>
        </w:tc>
      </w:tr>
      <w:tr w14:paraId="5E586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9" w:hRule="atLeast"/>
        </w:trPr>
        <w:tc>
          <w:tcPr>
            <w:tcW w:w="551" w:type="dxa"/>
            <w:vMerge w:val="continue"/>
            <w:tcBorders>
              <w:tl2br w:val="nil"/>
              <w:tr2bl w:val="nil"/>
            </w:tcBorders>
            <w:shd w:val="clear" w:color="auto" w:fill="auto"/>
            <w:vAlign w:val="center"/>
          </w:tcPr>
          <w:p w14:paraId="583130BC">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44FA5197">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6F8EB84D">
            <w:pPr>
              <w:widowControl/>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0C2AF9B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七创争先指数</w:t>
            </w:r>
          </w:p>
        </w:tc>
        <w:tc>
          <w:tcPr>
            <w:tcW w:w="6364" w:type="dxa"/>
            <w:gridSpan w:val="2"/>
            <w:tcBorders>
              <w:tl2br w:val="nil"/>
              <w:tr2bl w:val="nil"/>
            </w:tcBorders>
            <w:shd w:val="clear" w:color="auto" w:fill="auto"/>
            <w:vAlign w:val="center"/>
          </w:tcPr>
          <w:p w14:paraId="0ED6CC06">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结合目前抓落实办现有七创争先数据及督考中心任务评价机制，实现督考一体化，督考联动。以数据看板的模式对指标数据进行整合汇总展示，通过图表展示直接晒指标、亮排名，通过数据对比直接看速度、比质量，让成果可视化，让排名更有说服力。</w:t>
            </w:r>
          </w:p>
        </w:tc>
      </w:tr>
      <w:tr w14:paraId="76078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4A998CF6">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5386A36C">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051E5758">
            <w:pPr>
              <w:widowControl/>
              <w:rPr>
                <w:rFonts w:ascii="宋体" w:hAnsi="宋体" w:eastAsia="宋体" w:cs="宋体"/>
                <w:color w:val="auto"/>
                <w:kern w:val="0"/>
                <w:szCs w:val="21"/>
                <w:highlight w:val="none"/>
              </w:rPr>
            </w:pPr>
          </w:p>
        </w:tc>
        <w:tc>
          <w:tcPr>
            <w:tcW w:w="817" w:type="dxa"/>
            <w:vMerge w:val="restart"/>
            <w:tcBorders>
              <w:tl2br w:val="nil"/>
              <w:tr2bl w:val="nil"/>
            </w:tcBorders>
            <w:shd w:val="clear" w:color="auto" w:fill="auto"/>
            <w:vAlign w:val="center"/>
          </w:tcPr>
          <w:p w14:paraId="64D9D40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综合评价</w:t>
            </w:r>
          </w:p>
        </w:tc>
        <w:tc>
          <w:tcPr>
            <w:tcW w:w="794" w:type="dxa"/>
            <w:tcBorders>
              <w:tl2br w:val="nil"/>
              <w:tr2bl w:val="nil"/>
            </w:tcBorders>
            <w:shd w:val="clear" w:color="auto" w:fill="auto"/>
            <w:vAlign w:val="center"/>
          </w:tcPr>
          <w:p w14:paraId="498DB7F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得分明细</w:t>
            </w:r>
          </w:p>
        </w:tc>
        <w:tc>
          <w:tcPr>
            <w:tcW w:w="6364" w:type="dxa"/>
            <w:gridSpan w:val="2"/>
            <w:tcBorders>
              <w:tl2br w:val="nil"/>
              <w:tr2bl w:val="nil"/>
            </w:tcBorders>
            <w:shd w:val="clear" w:color="auto" w:fill="auto"/>
            <w:vAlign w:val="center"/>
          </w:tcPr>
          <w:p w14:paraId="5B21E599">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个单位得分明细支持按时间、单位名称维度搜索，以雷达图的形式呈现该单位的得分明细，得分维度包含督查绩效、考核排名、单位主责主业成绩、区委/区政府重点任务表现情况、考核突出问题解决情况、七创争先，最后展示该单位的总分及同单位类型的排名</w:t>
            </w:r>
          </w:p>
        </w:tc>
      </w:tr>
      <w:tr w14:paraId="60398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3FCC7806">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1B3D2983">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0DE06B96">
            <w:pPr>
              <w:widowControl/>
              <w:rPr>
                <w:rFonts w:ascii="宋体" w:hAnsi="宋体" w:eastAsia="宋体" w:cs="宋体"/>
                <w:color w:val="auto"/>
                <w:kern w:val="0"/>
                <w:szCs w:val="21"/>
                <w:highlight w:val="none"/>
              </w:rPr>
            </w:pPr>
          </w:p>
        </w:tc>
        <w:tc>
          <w:tcPr>
            <w:tcW w:w="817" w:type="dxa"/>
            <w:vMerge w:val="continue"/>
            <w:tcBorders>
              <w:tl2br w:val="nil"/>
              <w:tr2bl w:val="nil"/>
            </w:tcBorders>
            <w:vAlign w:val="center"/>
          </w:tcPr>
          <w:p w14:paraId="5EABFB6C">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3A60D02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排名</w:t>
            </w:r>
          </w:p>
        </w:tc>
        <w:tc>
          <w:tcPr>
            <w:tcW w:w="6364" w:type="dxa"/>
            <w:gridSpan w:val="2"/>
            <w:tcBorders>
              <w:tl2br w:val="nil"/>
              <w:tr2bl w:val="nil"/>
            </w:tcBorders>
            <w:shd w:val="clear" w:color="auto" w:fill="auto"/>
            <w:vAlign w:val="center"/>
          </w:tcPr>
          <w:p w14:paraId="5C69DEA5">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以列表的形式展示，支持按时间、单位名称维度搜索，列表展示字段包含排名、单位名称、得分和进退位。</w:t>
            </w:r>
          </w:p>
        </w:tc>
      </w:tr>
      <w:tr w14:paraId="1DDF0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551" w:type="dxa"/>
            <w:vMerge w:val="continue"/>
            <w:tcBorders>
              <w:tl2br w:val="nil"/>
              <w:tr2bl w:val="nil"/>
            </w:tcBorders>
            <w:shd w:val="clear" w:color="auto" w:fill="auto"/>
            <w:vAlign w:val="center"/>
          </w:tcPr>
          <w:p w14:paraId="3228118E">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503F65D5">
            <w:pPr>
              <w:widowControl/>
              <w:rPr>
                <w:rFonts w:ascii="宋体" w:hAnsi="宋体" w:eastAsia="宋体" w:cs="宋体"/>
                <w:color w:val="auto"/>
                <w:kern w:val="0"/>
                <w:szCs w:val="21"/>
                <w:highlight w:val="none"/>
              </w:rPr>
            </w:pPr>
          </w:p>
        </w:tc>
        <w:tc>
          <w:tcPr>
            <w:tcW w:w="833" w:type="dxa"/>
            <w:vMerge w:val="restart"/>
            <w:tcBorders>
              <w:tl2br w:val="nil"/>
              <w:tr2bl w:val="nil"/>
            </w:tcBorders>
            <w:shd w:val="clear" w:color="auto" w:fill="auto"/>
            <w:vAlign w:val="center"/>
          </w:tcPr>
          <w:p w14:paraId="7498526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业务展示</w:t>
            </w:r>
          </w:p>
        </w:tc>
        <w:tc>
          <w:tcPr>
            <w:tcW w:w="817" w:type="dxa"/>
            <w:vMerge w:val="restart"/>
            <w:tcBorders>
              <w:tl2br w:val="nil"/>
              <w:tr2bl w:val="nil"/>
            </w:tcBorders>
            <w:shd w:val="clear" w:color="auto" w:fill="auto"/>
            <w:vAlign w:val="center"/>
          </w:tcPr>
          <w:p w14:paraId="5B04255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党政督查</w:t>
            </w:r>
          </w:p>
        </w:tc>
        <w:tc>
          <w:tcPr>
            <w:tcW w:w="794" w:type="dxa"/>
            <w:tcBorders>
              <w:tl2br w:val="nil"/>
              <w:tr2bl w:val="nil"/>
            </w:tcBorders>
            <w:shd w:val="clear" w:color="auto" w:fill="auto"/>
            <w:vAlign w:val="center"/>
          </w:tcPr>
          <w:p w14:paraId="6C8AD17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过程监管</w:t>
            </w:r>
          </w:p>
        </w:tc>
        <w:tc>
          <w:tcPr>
            <w:tcW w:w="6364" w:type="dxa"/>
            <w:gridSpan w:val="2"/>
            <w:tcBorders>
              <w:tl2br w:val="nil"/>
              <w:tr2bl w:val="nil"/>
            </w:tcBorders>
            <w:shd w:val="clear" w:color="auto" w:fill="auto"/>
            <w:vAlign w:val="center"/>
          </w:tcPr>
          <w:p w14:paraId="53182D71">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包含了领导批示、决策督查、专项督查、督考一体化全生命周期管理四大块，从任务总数、在办数、催办数、逾期数、办结数展示，支持二级列表页查看。列表内容需根据任务的状态进行联动，选择办结状态时列表需要展示任务评分。</w:t>
            </w:r>
          </w:p>
        </w:tc>
      </w:tr>
      <w:tr w14:paraId="07E50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551" w:type="dxa"/>
            <w:vMerge w:val="continue"/>
            <w:tcBorders>
              <w:tl2br w:val="nil"/>
              <w:tr2bl w:val="nil"/>
            </w:tcBorders>
            <w:shd w:val="clear" w:color="auto" w:fill="auto"/>
            <w:vAlign w:val="center"/>
          </w:tcPr>
          <w:p w14:paraId="4B9C6496">
            <w:pPr>
              <w:widowControl/>
              <w:jc w:val="center"/>
              <w:rPr>
                <w:color w:val="auto"/>
                <w:highlight w:val="none"/>
              </w:rPr>
            </w:pPr>
          </w:p>
        </w:tc>
        <w:tc>
          <w:tcPr>
            <w:tcW w:w="517" w:type="dxa"/>
            <w:vMerge w:val="continue"/>
            <w:tcBorders>
              <w:tl2br w:val="nil"/>
              <w:tr2bl w:val="nil"/>
            </w:tcBorders>
            <w:vAlign w:val="center"/>
          </w:tcPr>
          <w:p w14:paraId="0717263F">
            <w:pPr>
              <w:widowControl/>
              <w:jc w:val="center"/>
              <w:rPr>
                <w:color w:val="auto"/>
                <w:highlight w:val="none"/>
              </w:rPr>
            </w:pPr>
          </w:p>
        </w:tc>
        <w:tc>
          <w:tcPr>
            <w:tcW w:w="833" w:type="dxa"/>
            <w:vMerge w:val="continue"/>
            <w:tcBorders>
              <w:tl2br w:val="nil"/>
              <w:tr2bl w:val="nil"/>
            </w:tcBorders>
            <w:shd w:val="clear" w:color="auto" w:fill="auto"/>
            <w:vAlign w:val="center"/>
          </w:tcPr>
          <w:p w14:paraId="4859A200">
            <w:pPr>
              <w:widowControl/>
              <w:jc w:val="center"/>
              <w:rPr>
                <w:color w:val="auto"/>
                <w:highlight w:val="none"/>
              </w:rPr>
            </w:pPr>
          </w:p>
        </w:tc>
        <w:tc>
          <w:tcPr>
            <w:tcW w:w="817" w:type="dxa"/>
            <w:vMerge w:val="continue"/>
            <w:tcBorders>
              <w:tl2br w:val="nil"/>
              <w:tr2bl w:val="nil"/>
            </w:tcBorders>
            <w:shd w:val="clear" w:color="auto" w:fill="auto"/>
            <w:vAlign w:val="center"/>
          </w:tcPr>
          <w:p w14:paraId="43A17C6E">
            <w:pPr>
              <w:widowControl/>
              <w:jc w:val="center"/>
              <w:rPr>
                <w:color w:val="auto"/>
                <w:highlight w:val="none"/>
              </w:rPr>
            </w:pPr>
          </w:p>
        </w:tc>
        <w:tc>
          <w:tcPr>
            <w:tcW w:w="794" w:type="dxa"/>
            <w:tcBorders>
              <w:tl2br w:val="nil"/>
              <w:tr2bl w:val="nil"/>
            </w:tcBorders>
            <w:shd w:val="clear" w:color="auto" w:fill="auto"/>
            <w:vAlign w:val="center"/>
          </w:tcPr>
          <w:p w14:paraId="477A6719">
            <w:pPr>
              <w:widowControl/>
              <w:jc w:val="center"/>
              <w:rPr>
                <w:color w:val="auto"/>
                <w:highlight w:val="none"/>
              </w:rPr>
            </w:pPr>
            <w:r>
              <w:rPr>
                <w:rFonts w:hint="eastAsia" w:ascii="宋体" w:hAnsi="宋体" w:eastAsia="宋体" w:cs="宋体"/>
                <w:color w:val="auto"/>
                <w:kern w:val="0"/>
                <w:szCs w:val="21"/>
                <w:highlight w:val="none"/>
              </w:rPr>
              <w:t>涉事领域分析</w:t>
            </w:r>
          </w:p>
        </w:tc>
        <w:tc>
          <w:tcPr>
            <w:tcW w:w="6364" w:type="dxa"/>
            <w:gridSpan w:val="2"/>
            <w:tcBorders>
              <w:tl2br w:val="nil"/>
              <w:tr2bl w:val="nil"/>
            </w:tcBorders>
            <w:shd w:val="clear" w:color="auto" w:fill="auto"/>
            <w:vAlign w:val="center"/>
          </w:tcPr>
          <w:p w14:paraId="646BED99">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包含了领导批示、决策督查、专项督查、督考一体化全生命周期管理四大块，根据业务系统内任务标签数据排名前5的进行展示。</w:t>
            </w:r>
          </w:p>
        </w:tc>
      </w:tr>
      <w:tr w14:paraId="4F7E2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551" w:type="dxa"/>
            <w:vMerge w:val="continue"/>
            <w:tcBorders>
              <w:tl2br w:val="nil"/>
              <w:tr2bl w:val="nil"/>
            </w:tcBorders>
            <w:shd w:val="clear" w:color="auto" w:fill="auto"/>
            <w:vAlign w:val="center"/>
          </w:tcPr>
          <w:p w14:paraId="4C0170C8">
            <w:pPr>
              <w:widowControl/>
              <w:jc w:val="center"/>
              <w:rPr>
                <w:color w:val="auto"/>
                <w:highlight w:val="none"/>
              </w:rPr>
            </w:pPr>
          </w:p>
        </w:tc>
        <w:tc>
          <w:tcPr>
            <w:tcW w:w="517" w:type="dxa"/>
            <w:vMerge w:val="continue"/>
            <w:tcBorders>
              <w:tl2br w:val="nil"/>
              <w:tr2bl w:val="nil"/>
            </w:tcBorders>
            <w:vAlign w:val="center"/>
          </w:tcPr>
          <w:p w14:paraId="3D64BEA9">
            <w:pPr>
              <w:widowControl/>
              <w:jc w:val="center"/>
              <w:rPr>
                <w:color w:val="auto"/>
                <w:highlight w:val="none"/>
              </w:rPr>
            </w:pPr>
          </w:p>
        </w:tc>
        <w:tc>
          <w:tcPr>
            <w:tcW w:w="833" w:type="dxa"/>
            <w:vMerge w:val="continue"/>
            <w:tcBorders>
              <w:tl2br w:val="nil"/>
              <w:tr2bl w:val="nil"/>
            </w:tcBorders>
            <w:shd w:val="clear" w:color="auto" w:fill="auto"/>
            <w:vAlign w:val="center"/>
          </w:tcPr>
          <w:p w14:paraId="0B406A2F">
            <w:pPr>
              <w:widowControl/>
              <w:jc w:val="center"/>
              <w:rPr>
                <w:color w:val="auto"/>
                <w:highlight w:val="none"/>
              </w:rPr>
            </w:pPr>
          </w:p>
        </w:tc>
        <w:tc>
          <w:tcPr>
            <w:tcW w:w="817" w:type="dxa"/>
            <w:vMerge w:val="continue"/>
            <w:tcBorders>
              <w:tl2br w:val="nil"/>
              <w:tr2bl w:val="nil"/>
            </w:tcBorders>
            <w:shd w:val="clear" w:color="auto" w:fill="auto"/>
            <w:vAlign w:val="center"/>
          </w:tcPr>
          <w:p w14:paraId="5E5E5C9C">
            <w:pPr>
              <w:widowControl/>
              <w:jc w:val="center"/>
              <w:rPr>
                <w:color w:val="auto"/>
                <w:highlight w:val="none"/>
              </w:rPr>
            </w:pPr>
          </w:p>
        </w:tc>
        <w:tc>
          <w:tcPr>
            <w:tcW w:w="794" w:type="dxa"/>
            <w:tcBorders>
              <w:tl2br w:val="nil"/>
              <w:tr2bl w:val="nil"/>
            </w:tcBorders>
            <w:shd w:val="clear" w:color="auto" w:fill="auto"/>
            <w:vAlign w:val="center"/>
          </w:tcPr>
          <w:p w14:paraId="3892B51A">
            <w:pPr>
              <w:widowControl/>
              <w:jc w:val="center"/>
              <w:rPr>
                <w:color w:val="auto"/>
                <w:highlight w:val="none"/>
              </w:rPr>
            </w:pPr>
            <w:r>
              <w:rPr>
                <w:rFonts w:hint="eastAsia" w:ascii="宋体" w:hAnsi="宋体" w:eastAsia="宋体" w:cs="宋体"/>
                <w:color w:val="auto"/>
                <w:kern w:val="0"/>
                <w:szCs w:val="21"/>
                <w:highlight w:val="none"/>
              </w:rPr>
              <w:t>办件评价</w:t>
            </w:r>
          </w:p>
        </w:tc>
        <w:tc>
          <w:tcPr>
            <w:tcW w:w="6364" w:type="dxa"/>
            <w:gridSpan w:val="2"/>
            <w:tcBorders>
              <w:tl2br w:val="nil"/>
              <w:tr2bl w:val="nil"/>
            </w:tcBorders>
            <w:shd w:val="clear" w:color="auto" w:fill="auto"/>
            <w:vAlign w:val="center"/>
          </w:tcPr>
          <w:p w14:paraId="69D5A2E2">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包含了领导批示、决策督查、专项督查、督考一体化全生命周期管理四大块，办件量排名根据责任单位进行汇总统计，展示排名前十的单位。</w:t>
            </w:r>
          </w:p>
        </w:tc>
      </w:tr>
      <w:tr w14:paraId="1193B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551" w:type="dxa"/>
            <w:vMerge w:val="continue"/>
            <w:tcBorders>
              <w:tl2br w:val="nil"/>
              <w:tr2bl w:val="nil"/>
            </w:tcBorders>
            <w:shd w:val="clear" w:color="auto" w:fill="auto"/>
            <w:vAlign w:val="center"/>
          </w:tcPr>
          <w:p w14:paraId="5A7B5855">
            <w:pPr>
              <w:widowControl/>
              <w:jc w:val="center"/>
              <w:rPr>
                <w:color w:val="auto"/>
                <w:highlight w:val="none"/>
              </w:rPr>
            </w:pPr>
          </w:p>
        </w:tc>
        <w:tc>
          <w:tcPr>
            <w:tcW w:w="517" w:type="dxa"/>
            <w:vMerge w:val="continue"/>
            <w:tcBorders>
              <w:tl2br w:val="nil"/>
              <w:tr2bl w:val="nil"/>
            </w:tcBorders>
            <w:vAlign w:val="center"/>
          </w:tcPr>
          <w:p w14:paraId="7715A5A4">
            <w:pPr>
              <w:widowControl/>
              <w:jc w:val="center"/>
              <w:rPr>
                <w:color w:val="auto"/>
                <w:highlight w:val="none"/>
              </w:rPr>
            </w:pPr>
          </w:p>
        </w:tc>
        <w:tc>
          <w:tcPr>
            <w:tcW w:w="833" w:type="dxa"/>
            <w:vMerge w:val="continue"/>
            <w:tcBorders>
              <w:tl2br w:val="nil"/>
              <w:tr2bl w:val="nil"/>
            </w:tcBorders>
            <w:shd w:val="clear" w:color="auto" w:fill="auto"/>
            <w:vAlign w:val="center"/>
          </w:tcPr>
          <w:p w14:paraId="04F79B7B">
            <w:pPr>
              <w:widowControl/>
              <w:jc w:val="center"/>
              <w:rPr>
                <w:color w:val="auto"/>
                <w:highlight w:val="none"/>
              </w:rPr>
            </w:pPr>
          </w:p>
        </w:tc>
        <w:tc>
          <w:tcPr>
            <w:tcW w:w="817" w:type="dxa"/>
            <w:vMerge w:val="continue"/>
            <w:tcBorders>
              <w:tl2br w:val="nil"/>
              <w:tr2bl w:val="nil"/>
            </w:tcBorders>
            <w:shd w:val="clear" w:color="auto" w:fill="auto"/>
            <w:vAlign w:val="center"/>
          </w:tcPr>
          <w:p w14:paraId="1361AE72">
            <w:pPr>
              <w:widowControl/>
              <w:jc w:val="center"/>
              <w:rPr>
                <w:color w:val="auto"/>
                <w:highlight w:val="none"/>
              </w:rPr>
            </w:pPr>
          </w:p>
        </w:tc>
        <w:tc>
          <w:tcPr>
            <w:tcW w:w="794" w:type="dxa"/>
            <w:tcBorders>
              <w:tl2br w:val="nil"/>
              <w:tr2bl w:val="nil"/>
            </w:tcBorders>
            <w:shd w:val="clear" w:color="auto" w:fill="auto"/>
            <w:vAlign w:val="center"/>
          </w:tcPr>
          <w:p w14:paraId="62975FB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趋势分析</w:t>
            </w:r>
          </w:p>
        </w:tc>
        <w:tc>
          <w:tcPr>
            <w:tcW w:w="6364" w:type="dxa"/>
            <w:gridSpan w:val="2"/>
            <w:tcBorders>
              <w:tl2br w:val="nil"/>
              <w:tr2bl w:val="nil"/>
            </w:tcBorders>
            <w:shd w:val="clear" w:color="auto" w:fill="auto"/>
            <w:vAlign w:val="center"/>
          </w:tcPr>
          <w:p w14:paraId="68710B81">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包含了领导批示、决策督查、专项督查、督考一体化全生命周期管理四大块，每项任务办结时督考中心都会对责任单位进行评价，根据评价模型得出单位评价综合等次，对单位等次进行展示。</w:t>
            </w:r>
          </w:p>
        </w:tc>
      </w:tr>
      <w:tr w14:paraId="36B47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592EB6FA">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50C46E53">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7404FE14">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295E287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综合考核</w:t>
            </w:r>
          </w:p>
        </w:tc>
        <w:tc>
          <w:tcPr>
            <w:tcW w:w="6364" w:type="dxa"/>
            <w:gridSpan w:val="2"/>
            <w:tcBorders>
              <w:tl2br w:val="nil"/>
              <w:tr2bl w:val="nil"/>
            </w:tcBorders>
            <w:shd w:val="clear" w:color="auto" w:fill="auto"/>
            <w:vAlign w:val="center"/>
          </w:tcPr>
          <w:p w14:paraId="43A62884">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综合考核主要展示省对区、市对区及区对镇街、职能单位的考核指标展示。按照考核指标以图标的形式展示，如考评项目的分布、考评对象的分布等。</w:t>
            </w:r>
          </w:p>
        </w:tc>
      </w:tr>
      <w:tr w14:paraId="37F6A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551" w:type="dxa"/>
            <w:vMerge w:val="continue"/>
            <w:tcBorders>
              <w:tl2br w:val="nil"/>
              <w:tr2bl w:val="nil"/>
            </w:tcBorders>
            <w:shd w:val="clear" w:color="auto" w:fill="auto"/>
            <w:vAlign w:val="center"/>
          </w:tcPr>
          <w:p w14:paraId="503832CC">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775A9DED">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6AB9B5A8">
            <w:pPr>
              <w:widowControl/>
              <w:jc w:val="center"/>
              <w:rPr>
                <w:rFonts w:ascii="宋体" w:hAnsi="宋体" w:eastAsia="宋体" w:cs="宋体"/>
                <w:color w:val="auto"/>
                <w:kern w:val="0"/>
                <w:szCs w:val="21"/>
                <w:highlight w:val="none"/>
              </w:rPr>
            </w:pPr>
          </w:p>
        </w:tc>
        <w:tc>
          <w:tcPr>
            <w:tcW w:w="817" w:type="dxa"/>
            <w:vMerge w:val="restart"/>
            <w:tcBorders>
              <w:tl2br w:val="nil"/>
              <w:tr2bl w:val="nil"/>
            </w:tcBorders>
            <w:shd w:val="clear" w:color="auto" w:fill="auto"/>
            <w:vAlign w:val="center"/>
          </w:tcPr>
          <w:p w14:paraId="7C4F321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建议提案</w:t>
            </w:r>
          </w:p>
        </w:tc>
        <w:tc>
          <w:tcPr>
            <w:tcW w:w="794" w:type="dxa"/>
            <w:tcBorders>
              <w:tl2br w:val="nil"/>
              <w:tr2bl w:val="nil"/>
            </w:tcBorders>
            <w:shd w:val="clear" w:color="auto" w:fill="auto"/>
            <w:vAlign w:val="center"/>
          </w:tcPr>
          <w:p w14:paraId="63B0999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过程监管</w:t>
            </w:r>
          </w:p>
        </w:tc>
        <w:tc>
          <w:tcPr>
            <w:tcW w:w="6364" w:type="dxa"/>
            <w:gridSpan w:val="2"/>
            <w:tcBorders>
              <w:tl2br w:val="nil"/>
              <w:tr2bl w:val="nil"/>
            </w:tcBorders>
            <w:shd w:val="clear" w:color="auto" w:fill="auto"/>
            <w:vAlign w:val="center"/>
          </w:tcPr>
          <w:p w14:paraId="755B9CF0">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程监管任务总数、任务办件状态做展示，可根据区人大会议和政协会议进行筛选，列表展示内容包括领衔人、性质类型、代表团、案由/提案名称、办理单位、当前状态和满意度。支持二级列表页查看，可对案号、案由、性质类别、办理单位、当前环节和满意度进行搜索查询。</w:t>
            </w:r>
          </w:p>
        </w:tc>
      </w:tr>
      <w:tr w14:paraId="2C53F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551" w:type="dxa"/>
            <w:vMerge w:val="continue"/>
            <w:tcBorders>
              <w:tl2br w:val="nil"/>
              <w:tr2bl w:val="nil"/>
            </w:tcBorders>
            <w:shd w:val="clear" w:color="auto" w:fill="auto"/>
            <w:vAlign w:val="center"/>
          </w:tcPr>
          <w:p w14:paraId="575ADC96">
            <w:pPr>
              <w:widowControl/>
              <w:jc w:val="center"/>
              <w:rPr>
                <w:color w:val="auto"/>
                <w:highlight w:val="none"/>
              </w:rPr>
            </w:pPr>
          </w:p>
        </w:tc>
        <w:tc>
          <w:tcPr>
            <w:tcW w:w="517" w:type="dxa"/>
            <w:vMerge w:val="continue"/>
            <w:tcBorders>
              <w:tl2br w:val="nil"/>
              <w:tr2bl w:val="nil"/>
            </w:tcBorders>
            <w:vAlign w:val="center"/>
          </w:tcPr>
          <w:p w14:paraId="2B27BF94">
            <w:pPr>
              <w:widowControl/>
              <w:jc w:val="center"/>
              <w:rPr>
                <w:color w:val="auto"/>
                <w:highlight w:val="none"/>
              </w:rPr>
            </w:pPr>
          </w:p>
        </w:tc>
        <w:tc>
          <w:tcPr>
            <w:tcW w:w="833" w:type="dxa"/>
            <w:vMerge w:val="continue"/>
            <w:tcBorders>
              <w:tl2br w:val="nil"/>
              <w:tr2bl w:val="nil"/>
            </w:tcBorders>
            <w:vAlign w:val="center"/>
          </w:tcPr>
          <w:p w14:paraId="3E359326">
            <w:pPr>
              <w:widowControl/>
              <w:jc w:val="center"/>
              <w:rPr>
                <w:color w:val="auto"/>
                <w:highlight w:val="none"/>
              </w:rPr>
            </w:pPr>
          </w:p>
        </w:tc>
        <w:tc>
          <w:tcPr>
            <w:tcW w:w="817" w:type="dxa"/>
            <w:vMerge w:val="continue"/>
            <w:tcBorders>
              <w:tl2br w:val="nil"/>
              <w:tr2bl w:val="nil"/>
            </w:tcBorders>
            <w:shd w:val="clear" w:color="auto" w:fill="auto"/>
            <w:vAlign w:val="center"/>
          </w:tcPr>
          <w:p w14:paraId="56319703">
            <w:pPr>
              <w:widowControl/>
              <w:jc w:val="center"/>
              <w:rPr>
                <w:color w:val="auto"/>
                <w:highlight w:val="none"/>
              </w:rPr>
            </w:pPr>
          </w:p>
        </w:tc>
        <w:tc>
          <w:tcPr>
            <w:tcW w:w="794" w:type="dxa"/>
            <w:tcBorders>
              <w:tl2br w:val="nil"/>
              <w:tr2bl w:val="nil"/>
            </w:tcBorders>
            <w:shd w:val="clear" w:color="auto" w:fill="auto"/>
            <w:vAlign w:val="center"/>
          </w:tcPr>
          <w:p w14:paraId="16227DB2">
            <w:pPr>
              <w:widowControl/>
              <w:jc w:val="center"/>
              <w:rPr>
                <w:color w:val="auto"/>
                <w:highlight w:val="none"/>
              </w:rPr>
            </w:pPr>
            <w:r>
              <w:rPr>
                <w:rFonts w:hint="eastAsia" w:ascii="宋体" w:hAnsi="宋体" w:eastAsia="宋体" w:cs="宋体"/>
                <w:color w:val="auto"/>
                <w:kern w:val="0"/>
                <w:szCs w:val="21"/>
                <w:highlight w:val="none"/>
              </w:rPr>
              <w:t>办件量排名</w:t>
            </w:r>
          </w:p>
        </w:tc>
        <w:tc>
          <w:tcPr>
            <w:tcW w:w="6364" w:type="dxa"/>
            <w:gridSpan w:val="2"/>
            <w:tcBorders>
              <w:tl2br w:val="nil"/>
              <w:tr2bl w:val="nil"/>
            </w:tcBorders>
            <w:shd w:val="clear" w:color="auto" w:fill="auto"/>
            <w:vAlign w:val="center"/>
          </w:tcPr>
          <w:p w14:paraId="5F57C01A">
            <w:pPr>
              <w:widowControl/>
              <w:rPr>
                <w:color w:val="auto"/>
                <w:highlight w:val="none"/>
              </w:rPr>
            </w:pPr>
            <w:r>
              <w:rPr>
                <w:rFonts w:hint="eastAsia" w:ascii="宋体" w:hAnsi="宋体" w:eastAsia="宋体" w:cs="宋体"/>
                <w:color w:val="auto"/>
                <w:kern w:val="0"/>
                <w:szCs w:val="21"/>
                <w:highlight w:val="none"/>
              </w:rPr>
              <w:t>办件量排名根据批示件的责任单位进行汇总统计，按照工作量来进行排名展示。</w:t>
            </w:r>
          </w:p>
        </w:tc>
      </w:tr>
      <w:tr w14:paraId="0BAE4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3" w:hRule="atLeast"/>
        </w:trPr>
        <w:tc>
          <w:tcPr>
            <w:tcW w:w="551" w:type="dxa"/>
            <w:vMerge w:val="continue"/>
            <w:tcBorders>
              <w:tl2br w:val="nil"/>
              <w:tr2bl w:val="nil"/>
            </w:tcBorders>
            <w:shd w:val="clear" w:color="auto" w:fill="auto"/>
            <w:vAlign w:val="center"/>
          </w:tcPr>
          <w:p w14:paraId="28FF7B21">
            <w:pPr>
              <w:widowControl/>
              <w:jc w:val="center"/>
              <w:rPr>
                <w:color w:val="auto"/>
                <w:highlight w:val="none"/>
              </w:rPr>
            </w:pPr>
          </w:p>
        </w:tc>
        <w:tc>
          <w:tcPr>
            <w:tcW w:w="517" w:type="dxa"/>
            <w:vMerge w:val="continue"/>
            <w:tcBorders>
              <w:tl2br w:val="nil"/>
              <w:tr2bl w:val="nil"/>
            </w:tcBorders>
            <w:vAlign w:val="center"/>
          </w:tcPr>
          <w:p w14:paraId="17624E2F">
            <w:pPr>
              <w:widowControl/>
              <w:jc w:val="center"/>
              <w:rPr>
                <w:color w:val="auto"/>
                <w:highlight w:val="none"/>
              </w:rPr>
            </w:pPr>
          </w:p>
        </w:tc>
        <w:tc>
          <w:tcPr>
            <w:tcW w:w="833" w:type="dxa"/>
            <w:vMerge w:val="continue"/>
            <w:tcBorders>
              <w:tl2br w:val="nil"/>
              <w:tr2bl w:val="nil"/>
            </w:tcBorders>
            <w:vAlign w:val="center"/>
          </w:tcPr>
          <w:p w14:paraId="111EA7E3">
            <w:pPr>
              <w:widowControl/>
              <w:jc w:val="center"/>
              <w:rPr>
                <w:color w:val="auto"/>
                <w:highlight w:val="none"/>
              </w:rPr>
            </w:pPr>
          </w:p>
        </w:tc>
        <w:tc>
          <w:tcPr>
            <w:tcW w:w="817" w:type="dxa"/>
            <w:vMerge w:val="continue"/>
            <w:tcBorders>
              <w:tl2br w:val="nil"/>
              <w:tr2bl w:val="nil"/>
            </w:tcBorders>
            <w:shd w:val="clear" w:color="auto" w:fill="auto"/>
            <w:vAlign w:val="center"/>
          </w:tcPr>
          <w:p w14:paraId="243B333A">
            <w:pPr>
              <w:widowControl/>
              <w:jc w:val="center"/>
              <w:rPr>
                <w:color w:val="auto"/>
                <w:highlight w:val="none"/>
              </w:rPr>
            </w:pPr>
          </w:p>
        </w:tc>
        <w:tc>
          <w:tcPr>
            <w:tcW w:w="794" w:type="dxa"/>
            <w:tcBorders>
              <w:tl2br w:val="nil"/>
              <w:tr2bl w:val="nil"/>
            </w:tcBorders>
            <w:shd w:val="clear" w:color="auto" w:fill="auto"/>
            <w:vAlign w:val="center"/>
          </w:tcPr>
          <w:p w14:paraId="01AEDA53">
            <w:pPr>
              <w:widowControl/>
              <w:jc w:val="center"/>
              <w:rPr>
                <w:color w:val="auto"/>
                <w:highlight w:val="none"/>
              </w:rPr>
            </w:pPr>
            <w:r>
              <w:rPr>
                <w:rFonts w:hint="eastAsia" w:ascii="宋体" w:hAnsi="宋体" w:eastAsia="宋体" w:cs="宋体"/>
                <w:color w:val="auto"/>
                <w:kern w:val="0"/>
                <w:szCs w:val="21"/>
                <w:highlight w:val="none"/>
              </w:rPr>
              <w:t>满意度排名</w:t>
            </w:r>
          </w:p>
        </w:tc>
        <w:tc>
          <w:tcPr>
            <w:tcW w:w="6364" w:type="dxa"/>
            <w:gridSpan w:val="2"/>
            <w:tcBorders>
              <w:tl2br w:val="nil"/>
              <w:tr2bl w:val="nil"/>
            </w:tcBorders>
            <w:shd w:val="clear" w:color="auto" w:fill="auto"/>
            <w:vAlign w:val="center"/>
          </w:tcPr>
          <w:p w14:paraId="08DBAFBC">
            <w:pPr>
              <w:widowControl/>
              <w:rPr>
                <w:color w:val="auto"/>
                <w:highlight w:val="none"/>
              </w:rPr>
            </w:pPr>
            <w:r>
              <w:rPr>
                <w:rFonts w:hint="eastAsia" w:ascii="宋体" w:hAnsi="宋体" w:eastAsia="宋体" w:cs="宋体"/>
                <w:color w:val="auto"/>
                <w:kern w:val="0"/>
                <w:szCs w:val="21"/>
                <w:highlight w:val="none"/>
              </w:rPr>
              <w:t>每项任务办结时督考中心都会对责任单位进行满意度评价，根据评价模型得出单位的满意度，再对此进行排名。</w:t>
            </w:r>
          </w:p>
        </w:tc>
      </w:tr>
      <w:tr w14:paraId="1C5A9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33A6B9E8">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5B1789FE">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0B738066">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1472405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民生实事</w:t>
            </w:r>
          </w:p>
        </w:tc>
        <w:tc>
          <w:tcPr>
            <w:tcW w:w="6364" w:type="dxa"/>
            <w:gridSpan w:val="2"/>
            <w:tcBorders>
              <w:tl2br w:val="nil"/>
              <w:tr2bl w:val="nil"/>
            </w:tcBorders>
            <w:shd w:val="clear" w:color="auto" w:fill="auto"/>
            <w:vAlign w:val="center"/>
          </w:tcPr>
          <w:p w14:paraId="200A13E5">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民生实事主要展示鄞州区在宁波的项目数、实施进度、完成率的排名，及民生事项的各类完成情况。</w:t>
            </w:r>
          </w:p>
        </w:tc>
      </w:tr>
      <w:tr w14:paraId="561B5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4AA04FAD">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62FB558C">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3C7B5658">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6357CD3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七张问题清单</w:t>
            </w:r>
          </w:p>
        </w:tc>
        <w:tc>
          <w:tcPr>
            <w:tcW w:w="6364" w:type="dxa"/>
            <w:gridSpan w:val="2"/>
            <w:tcBorders>
              <w:tl2br w:val="nil"/>
              <w:tr2bl w:val="nil"/>
            </w:tcBorders>
            <w:shd w:val="clear" w:color="auto" w:fill="auto"/>
            <w:vAlign w:val="center"/>
          </w:tcPr>
          <w:p w14:paraId="52DBE7FC">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七张问题清单主要展示鄞州区涉及到省七张问题清单系统的相关问题情况、解决进展、办结销号情况等。</w:t>
            </w:r>
          </w:p>
        </w:tc>
      </w:tr>
      <w:tr w14:paraId="1301C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 w:hRule="atLeast"/>
        </w:trPr>
        <w:tc>
          <w:tcPr>
            <w:tcW w:w="551" w:type="dxa"/>
            <w:vMerge w:val="continue"/>
            <w:tcBorders>
              <w:tl2br w:val="nil"/>
              <w:tr2bl w:val="nil"/>
            </w:tcBorders>
            <w:shd w:val="clear" w:color="auto" w:fill="auto"/>
            <w:vAlign w:val="center"/>
          </w:tcPr>
          <w:p w14:paraId="4B408171">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2BE14A7A">
            <w:pPr>
              <w:widowControl/>
              <w:rPr>
                <w:rFonts w:ascii="宋体" w:hAnsi="宋体" w:eastAsia="宋体" w:cs="宋体"/>
                <w:color w:val="auto"/>
                <w:kern w:val="0"/>
                <w:szCs w:val="21"/>
                <w:highlight w:val="none"/>
              </w:rPr>
            </w:pPr>
          </w:p>
        </w:tc>
        <w:tc>
          <w:tcPr>
            <w:tcW w:w="833" w:type="dxa"/>
            <w:vMerge w:val="continue"/>
            <w:tcBorders>
              <w:tl2br w:val="nil"/>
              <w:tr2bl w:val="nil"/>
            </w:tcBorders>
            <w:shd w:val="clear" w:color="auto" w:fill="auto"/>
            <w:vAlign w:val="center"/>
          </w:tcPr>
          <w:p w14:paraId="3084B9B7">
            <w:pPr>
              <w:widowControl/>
              <w:jc w:val="center"/>
              <w:rPr>
                <w:rFonts w:ascii="宋体" w:hAnsi="宋体" w:eastAsia="宋体" w:cs="宋体"/>
                <w:color w:val="auto"/>
                <w:kern w:val="0"/>
                <w:szCs w:val="21"/>
                <w:highlight w:val="none"/>
              </w:rPr>
            </w:pPr>
          </w:p>
        </w:tc>
        <w:tc>
          <w:tcPr>
            <w:tcW w:w="817" w:type="dxa"/>
            <w:vMerge w:val="restart"/>
            <w:tcBorders>
              <w:tl2br w:val="nil"/>
              <w:tr2bl w:val="nil"/>
            </w:tcBorders>
            <w:shd w:val="clear" w:color="auto" w:fill="auto"/>
            <w:vAlign w:val="center"/>
          </w:tcPr>
          <w:p w14:paraId="5A30187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p w14:paraId="5D541EE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画像</w:t>
            </w:r>
          </w:p>
        </w:tc>
        <w:tc>
          <w:tcPr>
            <w:tcW w:w="794" w:type="dxa"/>
            <w:tcBorders>
              <w:tl2br w:val="nil"/>
              <w:tr2bl w:val="nil"/>
            </w:tcBorders>
            <w:shd w:val="clear" w:color="auto" w:fill="auto"/>
            <w:vAlign w:val="center"/>
          </w:tcPr>
          <w:p w14:paraId="3F8B3C5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督考任务</w:t>
            </w:r>
          </w:p>
        </w:tc>
        <w:tc>
          <w:tcPr>
            <w:tcW w:w="6364" w:type="dxa"/>
            <w:gridSpan w:val="2"/>
            <w:tcBorders>
              <w:tl2br w:val="nil"/>
              <w:tr2bl w:val="nil"/>
            </w:tcBorders>
            <w:shd w:val="clear" w:color="auto" w:fill="auto"/>
            <w:vAlign w:val="center"/>
          </w:tcPr>
          <w:p w14:paraId="1C26DB30">
            <w:pPr>
              <w:widowControl/>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将该单位所有的数据汇总及任务状态数据以柱状图和列表形式展示，列表字段包含任务名称、业务类型、状态和评价结果，支持单个任务的详情页展示。</w:t>
            </w:r>
          </w:p>
        </w:tc>
      </w:tr>
      <w:tr w14:paraId="3EE12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 w:hRule="atLeast"/>
        </w:trPr>
        <w:tc>
          <w:tcPr>
            <w:tcW w:w="551" w:type="dxa"/>
            <w:vMerge w:val="continue"/>
            <w:tcBorders>
              <w:tl2br w:val="nil"/>
              <w:tr2bl w:val="nil"/>
            </w:tcBorders>
            <w:shd w:val="clear" w:color="auto" w:fill="auto"/>
            <w:vAlign w:val="center"/>
          </w:tcPr>
          <w:p w14:paraId="4C5953EB">
            <w:pPr>
              <w:widowControl/>
              <w:jc w:val="center"/>
              <w:rPr>
                <w:color w:val="auto"/>
                <w:highlight w:val="none"/>
              </w:rPr>
            </w:pPr>
          </w:p>
        </w:tc>
        <w:tc>
          <w:tcPr>
            <w:tcW w:w="517" w:type="dxa"/>
            <w:vMerge w:val="continue"/>
            <w:tcBorders>
              <w:tl2br w:val="nil"/>
              <w:tr2bl w:val="nil"/>
            </w:tcBorders>
            <w:vAlign w:val="center"/>
          </w:tcPr>
          <w:p w14:paraId="35664D40">
            <w:pPr>
              <w:widowControl/>
              <w:jc w:val="center"/>
              <w:rPr>
                <w:color w:val="auto"/>
                <w:highlight w:val="none"/>
              </w:rPr>
            </w:pPr>
          </w:p>
        </w:tc>
        <w:tc>
          <w:tcPr>
            <w:tcW w:w="833" w:type="dxa"/>
            <w:vMerge w:val="continue"/>
            <w:tcBorders>
              <w:tl2br w:val="nil"/>
              <w:tr2bl w:val="nil"/>
            </w:tcBorders>
            <w:shd w:val="clear" w:color="auto" w:fill="auto"/>
            <w:vAlign w:val="center"/>
          </w:tcPr>
          <w:p w14:paraId="56065A84">
            <w:pPr>
              <w:widowControl/>
              <w:jc w:val="center"/>
              <w:rPr>
                <w:color w:val="auto"/>
                <w:highlight w:val="none"/>
              </w:rPr>
            </w:pPr>
          </w:p>
        </w:tc>
        <w:tc>
          <w:tcPr>
            <w:tcW w:w="817" w:type="dxa"/>
            <w:vMerge w:val="continue"/>
            <w:tcBorders>
              <w:tl2br w:val="nil"/>
              <w:tr2bl w:val="nil"/>
            </w:tcBorders>
            <w:shd w:val="clear" w:color="auto" w:fill="auto"/>
            <w:vAlign w:val="center"/>
          </w:tcPr>
          <w:p w14:paraId="1B47DD33">
            <w:pPr>
              <w:widowControl/>
              <w:jc w:val="center"/>
              <w:rPr>
                <w:color w:val="auto"/>
                <w:highlight w:val="none"/>
              </w:rPr>
            </w:pPr>
          </w:p>
        </w:tc>
        <w:tc>
          <w:tcPr>
            <w:tcW w:w="794" w:type="dxa"/>
            <w:tcBorders>
              <w:tl2br w:val="nil"/>
              <w:tr2bl w:val="nil"/>
            </w:tcBorders>
            <w:shd w:val="clear" w:color="auto" w:fill="auto"/>
            <w:vAlign w:val="center"/>
          </w:tcPr>
          <w:p w14:paraId="4EE87579">
            <w:pPr>
              <w:widowControl/>
              <w:jc w:val="center"/>
              <w:rPr>
                <w:color w:val="auto"/>
                <w:highlight w:val="none"/>
              </w:rPr>
            </w:pPr>
            <w:r>
              <w:rPr>
                <w:rFonts w:hint="eastAsia" w:ascii="宋体" w:hAnsi="宋体" w:eastAsia="宋体" w:cs="宋体"/>
                <w:color w:val="auto"/>
                <w:kern w:val="0"/>
                <w:szCs w:val="21"/>
                <w:highlight w:val="none"/>
              </w:rPr>
              <w:t>年度重点工作</w:t>
            </w:r>
          </w:p>
        </w:tc>
        <w:tc>
          <w:tcPr>
            <w:tcW w:w="6364" w:type="dxa"/>
            <w:gridSpan w:val="2"/>
            <w:tcBorders>
              <w:tl2br w:val="nil"/>
              <w:tr2bl w:val="nil"/>
            </w:tcBorders>
            <w:shd w:val="clear" w:color="auto" w:fill="auto"/>
            <w:vAlign w:val="center"/>
          </w:tcPr>
          <w:p w14:paraId="79BB3A02">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展示当前单位年初制定的指标和完成情况及晾晒。</w:t>
            </w:r>
          </w:p>
        </w:tc>
      </w:tr>
      <w:tr w14:paraId="79E28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 w:hRule="atLeast"/>
        </w:trPr>
        <w:tc>
          <w:tcPr>
            <w:tcW w:w="551" w:type="dxa"/>
            <w:vMerge w:val="continue"/>
            <w:tcBorders>
              <w:tl2br w:val="nil"/>
              <w:tr2bl w:val="nil"/>
            </w:tcBorders>
            <w:shd w:val="clear" w:color="auto" w:fill="auto"/>
            <w:vAlign w:val="center"/>
          </w:tcPr>
          <w:p w14:paraId="17C20C2B">
            <w:pPr>
              <w:widowControl/>
              <w:jc w:val="center"/>
              <w:rPr>
                <w:color w:val="auto"/>
                <w:highlight w:val="none"/>
              </w:rPr>
            </w:pPr>
          </w:p>
        </w:tc>
        <w:tc>
          <w:tcPr>
            <w:tcW w:w="517" w:type="dxa"/>
            <w:vMerge w:val="continue"/>
            <w:tcBorders>
              <w:tl2br w:val="nil"/>
              <w:tr2bl w:val="nil"/>
            </w:tcBorders>
            <w:vAlign w:val="center"/>
          </w:tcPr>
          <w:p w14:paraId="3430EB52">
            <w:pPr>
              <w:widowControl/>
              <w:jc w:val="center"/>
              <w:rPr>
                <w:color w:val="auto"/>
                <w:highlight w:val="none"/>
              </w:rPr>
            </w:pPr>
          </w:p>
        </w:tc>
        <w:tc>
          <w:tcPr>
            <w:tcW w:w="833" w:type="dxa"/>
            <w:vMerge w:val="continue"/>
            <w:tcBorders>
              <w:tl2br w:val="nil"/>
              <w:tr2bl w:val="nil"/>
            </w:tcBorders>
            <w:shd w:val="clear" w:color="auto" w:fill="auto"/>
            <w:vAlign w:val="center"/>
          </w:tcPr>
          <w:p w14:paraId="61004697">
            <w:pPr>
              <w:widowControl/>
              <w:jc w:val="center"/>
              <w:rPr>
                <w:color w:val="auto"/>
                <w:highlight w:val="none"/>
              </w:rPr>
            </w:pPr>
          </w:p>
        </w:tc>
        <w:tc>
          <w:tcPr>
            <w:tcW w:w="817" w:type="dxa"/>
            <w:vMerge w:val="continue"/>
            <w:tcBorders>
              <w:tl2br w:val="nil"/>
              <w:tr2bl w:val="nil"/>
            </w:tcBorders>
            <w:shd w:val="clear" w:color="auto" w:fill="auto"/>
            <w:vAlign w:val="center"/>
          </w:tcPr>
          <w:p w14:paraId="071ECED3">
            <w:pPr>
              <w:widowControl/>
              <w:jc w:val="center"/>
              <w:rPr>
                <w:color w:val="auto"/>
                <w:highlight w:val="none"/>
              </w:rPr>
            </w:pPr>
          </w:p>
        </w:tc>
        <w:tc>
          <w:tcPr>
            <w:tcW w:w="794" w:type="dxa"/>
            <w:tcBorders>
              <w:tl2br w:val="nil"/>
              <w:tr2bl w:val="nil"/>
            </w:tcBorders>
            <w:shd w:val="clear" w:color="auto" w:fill="auto"/>
            <w:vAlign w:val="center"/>
          </w:tcPr>
          <w:p w14:paraId="1034FC78">
            <w:pPr>
              <w:widowControl/>
              <w:jc w:val="center"/>
              <w:rPr>
                <w:color w:val="auto"/>
                <w:highlight w:val="none"/>
              </w:rPr>
            </w:pPr>
            <w:r>
              <w:rPr>
                <w:rFonts w:hint="eastAsia" w:ascii="宋体" w:hAnsi="宋体" w:eastAsia="宋体" w:cs="宋体"/>
                <w:color w:val="auto"/>
                <w:kern w:val="0"/>
                <w:szCs w:val="21"/>
                <w:highlight w:val="none"/>
              </w:rPr>
              <w:t>综合考核</w:t>
            </w:r>
          </w:p>
        </w:tc>
        <w:tc>
          <w:tcPr>
            <w:tcW w:w="6364" w:type="dxa"/>
            <w:gridSpan w:val="2"/>
            <w:tcBorders>
              <w:tl2br w:val="nil"/>
              <w:tr2bl w:val="nil"/>
            </w:tcBorders>
            <w:shd w:val="clear" w:color="auto" w:fill="auto"/>
            <w:vAlign w:val="center"/>
          </w:tcPr>
          <w:p w14:paraId="17DC57B3">
            <w:pPr>
              <w:widowControl/>
              <w:rPr>
                <w:color w:val="auto"/>
                <w:highlight w:val="none"/>
              </w:rPr>
            </w:pPr>
            <w:r>
              <w:rPr>
                <w:rFonts w:hint="eastAsia" w:ascii="宋体" w:hAnsi="宋体" w:eastAsia="宋体" w:cs="宋体"/>
                <w:color w:val="auto"/>
                <w:kern w:val="0"/>
                <w:szCs w:val="21"/>
                <w:highlight w:val="none"/>
              </w:rPr>
              <w:t>各项考核指标分数、等次展示，支持详情查看。</w:t>
            </w:r>
          </w:p>
        </w:tc>
      </w:tr>
      <w:tr w14:paraId="60EBD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 w:hRule="atLeast"/>
        </w:trPr>
        <w:tc>
          <w:tcPr>
            <w:tcW w:w="551" w:type="dxa"/>
            <w:vMerge w:val="continue"/>
            <w:tcBorders>
              <w:tl2br w:val="nil"/>
              <w:tr2bl w:val="nil"/>
            </w:tcBorders>
            <w:shd w:val="clear" w:color="auto" w:fill="auto"/>
            <w:vAlign w:val="center"/>
          </w:tcPr>
          <w:p w14:paraId="1CFA9645">
            <w:pPr>
              <w:widowControl/>
              <w:jc w:val="center"/>
              <w:rPr>
                <w:color w:val="auto"/>
                <w:highlight w:val="none"/>
              </w:rPr>
            </w:pPr>
          </w:p>
        </w:tc>
        <w:tc>
          <w:tcPr>
            <w:tcW w:w="517" w:type="dxa"/>
            <w:vMerge w:val="continue"/>
            <w:tcBorders>
              <w:tl2br w:val="nil"/>
              <w:tr2bl w:val="nil"/>
            </w:tcBorders>
            <w:vAlign w:val="center"/>
          </w:tcPr>
          <w:p w14:paraId="38402C09">
            <w:pPr>
              <w:widowControl/>
              <w:jc w:val="center"/>
              <w:rPr>
                <w:color w:val="auto"/>
                <w:highlight w:val="none"/>
              </w:rPr>
            </w:pPr>
          </w:p>
        </w:tc>
        <w:tc>
          <w:tcPr>
            <w:tcW w:w="833" w:type="dxa"/>
            <w:vMerge w:val="continue"/>
            <w:tcBorders>
              <w:tl2br w:val="nil"/>
              <w:tr2bl w:val="nil"/>
            </w:tcBorders>
            <w:shd w:val="clear" w:color="auto" w:fill="auto"/>
            <w:vAlign w:val="center"/>
          </w:tcPr>
          <w:p w14:paraId="50ABEE0D">
            <w:pPr>
              <w:widowControl/>
              <w:jc w:val="center"/>
              <w:rPr>
                <w:color w:val="auto"/>
                <w:highlight w:val="none"/>
              </w:rPr>
            </w:pPr>
          </w:p>
        </w:tc>
        <w:tc>
          <w:tcPr>
            <w:tcW w:w="817" w:type="dxa"/>
            <w:vMerge w:val="continue"/>
            <w:tcBorders>
              <w:tl2br w:val="nil"/>
              <w:tr2bl w:val="nil"/>
            </w:tcBorders>
            <w:shd w:val="clear" w:color="auto" w:fill="auto"/>
            <w:vAlign w:val="center"/>
          </w:tcPr>
          <w:p w14:paraId="66BDEDEF">
            <w:pPr>
              <w:widowControl/>
              <w:jc w:val="center"/>
              <w:rPr>
                <w:color w:val="auto"/>
                <w:highlight w:val="none"/>
              </w:rPr>
            </w:pPr>
          </w:p>
        </w:tc>
        <w:tc>
          <w:tcPr>
            <w:tcW w:w="794" w:type="dxa"/>
            <w:tcBorders>
              <w:tl2br w:val="nil"/>
              <w:tr2bl w:val="nil"/>
            </w:tcBorders>
            <w:shd w:val="clear" w:color="auto" w:fill="auto"/>
            <w:vAlign w:val="center"/>
          </w:tcPr>
          <w:p w14:paraId="40616D0F">
            <w:pPr>
              <w:widowControl/>
              <w:jc w:val="center"/>
              <w:rPr>
                <w:color w:val="auto"/>
                <w:highlight w:val="none"/>
              </w:rPr>
            </w:pPr>
            <w:r>
              <w:rPr>
                <w:rFonts w:hint="eastAsia" w:ascii="宋体" w:hAnsi="宋体" w:eastAsia="宋体" w:cs="宋体"/>
                <w:color w:val="auto"/>
                <w:kern w:val="0"/>
                <w:szCs w:val="21"/>
                <w:highlight w:val="none"/>
              </w:rPr>
              <w:t>七创争先</w:t>
            </w:r>
          </w:p>
        </w:tc>
        <w:tc>
          <w:tcPr>
            <w:tcW w:w="6364" w:type="dxa"/>
            <w:gridSpan w:val="2"/>
            <w:tcBorders>
              <w:tl2br w:val="nil"/>
              <w:tr2bl w:val="nil"/>
            </w:tcBorders>
            <w:shd w:val="clear" w:color="auto" w:fill="auto"/>
            <w:vAlign w:val="center"/>
          </w:tcPr>
          <w:p w14:paraId="650DD978">
            <w:pPr>
              <w:widowControl/>
              <w:rPr>
                <w:color w:val="auto"/>
                <w:highlight w:val="none"/>
              </w:rPr>
            </w:pPr>
            <w:r>
              <w:rPr>
                <w:rFonts w:hint="eastAsia" w:ascii="宋体" w:hAnsi="宋体" w:eastAsia="宋体" w:cs="宋体"/>
                <w:color w:val="auto"/>
                <w:kern w:val="0"/>
                <w:szCs w:val="21"/>
                <w:highlight w:val="none"/>
              </w:rPr>
              <w:t>展示当前单位所有的指标、目标、完成情况、督查考评结果等内容。</w:t>
            </w:r>
          </w:p>
        </w:tc>
      </w:tr>
      <w:tr w14:paraId="10C68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 w:hRule="atLeast"/>
        </w:trPr>
        <w:tc>
          <w:tcPr>
            <w:tcW w:w="551" w:type="dxa"/>
            <w:vMerge w:val="continue"/>
            <w:tcBorders>
              <w:tl2br w:val="nil"/>
              <w:tr2bl w:val="nil"/>
            </w:tcBorders>
            <w:shd w:val="clear" w:color="auto" w:fill="auto"/>
            <w:vAlign w:val="center"/>
          </w:tcPr>
          <w:p w14:paraId="63EF4331">
            <w:pPr>
              <w:widowControl/>
              <w:jc w:val="center"/>
              <w:rPr>
                <w:color w:val="auto"/>
                <w:highlight w:val="none"/>
              </w:rPr>
            </w:pPr>
          </w:p>
        </w:tc>
        <w:tc>
          <w:tcPr>
            <w:tcW w:w="517" w:type="dxa"/>
            <w:vMerge w:val="continue"/>
            <w:tcBorders>
              <w:tl2br w:val="nil"/>
              <w:tr2bl w:val="nil"/>
            </w:tcBorders>
            <w:vAlign w:val="center"/>
          </w:tcPr>
          <w:p w14:paraId="2E9AAE3E">
            <w:pPr>
              <w:widowControl/>
              <w:jc w:val="center"/>
              <w:rPr>
                <w:color w:val="auto"/>
                <w:highlight w:val="none"/>
              </w:rPr>
            </w:pPr>
          </w:p>
        </w:tc>
        <w:tc>
          <w:tcPr>
            <w:tcW w:w="833" w:type="dxa"/>
            <w:vMerge w:val="continue"/>
            <w:tcBorders>
              <w:tl2br w:val="nil"/>
              <w:tr2bl w:val="nil"/>
            </w:tcBorders>
            <w:shd w:val="clear" w:color="auto" w:fill="auto"/>
            <w:vAlign w:val="center"/>
          </w:tcPr>
          <w:p w14:paraId="288BB144">
            <w:pPr>
              <w:widowControl/>
              <w:jc w:val="center"/>
              <w:rPr>
                <w:color w:val="auto"/>
                <w:highlight w:val="none"/>
              </w:rPr>
            </w:pPr>
          </w:p>
        </w:tc>
        <w:tc>
          <w:tcPr>
            <w:tcW w:w="817" w:type="dxa"/>
            <w:vMerge w:val="continue"/>
            <w:tcBorders>
              <w:tl2br w:val="nil"/>
              <w:tr2bl w:val="nil"/>
            </w:tcBorders>
            <w:shd w:val="clear" w:color="auto" w:fill="auto"/>
            <w:vAlign w:val="center"/>
          </w:tcPr>
          <w:p w14:paraId="3407C8ED">
            <w:pPr>
              <w:widowControl/>
              <w:jc w:val="center"/>
              <w:rPr>
                <w:color w:val="auto"/>
                <w:highlight w:val="none"/>
              </w:rPr>
            </w:pPr>
          </w:p>
        </w:tc>
        <w:tc>
          <w:tcPr>
            <w:tcW w:w="794" w:type="dxa"/>
            <w:tcBorders>
              <w:tl2br w:val="nil"/>
              <w:tr2bl w:val="nil"/>
            </w:tcBorders>
            <w:shd w:val="clear" w:color="auto" w:fill="auto"/>
            <w:vAlign w:val="center"/>
          </w:tcPr>
          <w:p w14:paraId="4EE022FD">
            <w:pPr>
              <w:widowControl/>
              <w:jc w:val="center"/>
              <w:rPr>
                <w:color w:val="auto"/>
                <w:highlight w:val="none"/>
              </w:rPr>
            </w:pPr>
            <w:r>
              <w:rPr>
                <w:rFonts w:hint="eastAsia" w:ascii="宋体" w:hAnsi="宋体" w:eastAsia="宋体" w:cs="宋体"/>
                <w:color w:val="auto"/>
                <w:kern w:val="0"/>
                <w:szCs w:val="21"/>
                <w:highlight w:val="none"/>
              </w:rPr>
              <w:t>示范警示榜</w:t>
            </w:r>
          </w:p>
        </w:tc>
        <w:tc>
          <w:tcPr>
            <w:tcW w:w="6364" w:type="dxa"/>
            <w:gridSpan w:val="2"/>
            <w:tcBorders>
              <w:tl2br w:val="nil"/>
              <w:tr2bl w:val="nil"/>
            </w:tcBorders>
            <w:shd w:val="clear" w:color="auto" w:fill="auto"/>
            <w:vAlign w:val="center"/>
          </w:tcPr>
          <w:p w14:paraId="4A58D3DC">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展示当前单位获得示范荣誉及警示。</w:t>
            </w:r>
          </w:p>
        </w:tc>
      </w:tr>
      <w:tr w14:paraId="79070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6" w:hRule="atLeast"/>
        </w:trPr>
        <w:tc>
          <w:tcPr>
            <w:tcW w:w="551" w:type="dxa"/>
            <w:vMerge w:val="restart"/>
            <w:tcBorders>
              <w:tl2br w:val="nil"/>
              <w:tr2bl w:val="nil"/>
            </w:tcBorders>
            <w:shd w:val="clear" w:color="auto" w:fill="auto"/>
            <w:vAlign w:val="center"/>
          </w:tcPr>
          <w:p w14:paraId="61CD6FC6">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517" w:type="dxa"/>
            <w:vMerge w:val="restart"/>
            <w:tcBorders>
              <w:tl2br w:val="nil"/>
              <w:tr2bl w:val="nil"/>
            </w:tcBorders>
            <w:shd w:val="clear" w:color="auto" w:fill="auto"/>
            <w:vAlign w:val="center"/>
          </w:tcPr>
          <w:p w14:paraId="15842E17">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业务应用</w:t>
            </w:r>
          </w:p>
        </w:tc>
        <w:tc>
          <w:tcPr>
            <w:tcW w:w="833" w:type="dxa"/>
            <w:vMerge w:val="restart"/>
            <w:tcBorders>
              <w:tl2br w:val="nil"/>
              <w:tr2bl w:val="nil"/>
            </w:tcBorders>
            <w:shd w:val="clear" w:color="auto" w:fill="auto"/>
            <w:vAlign w:val="center"/>
          </w:tcPr>
          <w:p w14:paraId="1D6EF2E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党政督查</w:t>
            </w:r>
          </w:p>
        </w:tc>
        <w:tc>
          <w:tcPr>
            <w:tcW w:w="817" w:type="dxa"/>
            <w:vMerge w:val="restart"/>
            <w:tcBorders>
              <w:tl2br w:val="nil"/>
              <w:tr2bl w:val="nil"/>
            </w:tcBorders>
            <w:shd w:val="clear" w:color="auto" w:fill="auto"/>
            <w:vAlign w:val="center"/>
          </w:tcPr>
          <w:p w14:paraId="42268F2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工作台</w:t>
            </w:r>
          </w:p>
          <w:p w14:paraId="2A61841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（包含领导批示、决策督查、专项督查）</w:t>
            </w:r>
          </w:p>
        </w:tc>
        <w:tc>
          <w:tcPr>
            <w:tcW w:w="794" w:type="dxa"/>
            <w:tcBorders>
              <w:tl2br w:val="nil"/>
              <w:tr2bl w:val="nil"/>
            </w:tcBorders>
            <w:shd w:val="clear" w:color="auto" w:fill="auto"/>
            <w:vAlign w:val="center"/>
          </w:tcPr>
          <w:p w14:paraId="2541E3F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数据统计</w:t>
            </w:r>
          </w:p>
        </w:tc>
        <w:tc>
          <w:tcPr>
            <w:tcW w:w="6364" w:type="dxa"/>
            <w:gridSpan w:val="2"/>
            <w:tcBorders>
              <w:tl2br w:val="nil"/>
              <w:tr2bl w:val="nil"/>
            </w:tcBorders>
            <w:shd w:val="clear" w:color="auto" w:fill="auto"/>
            <w:vAlign w:val="center"/>
          </w:tcPr>
          <w:p w14:paraId="47DEDAA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领导批示、决策、专项督查事项的汇总统计，包含任务总数、在办数、逾期数、涉及办理单位数等，可按时间周期、按事项、按单位进行组合查询汇总，支持二级详情列表的数据展示。</w:t>
            </w:r>
          </w:p>
        </w:tc>
      </w:tr>
      <w:tr w14:paraId="08586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6" w:hRule="atLeast"/>
        </w:trPr>
        <w:tc>
          <w:tcPr>
            <w:tcW w:w="551" w:type="dxa"/>
            <w:vMerge w:val="continue"/>
            <w:tcBorders>
              <w:tl2br w:val="nil"/>
              <w:tr2bl w:val="nil"/>
            </w:tcBorders>
            <w:shd w:val="clear" w:color="auto" w:fill="auto"/>
            <w:vAlign w:val="center"/>
          </w:tcPr>
          <w:p w14:paraId="62815847">
            <w:pPr>
              <w:widowControl/>
              <w:jc w:val="center"/>
              <w:rPr>
                <w:color w:val="auto"/>
                <w:highlight w:val="none"/>
              </w:rPr>
            </w:pPr>
          </w:p>
        </w:tc>
        <w:tc>
          <w:tcPr>
            <w:tcW w:w="517" w:type="dxa"/>
            <w:vMerge w:val="continue"/>
            <w:tcBorders>
              <w:tl2br w:val="nil"/>
              <w:tr2bl w:val="nil"/>
            </w:tcBorders>
            <w:shd w:val="clear" w:color="auto" w:fill="auto"/>
            <w:vAlign w:val="center"/>
          </w:tcPr>
          <w:p w14:paraId="6EBB79FB">
            <w:pPr>
              <w:widowControl/>
              <w:jc w:val="center"/>
              <w:rPr>
                <w:color w:val="auto"/>
                <w:highlight w:val="none"/>
              </w:rPr>
            </w:pPr>
          </w:p>
        </w:tc>
        <w:tc>
          <w:tcPr>
            <w:tcW w:w="833" w:type="dxa"/>
            <w:vMerge w:val="continue"/>
            <w:tcBorders>
              <w:tl2br w:val="nil"/>
              <w:tr2bl w:val="nil"/>
            </w:tcBorders>
            <w:shd w:val="clear" w:color="auto" w:fill="auto"/>
            <w:vAlign w:val="center"/>
          </w:tcPr>
          <w:p w14:paraId="7C7B584C">
            <w:pPr>
              <w:widowControl/>
              <w:jc w:val="center"/>
              <w:rPr>
                <w:color w:val="auto"/>
                <w:highlight w:val="none"/>
              </w:rPr>
            </w:pPr>
          </w:p>
        </w:tc>
        <w:tc>
          <w:tcPr>
            <w:tcW w:w="817" w:type="dxa"/>
            <w:vMerge w:val="continue"/>
            <w:tcBorders>
              <w:tl2br w:val="nil"/>
              <w:tr2bl w:val="nil"/>
            </w:tcBorders>
            <w:shd w:val="clear" w:color="auto" w:fill="auto"/>
            <w:vAlign w:val="center"/>
          </w:tcPr>
          <w:p w14:paraId="5FE0FA19">
            <w:pPr>
              <w:widowControl/>
              <w:jc w:val="center"/>
              <w:rPr>
                <w:color w:val="auto"/>
                <w:highlight w:val="none"/>
              </w:rPr>
            </w:pPr>
          </w:p>
        </w:tc>
        <w:tc>
          <w:tcPr>
            <w:tcW w:w="794" w:type="dxa"/>
            <w:tcBorders>
              <w:tl2br w:val="nil"/>
              <w:tr2bl w:val="nil"/>
            </w:tcBorders>
            <w:shd w:val="clear" w:color="auto" w:fill="auto"/>
            <w:vAlign w:val="center"/>
          </w:tcPr>
          <w:p w14:paraId="77CC4CB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待办事项</w:t>
            </w:r>
          </w:p>
        </w:tc>
        <w:tc>
          <w:tcPr>
            <w:tcW w:w="6364" w:type="dxa"/>
            <w:gridSpan w:val="2"/>
            <w:tcBorders>
              <w:tl2br w:val="nil"/>
              <w:tr2bl w:val="nil"/>
            </w:tcBorders>
            <w:shd w:val="clear" w:color="auto" w:fill="auto"/>
            <w:vAlign w:val="center"/>
          </w:tcPr>
          <w:p w14:paraId="03DE128B">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展示领导批示、决策、专项督查全业务流程的待办数据，包含创建、交办、签收、办理反馈、办结销号和评价的待办，支持按月度、季度和年度查询，支持二级详情列表的数据展示。</w:t>
            </w:r>
          </w:p>
        </w:tc>
      </w:tr>
      <w:tr w14:paraId="2885B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551" w:type="dxa"/>
            <w:vMerge w:val="continue"/>
            <w:tcBorders>
              <w:tl2br w:val="nil"/>
              <w:tr2bl w:val="nil"/>
            </w:tcBorders>
            <w:shd w:val="clear" w:color="auto" w:fill="auto"/>
            <w:vAlign w:val="center"/>
          </w:tcPr>
          <w:p w14:paraId="7917D544">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shd w:val="clear" w:color="auto" w:fill="auto"/>
            <w:vAlign w:val="center"/>
          </w:tcPr>
          <w:p w14:paraId="77DC6D00">
            <w:pPr>
              <w:widowControl/>
              <w:jc w:val="center"/>
              <w:rPr>
                <w:rFonts w:ascii="宋体" w:hAnsi="宋体" w:eastAsia="宋体" w:cs="宋体"/>
                <w:color w:val="auto"/>
                <w:kern w:val="0"/>
                <w:szCs w:val="21"/>
                <w:highlight w:val="none"/>
              </w:rPr>
            </w:pPr>
          </w:p>
        </w:tc>
        <w:tc>
          <w:tcPr>
            <w:tcW w:w="833" w:type="dxa"/>
            <w:vMerge w:val="continue"/>
            <w:tcBorders>
              <w:tl2br w:val="nil"/>
              <w:tr2bl w:val="nil"/>
            </w:tcBorders>
            <w:shd w:val="clear" w:color="auto" w:fill="auto"/>
            <w:vAlign w:val="center"/>
          </w:tcPr>
          <w:p w14:paraId="52B4DCA1">
            <w:pPr>
              <w:widowControl/>
              <w:jc w:val="center"/>
              <w:rPr>
                <w:rFonts w:ascii="宋体" w:hAnsi="宋体" w:eastAsia="宋体" w:cs="宋体"/>
                <w:color w:val="auto"/>
                <w:kern w:val="0"/>
                <w:szCs w:val="21"/>
                <w:highlight w:val="none"/>
              </w:rPr>
            </w:pPr>
          </w:p>
        </w:tc>
        <w:tc>
          <w:tcPr>
            <w:tcW w:w="817" w:type="dxa"/>
            <w:vMerge w:val="continue"/>
            <w:tcBorders>
              <w:tl2br w:val="nil"/>
              <w:tr2bl w:val="nil"/>
            </w:tcBorders>
            <w:shd w:val="clear" w:color="auto" w:fill="auto"/>
            <w:vAlign w:val="center"/>
          </w:tcPr>
          <w:p w14:paraId="7542F0EE">
            <w:pPr>
              <w:widowControl/>
              <w:jc w:val="center"/>
              <w:rPr>
                <w:color w:val="auto"/>
                <w:highlight w:val="none"/>
              </w:rPr>
            </w:pPr>
          </w:p>
        </w:tc>
        <w:tc>
          <w:tcPr>
            <w:tcW w:w="794" w:type="dxa"/>
            <w:tcBorders>
              <w:tl2br w:val="nil"/>
              <w:tr2bl w:val="nil"/>
            </w:tcBorders>
            <w:shd w:val="clear" w:color="auto" w:fill="auto"/>
            <w:vAlign w:val="center"/>
          </w:tcPr>
          <w:p w14:paraId="5103024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重点关注</w:t>
            </w:r>
          </w:p>
        </w:tc>
        <w:tc>
          <w:tcPr>
            <w:tcW w:w="6364" w:type="dxa"/>
            <w:gridSpan w:val="2"/>
            <w:tcBorders>
              <w:tl2br w:val="nil"/>
              <w:tr2bl w:val="nil"/>
            </w:tcBorders>
            <w:shd w:val="clear" w:color="auto" w:fill="auto"/>
            <w:vAlign w:val="center"/>
          </w:tcPr>
          <w:p w14:paraId="2749F99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包含追踪、月度关注等督办事项，支持二级详情列表的数据展示。</w:t>
            </w:r>
          </w:p>
        </w:tc>
      </w:tr>
      <w:tr w14:paraId="491DF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6" w:hRule="atLeast"/>
        </w:trPr>
        <w:tc>
          <w:tcPr>
            <w:tcW w:w="551" w:type="dxa"/>
            <w:vMerge w:val="continue"/>
            <w:tcBorders>
              <w:tl2br w:val="nil"/>
              <w:tr2bl w:val="nil"/>
            </w:tcBorders>
            <w:shd w:val="clear" w:color="auto" w:fill="auto"/>
            <w:vAlign w:val="center"/>
          </w:tcPr>
          <w:p w14:paraId="2B2D0393">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shd w:val="clear" w:color="auto" w:fill="auto"/>
            <w:vAlign w:val="center"/>
          </w:tcPr>
          <w:p w14:paraId="4B70F877">
            <w:pPr>
              <w:widowControl/>
              <w:jc w:val="center"/>
              <w:rPr>
                <w:rFonts w:ascii="宋体" w:hAnsi="宋体" w:eastAsia="宋体" w:cs="宋体"/>
                <w:color w:val="auto"/>
                <w:kern w:val="0"/>
                <w:szCs w:val="21"/>
                <w:highlight w:val="none"/>
              </w:rPr>
            </w:pPr>
          </w:p>
        </w:tc>
        <w:tc>
          <w:tcPr>
            <w:tcW w:w="833" w:type="dxa"/>
            <w:vMerge w:val="continue"/>
            <w:tcBorders>
              <w:tl2br w:val="nil"/>
              <w:tr2bl w:val="nil"/>
            </w:tcBorders>
            <w:shd w:val="clear" w:color="auto" w:fill="auto"/>
            <w:vAlign w:val="center"/>
          </w:tcPr>
          <w:p w14:paraId="0F652604">
            <w:pPr>
              <w:widowControl/>
              <w:jc w:val="center"/>
              <w:rPr>
                <w:rFonts w:ascii="宋体" w:hAnsi="宋体" w:eastAsia="宋体" w:cs="宋体"/>
                <w:color w:val="auto"/>
                <w:kern w:val="0"/>
                <w:szCs w:val="21"/>
                <w:highlight w:val="none"/>
              </w:rPr>
            </w:pPr>
          </w:p>
        </w:tc>
        <w:tc>
          <w:tcPr>
            <w:tcW w:w="817" w:type="dxa"/>
            <w:vMerge w:val="continue"/>
            <w:tcBorders>
              <w:tl2br w:val="nil"/>
              <w:tr2bl w:val="nil"/>
            </w:tcBorders>
            <w:shd w:val="clear" w:color="auto" w:fill="auto"/>
            <w:vAlign w:val="center"/>
          </w:tcPr>
          <w:p w14:paraId="683587E4">
            <w:pPr>
              <w:widowControl/>
              <w:jc w:val="center"/>
              <w:rPr>
                <w:color w:val="auto"/>
                <w:highlight w:val="none"/>
              </w:rPr>
            </w:pPr>
          </w:p>
        </w:tc>
        <w:tc>
          <w:tcPr>
            <w:tcW w:w="794" w:type="dxa"/>
            <w:tcBorders>
              <w:tl2br w:val="nil"/>
              <w:tr2bl w:val="nil"/>
            </w:tcBorders>
            <w:shd w:val="clear" w:color="auto" w:fill="auto"/>
            <w:vAlign w:val="center"/>
          </w:tcPr>
          <w:p w14:paraId="30575E4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预警提醒</w:t>
            </w:r>
          </w:p>
        </w:tc>
        <w:tc>
          <w:tcPr>
            <w:tcW w:w="6364" w:type="dxa"/>
            <w:gridSpan w:val="2"/>
            <w:tcBorders>
              <w:tl2br w:val="nil"/>
              <w:tr2bl w:val="nil"/>
            </w:tcBorders>
            <w:shd w:val="clear" w:color="auto" w:fill="auto"/>
            <w:vAlign w:val="center"/>
          </w:tcPr>
          <w:p w14:paraId="43999BE2">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根据制定的预警规则展示预警情况，支持按时间、按单位、按督查类型、按预警类型等多维度的查询，提供图表展示功能，比如预警趋势的折线图，预警单位的柱状图、预警详情列表等。</w:t>
            </w:r>
          </w:p>
        </w:tc>
      </w:tr>
      <w:tr w14:paraId="531CE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2" w:hRule="atLeast"/>
        </w:trPr>
        <w:tc>
          <w:tcPr>
            <w:tcW w:w="551" w:type="dxa"/>
            <w:vMerge w:val="continue"/>
            <w:tcBorders>
              <w:tl2br w:val="nil"/>
              <w:tr2bl w:val="nil"/>
            </w:tcBorders>
            <w:shd w:val="clear" w:color="auto" w:fill="auto"/>
            <w:vAlign w:val="center"/>
          </w:tcPr>
          <w:p w14:paraId="5A5E2AEC">
            <w:pPr>
              <w:widowControl/>
              <w:jc w:val="center"/>
              <w:rPr>
                <w:color w:val="auto"/>
                <w:highlight w:val="none"/>
              </w:rPr>
            </w:pPr>
          </w:p>
        </w:tc>
        <w:tc>
          <w:tcPr>
            <w:tcW w:w="517" w:type="dxa"/>
            <w:vMerge w:val="continue"/>
            <w:tcBorders>
              <w:tl2br w:val="nil"/>
              <w:tr2bl w:val="nil"/>
            </w:tcBorders>
            <w:shd w:val="clear" w:color="auto" w:fill="auto"/>
            <w:vAlign w:val="center"/>
          </w:tcPr>
          <w:p w14:paraId="52F05224">
            <w:pPr>
              <w:widowControl/>
              <w:jc w:val="center"/>
              <w:rPr>
                <w:color w:val="auto"/>
                <w:highlight w:val="none"/>
              </w:rPr>
            </w:pPr>
          </w:p>
        </w:tc>
        <w:tc>
          <w:tcPr>
            <w:tcW w:w="833" w:type="dxa"/>
            <w:vMerge w:val="continue"/>
            <w:tcBorders>
              <w:tl2br w:val="nil"/>
              <w:tr2bl w:val="nil"/>
            </w:tcBorders>
            <w:shd w:val="clear" w:color="auto" w:fill="auto"/>
            <w:vAlign w:val="center"/>
          </w:tcPr>
          <w:p w14:paraId="5D5C7151">
            <w:pPr>
              <w:widowControl/>
              <w:jc w:val="center"/>
              <w:rPr>
                <w:color w:val="auto"/>
                <w:highlight w:val="none"/>
              </w:rPr>
            </w:pPr>
          </w:p>
        </w:tc>
        <w:tc>
          <w:tcPr>
            <w:tcW w:w="817" w:type="dxa"/>
            <w:vMerge w:val="restart"/>
            <w:tcBorders>
              <w:tl2br w:val="nil"/>
              <w:tr2bl w:val="nil"/>
            </w:tcBorders>
            <w:shd w:val="clear" w:color="auto" w:fill="auto"/>
            <w:vAlign w:val="center"/>
          </w:tcPr>
          <w:p w14:paraId="375E0043">
            <w:pPr>
              <w:widowControl/>
              <w:jc w:val="center"/>
              <w:rPr>
                <w:rFonts w:eastAsia="宋体"/>
                <w:color w:val="auto"/>
                <w:highlight w:val="none"/>
              </w:rPr>
            </w:pPr>
            <w:r>
              <w:rPr>
                <w:rFonts w:hint="eastAsia" w:ascii="宋体" w:hAnsi="宋体" w:eastAsia="宋体" w:cs="宋体"/>
                <w:color w:val="auto"/>
                <w:kern w:val="0"/>
                <w:szCs w:val="21"/>
                <w:highlight w:val="none"/>
              </w:rPr>
              <w:t>业务模块</w:t>
            </w:r>
          </w:p>
        </w:tc>
        <w:tc>
          <w:tcPr>
            <w:tcW w:w="794" w:type="dxa"/>
            <w:tcBorders>
              <w:tl2br w:val="nil"/>
              <w:tr2bl w:val="nil"/>
            </w:tcBorders>
            <w:shd w:val="clear" w:color="auto" w:fill="auto"/>
            <w:vAlign w:val="center"/>
          </w:tcPr>
          <w:p w14:paraId="183070E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登记创建</w:t>
            </w:r>
          </w:p>
        </w:tc>
        <w:tc>
          <w:tcPr>
            <w:tcW w:w="6364" w:type="dxa"/>
            <w:gridSpan w:val="2"/>
            <w:tcBorders>
              <w:tl2br w:val="nil"/>
              <w:tr2bl w:val="nil"/>
            </w:tcBorders>
            <w:shd w:val="clear" w:color="auto" w:fill="auto"/>
            <w:vAlign w:val="center"/>
          </w:tcPr>
          <w:p w14:paraId="4D619C6C">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业务需要由督考中心务人员进行领导批示、决策/专项督查事项创建，创建的过程中可根据填写的内容生成正式的督查通知书，实现督查通知书的创建、编辑、删除、交办和查询功能，支持领导批示编号、督查编号根据业务规则系统自动生成。附件上传需支持word、Excel、PDF、JPG、PNG等多种格式，支持在线编辑功能。同时为鄞州区OA系统预留领导批示数据同步接口。</w:t>
            </w:r>
          </w:p>
        </w:tc>
      </w:tr>
      <w:tr w14:paraId="1CBC4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2" w:hRule="atLeast"/>
        </w:trPr>
        <w:tc>
          <w:tcPr>
            <w:tcW w:w="551" w:type="dxa"/>
            <w:vMerge w:val="continue"/>
            <w:tcBorders>
              <w:tl2br w:val="nil"/>
              <w:tr2bl w:val="nil"/>
            </w:tcBorders>
            <w:shd w:val="clear" w:color="auto" w:fill="auto"/>
            <w:vAlign w:val="center"/>
          </w:tcPr>
          <w:p w14:paraId="350F1B9E">
            <w:pPr>
              <w:widowControl/>
              <w:jc w:val="center"/>
              <w:rPr>
                <w:color w:val="auto"/>
                <w:highlight w:val="none"/>
              </w:rPr>
            </w:pPr>
          </w:p>
        </w:tc>
        <w:tc>
          <w:tcPr>
            <w:tcW w:w="517" w:type="dxa"/>
            <w:vMerge w:val="continue"/>
            <w:tcBorders>
              <w:tl2br w:val="nil"/>
              <w:tr2bl w:val="nil"/>
            </w:tcBorders>
            <w:shd w:val="clear" w:color="auto" w:fill="auto"/>
            <w:vAlign w:val="center"/>
          </w:tcPr>
          <w:p w14:paraId="0F7DB716">
            <w:pPr>
              <w:widowControl/>
              <w:jc w:val="center"/>
              <w:rPr>
                <w:color w:val="auto"/>
                <w:highlight w:val="none"/>
              </w:rPr>
            </w:pPr>
          </w:p>
        </w:tc>
        <w:tc>
          <w:tcPr>
            <w:tcW w:w="833" w:type="dxa"/>
            <w:vMerge w:val="continue"/>
            <w:tcBorders>
              <w:tl2br w:val="nil"/>
              <w:tr2bl w:val="nil"/>
            </w:tcBorders>
            <w:shd w:val="clear" w:color="auto" w:fill="auto"/>
            <w:vAlign w:val="center"/>
          </w:tcPr>
          <w:p w14:paraId="6B5E1967">
            <w:pPr>
              <w:widowControl/>
              <w:jc w:val="center"/>
              <w:rPr>
                <w:color w:val="auto"/>
                <w:highlight w:val="none"/>
              </w:rPr>
            </w:pPr>
          </w:p>
        </w:tc>
        <w:tc>
          <w:tcPr>
            <w:tcW w:w="817" w:type="dxa"/>
            <w:vMerge w:val="continue"/>
            <w:tcBorders>
              <w:tl2br w:val="nil"/>
              <w:tr2bl w:val="nil"/>
            </w:tcBorders>
            <w:shd w:val="clear" w:color="auto" w:fill="auto"/>
            <w:vAlign w:val="center"/>
          </w:tcPr>
          <w:p w14:paraId="1ACF147A">
            <w:pPr>
              <w:widowControl/>
              <w:jc w:val="center"/>
              <w:rPr>
                <w:color w:val="auto"/>
                <w:highlight w:val="none"/>
              </w:rPr>
            </w:pPr>
          </w:p>
        </w:tc>
        <w:tc>
          <w:tcPr>
            <w:tcW w:w="794" w:type="dxa"/>
            <w:tcBorders>
              <w:tl2br w:val="nil"/>
              <w:tr2bl w:val="nil"/>
            </w:tcBorders>
            <w:shd w:val="clear" w:color="auto" w:fill="auto"/>
            <w:vAlign w:val="center"/>
          </w:tcPr>
          <w:p w14:paraId="2FB8709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交办签收</w:t>
            </w:r>
          </w:p>
        </w:tc>
        <w:tc>
          <w:tcPr>
            <w:tcW w:w="6364" w:type="dxa"/>
            <w:gridSpan w:val="2"/>
            <w:tcBorders>
              <w:tl2br w:val="nil"/>
              <w:tr2bl w:val="nil"/>
            </w:tcBorders>
            <w:shd w:val="clear" w:color="auto" w:fill="auto"/>
            <w:vAlign w:val="center"/>
          </w:tcPr>
          <w:p w14:paraId="0BF83F22">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实现主送单位/牵头单位对批示件、决策/专项督查事项的签收和查询功能。</w:t>
            </w:r>
          </w:p>
        </w:tc>
      </w:tr>
      <w:tr w14:paraId="73963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6" w:hRule="atLeast"/>
        </w:trPr>
        <w:tc>
          <w:tcPr>
            <w:tcW w:w="551" w:type="dxa"/>
            <w:vMerge w:val="continue"/>
            <w:tcBorders>
              <w:tl2br w:val="nil"/>
              <w:tr2bl w:val="nil"/>
            </w:tcBorders>
            <w:shd w:val="clear" w:color="auto" w:fill="auto"/>
            <w:vAlign w:val="center"/>
          </w:tcPr>
          <w:p w14:paraId="7A3431AA">
            <w:pPr>
              <w:widowControl/>
              <w:jc w:val="center"/>
              <w:rPr>
                <w:color w:val="auto"/>
                <w:highlight w:val="none"/>
              </w:rPr>
            </w:pPr>
          </w:p>
        </w:tc>
        <w:tc>
          <w:tcPr>
            <w:tcW w:w="517" w:type="dxa"/>
            <w:vMerge w:val="continue"/>
            <w:tcBorders>
              <w:tl2br w:val="nil"/>
              <w:tr2bl w:val="nil"/>
            </w:tcBorders>
            <w:shd w:val="clear" w:color="auto" w:fill="auto"/>
            <w:vAlign w:val="center"/>
          </w:tcPr>
          <w:p w14:paraId="03F71AB7">
            <w:pPr>
              <w:widowControl/>
              <w:jc w:val="center"/>
              <w:rPr>
                <w:color w:val="auto"/>
                <w:highlight w:val="none"/>
              </w:rPr>
            </w:pPr>
          </w:p>
        </w:tc>
        <w:tc>
          <w:tcPr>
            <w:tcW w:w="833" w:type="dxa"/>
            <w:vMerge w:val="continue"/>
            <w:tcBorders>
              <w:tl2br w:val="nil"/>
              <w:tr2bl w:val="nil"/>
            </w:tcBorders>
            <w:shd w:val="clear" w:color="auto" w:fill="auto"/>
            <w:vAlign w:val="center"/>
          </w:tcPr>
          <w:p w14:paraId="7155C4EC">
            <w:pPr>
              <w:widowControl/>
              <w:jc w:val="center"/>
              <w:rPr>
                <w:color w:val="auto"/>
                <w:highlight w:val="none"/>
              </w:rPr>
            </w:pPr>
          </w:p>
        </w:tc>
        <w:tc>
          <w:tcPr>
            <w:tcW w:w="817" w:type="dxa"/>
            <w:vMerge w:val="continue"/>
            <w:tcBorders>
              <w:tl2br w:val="nil"/>
              <w:tr2bl w:val="nil"/>
            </w:tcBorders>
            <w:shd w:val="clear" w:color="auto" w:fill="auto"/>
            <w:vAlign w:val="center"/>
          </w:tcPr>
          <w:p w14:paraId="6EFF9535">
            <w:pPr>
              <w:widowControl/>
              <w:jc w:val="center"/>
              <w:rPr>
                <w:color w:val="auto"/>
                <w:highlight w:val="none"/>
              </w:rPr>
            </w:pPr>
          </w:p>
        </w:tc>
        <w:tc>
          <w:tcPr>
            <w:tcW w:w="794" w:type="dxa"/>
            <w:vMerge w:val="restart"/>
            <w:tcBorders>
              <w:tl2br w:val="nil"/>
              <w:tr2bl w:val="nil"/>
            </w:tcBorders>
            <w:shd w:val="clear" w:color="auto" w:fill="auto"/>
            <w:vAlign w:val="center"/>
          </w:tcPr>
          <w:p w14:paraId="23402E8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承办反馈</w:t>
            </w:r>
          </w:p>
        </w:tc>
        <w:tc>
          <w:tcPr>
            <w:tcW w:w="959" w:type="dxa"/>
            <w:tcBorders>
              <w:tl2br w:val="nil"/>
              <w:tr2bl w:val="nil"/>
            </w:tcBorders>
            <w:shd w:val="clear" w:color="auto" w:fill="auto"/>
            <w:vAlign w:val="center"/>
          </w:tcPr>
          <w:p w14:paraId="1A54387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阶段反馈</w:t>
            </w:r>
          </w:p>
        </w:tc>
        <w:tc>
          <w:tcPr>
            <w:tcW w:w="5405" w:type="dxa"/>
            <w:tcBorders>
              <w:tl2br w:val="nil"/>
              <w:tr2bl w:val="nil"/>
            </w:tcBorders>
            <w:shd w:val="clear" w:color="auto" w:fill="auto"/>
            <w:vAlign w:val="center"/>
          </w:tcPr>
          <w:p w14:paraId="0674A6C6">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为牵头单位提供反馈类型为按月反馈和按季反馈的督查事项提供进展反馈功能，同时支持保存、编辑、和提交功能。</w:t>
            </w:r>
          </w:p>
          <w:p w14:paraId="56ED6F6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附件上传：支持word、Excel、PDF、JPG、PNG等多种格式，同时支持在线预览。</w:t>
            </w:r>
          </w:p>
        </w:tc>
      </w:tr>
      <w:tr w14:paraId="21105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6" w:hRule="atLeast"/>
        </w:trPr>
        <w:tc>
          <w:tcPr>
            <w:tcW w:w="551" w:type="dxa"/>
            <w:vMerge w:val="continue"/>
            <w:tcBorders>
              <w:tl2br w:val="nil"/>
              <w:tr2bl w:val="nil"/>
            </w:tcBorders>
            <w:shd w:val="clear" w:color="auto" w:fill="auto"/>
            <w:vAlign w:val="center"/>
          </w:tcPr>
          <w:p w14:paraId="5E3DFCF5">
            <w:pPr>
              <w:widowControl/>
              <w:rPr>
                <w:color w:val="auto"/>
                <w:highlight w:val="none"/>
              </w:rPr>
            </w:pPr>
          </w:p>
        </w:tc>
        <w:tc>
          <w:tcPr>
            <w:tcW w:w="517" w:type="dxa"/>
            <w:vMerge w:val="continue"/>
            <w:tcBorders>
              <w:tl2br w:val="nil"/>
              <w:tr2bl w:val="nil"/>
            </w:tcBorders>
            <w:shd w:val="clear" w:color="auto" w:fill="auto"/>
            <w:vAlign w:val="center"/>
          </w:tcPr>
          <w:p w14:paraId="2A7FF207">
            <w:pPr>
              <w:widowControl/>
              <w:rPr>
                <w:color w:val="auto"/>
                <w:highlight w:val="none"/>
              </w:rPr>
            </w:pPr>
          </w:p>
        </w:tc>
        <w:tc>
          <w:tcPr>
            <w:tcW w:w="833" w:type="dxa"/>
            <w:vMerge w:val="continue"/>
            <w:tcBorders>
              <w:tl2br w:val="nil"/>
              <w:tr2bl w:val="nil"/>
            </w:tcBorders>
            <w:shd w:val="clear" w:color="auto" w:fill="auto"/>
            <w:vAlign w:val="center"/>
          </w:tcPr>
          <w:p w14:paraId="00E303AE">
            <w:pPr>
              <w:widowControl/>
              <w:rPr>
                <w:color w:val="auto"/>
                <w:highlight w:val="none"/>
              </w:rPr>
            </w:pPr>
          </w:p>
        </w:tc>
        <w:tc>
          <w:tcPr>
            <w:tcW w:w="817" w:type="dxa"/>
            <w:vMerge w:val="continue"/>
            <w:tcBorders>
              <w:tl2br w:val="nil"/>
              <w:tr2bl w:val="nil"/>
            </w:tcBorders>
            <w:shd w:val="clear" w:color="auto" w:fill="auto"/>
            <w:vAlign w:val="center"/>
          </w:tcPr>
          <w:p w14:paraId="01F4FD9B">
            <w:pPr>
              <w:widowControl/>
              <w:rPr>
                <w:color w:val="auto"/>
                <w:highlight w:val="none"/>
              </w:rPr>
            </w:pPr>
          </w:p>
        </w:tc>
        <w:tc>
          <w:tcPr>
            <w:tcW w:w="794" w:type="dxa"/>
            <w:vMerge w:val="continue"/>
            <w:tcBorders>
              <w:tl2br w:val="nil"/>
              <w:tr2bl w:val="nil"/>
            </w:tcBorders>
            <w:shd w:val="clear" w:color="auto" w:fill="auto"/>
            <w:vAlign w:val="center"/>
          </w:tcPr>
          <w:p w14:paraId="7DC4CE74">
            <w:pPr>
              <w:widowControl/>
              <w:rPr>
                <w:rFonts w:ascii="宋体" w:hAnsi="宋体" w:eastAsia="宋体" w:cs="宋体"/>
                <w:color w:val="auto"/>
                <w:kern w:val="0"/>
                <w:szCs w:val="21"/>
                <w:highlight w:val="none"/>
              </w:rPr>
            </w:pPr>
          </w:p>
        </w:tc>
        <w:tc>
          <w:tcPr>
            <w:tcW w:w="959" w:type="dxa"/>
            <w:tcBorders>
              <w:tl2br w:val="nil"/>
              <w:tr2bl w:val="nil"/>
            </w:tcBorders>
            <w:shd w:val="clear" w:color="auto" w:fill="auto"/>
            <w:vAlign w:val="center"/>
          </w:tcPr>
          <w:p w14:paraId="513216E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反馈审核</w:t>
            </w:r>
          </w:p>
        </w:tc>
        <w:tc>
          <w:tcPr>
            <w:tcW w:w="5405" w:type="dxa"/>
            <w:tcBorders>
              <w:tl2br w:val="nil"/>
              <w:tr2bl w:val="nil"/>
            </w:tcBorders>
            <w:shd w:val="clear" w:color="auto" w:fill="auto"/>
            <w:vAlign w:val="center"/>
          </w:tcPr>
          <w:p w14:paraId="1BD8164B">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为督考中心人员及领导提供牵头单位提交的督查反馈事项提供审核功能，审核支持审核通过、审核不通过、提交领导审核三个选择，审核时须填写审核意见。</w:t>
            </w:r>
          </w:p>
        </w:tc>
      </w:tr>
      <w:tr w14:paraId="495B8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6" w:hRule="atLeast"/>
        </w:trPr>
        <w:tc>
          <w:tcPr>
            <w:tcW w:w="551" w:type="dxa"/>
            <w:vMerge w:val="continue"/>
            <w:tcBorders>
              <w:tl2br w:val="nil"/>
              <w:tr2bl w:val="nil"/>
            </w:tcBorders>
            <w:shd w:val="clear" w:color="auto" w:fill="auto"/>
            <w:vAlign w:val="center"/>
          </w:tcPr>
          <w:p w14:paraId="78A4BF04">
            <w:pPr>
              <w:widowControl/>
              <w:rPr>
                <w:rFonts w:ascii="宋体" w:hAnsi="宋体" w:eastAsia="宋体" w:cs="宋体"/>
                <w:color w:val="auto"/>
                <w:kern w:val="0"/>
                <w:szCs w:val="21"/>
                <w:highlight w:val="none"/>
              </w:rPr>
            </w:pPr>
          </w:p>
        </w:tc>
        <w:tc>
          <w:tcPr>
            <w:tcW w:w="517" w:type="dxa"/>
            <w:vMerge w:val="continue"/>
            <w:tcBorders>
              <w:tl2br w:val="nil"/>
              <w:tr2bl w:val="nil"/>
            </w:tcBorders>
            <w:shd w:val="clear" w:color="auto" w:fill="auto"/>
            <w:vAlign w:val="center"/>
          </w:tcPr>
          <w:p w14:paraId="0C9BE73B">
            <w:pPr>
              <w:widowControl/>
              <w:rPr>
                <w:rFonts w:ascii="宋体" w:hAnsi="宋体" w:eastAsia="宋体" w:cs="宋体"/>
                <w:color w:val="auto"/>
                <w:kern w:val="0"/>
                <w:szCs w:val="21"/>
                <w:highlight w:val="none"/>
              </w:rPr>
            </w:pPr>
          </w:p>
        </w:tc>
        <w:tc>
          <w:tcPr>
            <w:tcW w:w="833" w:type="dxa"/>
            <w:vMerge w:val="continue"/>
            <w:tcBorders>
              <w:tl2br w:val="nil"/>
              <w:tr2bl w:val="nil"/>
            </w:tcBorders>
            <w:shd w:val="clear" w:color="auto" w:fill="auto"/>
            <w:vAlign w:val="center"/>
          </w:tcPr>
          <w:p w14:paraId="11987EB3">
            <w:pPr>
              <w:widowControl/>
              <w:rPr>
                <w:rFonts w:ascii="宋体" w:hAnsi="宋体" w:eastAsia="宋体" w:cs="宋体"/>
                <w:color w:val="auto"/>
                <w:kern w:val="0"/>
                <w:szCs w:val="21"/>
                <w:highlight w:val="none"/>
              </w:rPr>
            </w:pPr>
          </w:p>
        </w:tc>
        <w:tc>
          <w:tcPr>
            <w:tcW w:w="817" w:type="dxa"/>
            <w:vMerge w:val="continue"/>
            <w:tcBorders>
              <w:tl2br w:val="nil"/>
              <w:tr2bl w:val="nil"/>
            </w:tcBorders>
            <w:shd w:val="clear" w:color="auto" w:fill="auto"/>
            <w:vAlign w:val="center"/>
          </w:tcPr>
          <w:p w14:paraId="68FBD95E">
            <w:pPr>
              <w:widowControl/>
              <w:rPr>
                <w:rFonts w:ascii="宋体" w:hAnsi="宋体" w:eastAsia="宋体" w:cs="宋体"/>
                <w:color w:val="auto"/>
                <w:kern w:val="0"/>
                <w:szCs w:val="21"/>
                <w:highlight w:val="none"/>
              </w:rPr>
            </w:pPr>
          </w:p>
        </w:tc>
        <w:tc>
          <w:tcPr>
            <w:tcW w:w="794" w:type="dxa"/>
            <w:vMerge w:val="continue"/>
            <w:tcBorders>
              <w:tl2br w:val="nil"/>
              <w:tr2bl w:val="nil"/>
            </w:tcBorders>
            <w:shd w:val="clear" w:color="auto" w:fill="auto"/>
            <w:vAlign w:val="center"/>
          </w:tcPr>
          <w:p w14:paraId="108E21C9">
            <w:pPr>
              <w:widowControl/>
              <w:rPr>
                <w:rFonts w:ascii="宋体" w:hAnsi="宋体" w:eastAsia="宋体" w:cs="宋体"/>
                <w:color w:val="auto"/>
                <w:kern w:val="0"/>
                <w:szCs w:val="21"/>
                <w:highlight w:val="none"/>
              </w:rPr>
            </w:pPr>
          </w:p>
        </w:tc>
        <w:tc>
          <w:tcPr>
            <w:tcW w:w="959" w:type="dxa"/>
            <w:tcBorders>
              <w:tl2br w:val="nil"/>
              <w:tr2bl w:val="nil"/>
            </w:tcBorders>
            <w:shd w:val="clear" w:color="auto" w:fill="auto"/>
            <w:vAlign w:val="center"/>
          </w:tcPr>
          <w:p w14:paraId="24CA15A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督查发现问题</w:t>
            </w:r>
          </w:p>
        </w:tc>
        <w:tc>
          <w:tcPr>
            <w:tcW w:w="5405" w:type="dxa"/>
            <w:tcBorders>
              <w:tl2br w:val="nil"/>
              <w:tr2bl w:val="nil"/>
            </w:tcBorders>
            <w:shd w:val="clear" w:color="auto" w:fill="auto"/>
            <w:vAlign w:val="center"/>
          </w:tcPr>
          <w:p w14:paraId="1C415CF5">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牵头单位接收督查通知后开始督查工作，在督查过程中如发现存在问题可进行记录并下发给整改单位，整改单位需要对问题进行整改和答复，督考中心业务人员可进行审核。</w:t>
            </w:r>
          </w:p>
          <w:p w14:paraId="12E4CE78">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牵头单位在督查过程中可新增督查发现问题，同时提供保存、下发功能。</w:t>
            </w:r>
          </w:p>
          <w:p w14:paraId="71E8A04A">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附件上传需支持word、Excel、PDF、JPG、PNG等多种格式的文件，提供在线预览和下载功能。</w:t>
            </w:r>
          </w:p>
        </w:tc>
      </w:tr>
      <w:tr w14:paraId="7F3C2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6" w:hRule="atLeast"/>
        </w:trPr>
        <w:tc>
          <w:tcPr>
            <w:tcW w:w="551" w:type="dxa"/>
            <w:vMerge w:val="continue"/>
            <w:tcBorders>
              <w:tl2br w:val="nil"/>
              <w:tr2bl w:val="nil"/>
            </w:tcBorders>
            <w:shd w:val="clear" w:color="auto" w:fill="auto"/>
            <w:vAlign w:val="center"/>
          </w:tcPr>
          <w:p w14:paraId="0C96E6C0">
            <w:pPr>
              <w:widowControl/>
              <w:rPr>
                <w:rFonts w:ascii="宋体" w:hAnsi="宋体" w:eastAsia="宋体" w:cs="宋体"/>
                <w:color w:val="auto"/>
                <w:kern w:val="0"/>
                <w:szCs w:val="21"/>
                <w:highlight w:val="none"/>
              </w:rPr>
            </w:pPr>
          </w:p>
        </w:tc>
        <w:tc>
          <w:tcPr>
            <w:tcW w:w="517" w:type="dxa"/>
            <w:vMerge w:val="continue"/>
            <w:tcBorders>
              <w:tl2br w:val="nil"/>
              <w:tr2bl w:val="nil"/>
            </w:tcBorders>
            <w:shd w:val="clear" w:color="auto" w:fill="auto"/>
            <w:vAlign w:val="center"/>
          </w:tcPr>
          <w:p w14:paraId="188CF6A5">
            <w:pPr>
              <w:widowControl/>
              <w:rPr>
                <w:rFonts w:ascii="宋体" w:hAnsi="宋体" w:eastAsia="宋体" w:cs="宋体"/>
                <w:color w:val="auto"/>
                <w:kern w:val="0"/>
                <w:szCs w:val="21"/>
                <w:highlight w:val="none"/>
              </w:rPr>
            </w:pPr>
          </w:p>
        </w:tc>
        <w:tc>
          <w:tcPr>
            <w:tcW w:w="833" w:type="dxa"/>
            <w:vMerge w:val="continue"/>
            <w:tcBorders>
              <w:tl2br w:val="nil"/>
              <w:tr2bl w:val="nil"/>
            </w:tcBorders>
            <w:shd w:val="clear" w:color="auto" w:fill="auto"/>
            <w:vAlign w:val="center"/>
          </w:tcPr>
          <w:p w14:paraId="45A34F0B">
            <w:pPr>
              <w:widowControl/>
              <w:rPr>
                <w:rFonts w:ascii="宋体" w:hAnsi="宋体" w:eastAsia="宋体" w:cs="宋体"/>
                <w:color w:val="auto"/>
                <w:kern w:val="0"/>
                <w:szCs w:val="21"/>
                <w:highlight w:val="none"/>
              </w:rPr>
            </w:pPr>
          </w:p>
        </w:tc>
        <w:tc>
          <w:tcPr>
            <w:tcW w:w="817" w:type="dxa"/>
            <w:vMerge w:val="continue"/>
            <w:tcBorders>
              <w:tl2br w:val="nil"/>
              <w:tr2bl w:val="nil"/>
            </w:tcBorders>
            <w:shd w:val="clear" w:color="auto" w:fill="auto"/>
            <w:vAlign w:val="center"/>
          </w:tcPr>
          <w:p w14:paraId="4AB62780">
            <w:pPr>
              <w:widowControl/>
              <w:rPr>
                <w:rFonts w:ascii="宋体" w:hAnsi="宋体" w:eastAsia="宋体" w:cs="宋体"/>
                <w:color w:val="auto"/>
                <w:kern w:val="0"/>
                <w:szCs w:val="21"/>
                <w:highlight w:val="none"/>
              </w:rPr>
            </w:pPr>
          </w:p>
        </w:tc>
        <w:tc>
          <w:tcPr>
            <w:tcW w:w="794" w:type="dxa"/>
            <w:vMerge w:val="continue"/>
            <w:tcBorders>
              <w:tl2br w:val="nil"/>
              <w:tr2bl w:val="nil"/>
            </w:tcBorders>
            <w:shd w:val="clear" w:color="auto" w:fill="auto"/>
            <w:vAlign w:val="center"/>
          </w:tcPr>
          <w:p w14:paraId="1F5B310D">
            <w:pPr>
              <w:widowControl/>
              <w:rPr>
                <w:rFonts w:ascii="宋体" w:hAnsi="宋体" w:eastAsia="宋体" w:cs="宋体"/>
                <w:color w:val="auto"/>
                <w:kern w:val="0"/>
                <w:szCs w:val="21"/>
                <w:highlight w:val="none"/>
              </w:rPr>
            </w:pPr>
          </w:p>
        </w:tc>
        <w:tc>
          <w:tcPr>
            <w:tcW w:w="959" w:type="dxa"/>
            <w:tcBorders>
              <w:tl2br w:val="nil"/>
              <w:tr2bl w:val="nil"/>
            </w:tcBorders>
            <w:shd w:val="clear" w:color="auto" w:fill="auto"/>
            <w:vAlign w:val="center"/>
          </w:tcPr>
          <w:p w14:paraId="58E09E1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问题整改</w:t>
            </w:r>
          </w:p>
        </w:tc>
        <w:tc>
          <w:tcPr>
            <w:tcW w:w="5405" w:type="dxa"/>
            <w:tcBorders>
              <w:tl2br w:val="nil"/>
              <w:tr2bl w:val="nil"/>
            </w:tcBorders>
            <w:shd w:val="clear" w:color="auto" w:fill="auto"/>
            <w:vAlign w:val="center"/>
          </w:tcPr>
          <w:p w14:paraId="1DDCE287">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为整改单位提供整改提交功能，同时支持保存和提交功能。</w:t>
            </w:r>
          </w:p>
          <w:p w14:paraId="5D15E78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佐证材料上传需支持word、Excel、PDF、PPT、JPG、PNG等多种格式的文件，提供在线预览和下载功能。</w:t>
            </w:r>
          </w:p>
        </w:tc>
      </w:tr>
      <w:tr w14:paraId="78BDA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6" w:hRule="atLeast"/>
        </w:trPr>
        <w:tc>
          <w:tcPr>
            <w:tcW w:w="551" w:type="dxa"/>
            <w:vMerge w:val="continue"/>
            <w:tcBorders>
              <w:tl2br w:val="nil"/>
              <w:tr2bl w:val="nil"/>
            </w:tcBorders>
            <w:shd w:val="clear" w:color="auto" w:fill="auto"/>
            <w:vAlign w:val="center"/>
          </w:tcPr>
          <w:p w14:paraId="0B15A3C5">
            <w:pPr>
              <w:widowControl/>
              <w:rPr>
                <w:rFonts w:ascii="宋体" w:hAnsi="宋体" w:eastAsia="宋体" w:cs="宋体"/>
                <w:color w:val="auto"/>
                <w:kern w:val="0"/>
                <w:szCs w:val="21"/>
                <w:highlight w:val="none"/>
              </w:rPr>
            </w:pPr>
          </w:p>
        </w:tc>
        <w:tc>
          <w:tcPr>
            <w:tcW w:w="517" w:type="dxa"/>
            <w:vMerge w:val="continue"/>
            <w:tcBorders>
              <w:tl2br w:val="nil"/>
              <w:tr2bl w:val="nil"/>
            </w:tcBorders>
            <w:shd w:val="clear" w:color="auto" w:fill="auto"/>
            <w:vAlign w:val="center"/>
          </w:tcPr>
          <w:p w14:paraId="678E4F80">
            <w:pPr>
              <w:widowControl/>
              <w:rPr>
                <w:rFonts w:ascii="宋体" w:hAnsi="宋体" w:eastAsia="宋体" w:cs="宋体"/>
                <w:color w:val="auto"/>
                <w:kern w:val="0"/>
                <w:szCs w:val="21"/>
                <w:highlight w:val="none"/>
              </w:rPr>
            </w:pPr>
          </w:p>
        </w:tc>
        <w:tc>
          <w:tcPr>
            <w:tcW w:w="833" w:type="dxa"/>
            <w:vMerge w:val="continue"/>
            <w:tcBorders>
              <w:tl2br w:val="nil"/>
              <w:tr2bl w:val="nil"/>
            </w:tcBorders>
            <w:shd w:val="clear" w:color="auto" w:fill="auto"/>
            <w:vAlign w:val="center"/>
          </w:tcPr>
          <w:p w14:paraId="70D8D37C">
            <w:pPr>
              <w:widowControl/>
              <w:rPr>
                <w:rFonts w:ascii="宋体" w:hAnsi="宋体" w:eastAsia="宋体" w:cs="宋体"/>
                <w:color w:val="auto"/>
                <w:kern w:val="0"/>
                <w:szCs w:val="21"/>
                <w:highlight w:val="none"/>
              </w:rPr>
            </w:pPr>
          </w:p>
        </w:tc>
        <w:tc>
          <w:tcPr>
            <w:tcW w:w="817" w:type="dxa"/>
            <w:vMerge w:val="continue"/>
            <w:tcBorders>
              <w:tl2br w:val="nil"/>
              <w:tr2bl w:val="nil"/>
            </w:tcBorders>
            <w:shd w:val="clear" w:color="auto" w:fill="auto"/>
            <w:vAlign w:val="center"/>
          </w:tcPr>
          <w:p w14:paraId="3147C0F6">
            <w:pPr>
              <w:widowControl/>
              <w:rPr>
                <w:rFonts w:ascii="宋体" w:hAnsi="宋体" w:eastAsia="宋体" w:cs="宋体"/>
                <w:color w:val="auto"/>
                <w:kern w:val="0"/>
                <w:szCs w:val="21"/>
                <w:highlight w:val="none"/>
              </w:rPr>
            </w:pPr>
          </w:p>
        </w:tc>
        <w:tc>
          <w:tcPr>
            <w:tcW w:w="794" w:type="dxa"/>
            <w:vMerge w:val="continue"/>
            <w:tcBorders>
              <w:tl2br w:val="nil"/>
              <w:tr2bl w:val="nil"/>
            </w:tcBorders>
            <w:shd w:val="clear" w:color="auto" w:fill="auto"/>
            <w:vAlign w:val="center"/>
          </w:tcPr>
          <w:p w14:paraId="214923DD">
            <w:pPr>
              <w:widowControl/>
              <w:rPr>
                <w:rFonts w:ascii="宋体" w:hAnsi="宋体" w:eastAsia="宋体" w:cs="宋体"/>
                <w:color w:val="auto"/>
                <w:kern w:val="0"/>
                <w:szCs w:val="21"/>
                <w:highlight w:val="none"/>
              </w:rPr>
            </w:pPr>
          </w:p>
        </w:tc>
        <w:tc>
          <w:tcPr>
            <w:tcW w:w="959" w:type="dxa"/>
            <w:tcBorders>
              <w:tl2br w:val="nil"/>
              <w:tr2bl w:val="nil"/>
            </w:tcBorders>
            <w:shd w:val="clear" w:color="auto" w:fill="auto"/>
            <w:vAlign w:val="center"/>
          </w:tcPr>
          <w:p w14:paraId="4ED5750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整改审核</w:t>
            </w:r>
          </w:p>
        </w:tc>
        <w:tc>
          <w:tcPr>
            <w:tcW w:w="5405" w:type="dxa"/>
            <w:tcBorders>
              <w:tl2br w:val="nil"/>
              <w:tr2bl w:val="nil"/>
            </w:tcBorders>
            <w:shd w:val="clear" w:color="auto" w:fill="auto"/>
            <w:vAlign w:val="center"/>
          </w:tcPr>
          <w:p w14:paraId="701A9378">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牵头单位提供整改单位提交问题整改的审核功能，审核支持审核通过和审核不通过两个选择，审核通过可即问题整改完成，审核不通过督考中心业务人员根据实际情况填写审核意见后回退给整改单位重新填写整改内容。</w:t>
            </w:r>
          </w:p>
        </w:tc>
      </w:tr>
      <w:tr w14:paraId="76772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551" w:type="dxa"/>
            <w:vMerge w:val="continue"/>
            <w:tcBorders>
              <w:tl2br w:val="nil"/>
              <w:tr2bl w:val="nil"/>
            </w:tcBorders>
            <w:shd w:val="clear" w:color="auto" w:fill="auto"/>
            <w:vAlign w:val="center"/>
          </w:tcPr>
          <w:p w14:paraId="13E97749">
            <w:pPr>
              <w:widowControl/>
              <w:jc w:val="center"/>
              <w:rPr>
                <w:color w:val="auto"/>
                <w:highlight w:val="none"/>
              </w:rPr>
            </w:pPr>
          </w:p>
        </w:tc>
        <w:tc>
          <w:tcPr>
            <w:tcW w:w="517" w:type="dxa"/>
            <w:vMerge w:val="continue"/>
            <w:tcBorders>
              <w:tl2br w:val="nil"/>
              <w:tr2bl w:val="nil"/>
            </w:tcBorders>
            <w:shd w:val="clear" w:color="auto" w:fill="auto"/>
            <w:vAlign w:val="center"/>
          </w:tcPr>
          <w:p w14:paraId="2CDF47E4">
            <w:pPr>
              <w:widowControl/>
              <w:jc w:val="center"/>
              <w:rPr>
                <w:color w:val="auto"/>
                <w:highlight w:val="none"/>
              </w:rPr>
            </w:pPr>
          </w:p>
        </w:tc>
        <w:tc>
          <w:tcPr>
            <w:tcW w:w="833" w:type="dxa"/>
            <w:vMerge w:val="continue"/>
            <w:tcBorders>
              <w:tl2br w:val="nil"/>
              <w:tr2bl w:val="nil"/>
            </w:tcBorders>
            <w:shd w:val="clear" w:color="auto" w:fill="auto"/>
            <w:vAlign w:val="center"/>
          </w:tcPr>
          <w:p w14:paraId="523ABB75">
            <w:pPr>
              <w:widowControl/>
              <w:jc w:val="center"/>
              <w:rPr>
                <w:color w:val="auto"/>
                <w:highlight w:val="none"/>
              </w:rPr>
            </w:pPr>
          </w:p>
        </w:tc>
        <w:tc>
          <w:tcPr>
            <w:tcW w:w="817" w:type="dxa"/>
            <w:vMerge w:val="continue"/>
            <w:tcBorders>
              <w:tl2br w:val="nil"/>
              <w:tr2bl w:val="nil"/>
            </w:tcBorders>
            <w:shd w:val="clear" w:color="auto" w:fill="auto"/>
            <w:vAlign w:val="center"/>
          </w:tcPr>
          <w:p w14:paraId="073201D0">
            <w:pPr>
              <w:widowControl/>
              <w:jc w:val="center"/>
              <w:rPr>
                <w:color w:val="auto"/>
                <w:highlight w:val="none"/>
              </w:rPr>
            </w:pPr>
          </w:p>
        </w:tc>
        <w:tc>
          <w:tcPr>
            <w:tcW w:w="794" w:type="dxa"/>
            <w:vMerge w:val="restart"/>
            <w:tcBorders>
              <w:tl2br w:val="nil"/>
              <w:tr2bl w:val="nil"/>
            </w:tcBorders>
            <w:shd w:val="clear" w:color="auto" w:fill="auto"/>
            <w:vAlign w:val="center"/>
          </w:tcPr>
          <w:p w14:paraId="46D0D35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办结销号</w:t>
            </w:r>
          </w:p>
        </w:tc>
        <w:tc>
          <w:tcPr>
            <w:tcW w:w="959" w:type="dxa"/>
            <w:tcBorders>
              <w:tl2br w:val="nil"/>
              <w:tr2bl w:val="nil"/>
            </w:tcBorders>
            <w:shd w:val="clear" w:color="auto" w:fill="auto"/>
            <w:vAlign w:val="center"/>
          </w:tcPr>
          <w:p w14:paraId="4C05B48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销号发起</w:t>
            </w:r>
          </w:p>
        </w:tc>
        <w:tc>
          <w:tcPr>
            <w:tcW w:w="5405" w:type="dxa"/>
            <w:tcBorders>
              <w:tl2br w:val="nil"/>
              <w:tr2bl w:val="nil"/>
            </w:tcBorders>
            <w:shd w:val="clear" w:color="auto" w:fill="auto"/>
            <w:vAlign w:val="center"/>
          </w:tcPr>
          <w:p w14:paraId="5025C784">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为牵头单位提供已完成督查的事项提供销号发起功能，同时支持保存、编辑和提交功能。</w:t>
            </w:r>
          </w:p>
        </w:tc>
      </w:tr>
      <w:tr w14:paraId="4402C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551" w:type="dxa"/>
            <w:vMerge w:val="continue"/>
            <w:tcBorders>
              <w:tl2br w:val="nil"/>
              <w:tr2bl w:val="nil"/>
            </w:tcBorders>
            <w:shd w:val="clear" w:color="auto" w:fill="auto"/>
            <w:vAlign w:val="center"/>
          </w:tcPr>
          <w:p w14:paraId="742DF680">
            <w:pPr>
              <w:widowControl/>
              <w:jc w:val="center"/>
              <w:rPr>
                <w:color w:val="auto"/>
                <w:highlight w:val="none"/>
              </w:rPr>
            </w:pPr>
          </w:p>
        </w:tc>
        <w:tc>
          <w:tcPr>
            <w:tcW w:w="517" w:type="dxa"/>
            <w:vMerge w:val="continue"/>
            <w:tcBorders>
              <w:tl2br w:val="nil"/>
              <w:tr2bl w:val="nil"/>
            </w:tcBorders>
            <w:shd w:val="clear" w:color="auto" w:fill="auto"/>
            <w:vAlign w:val="center"/>
          </w:tcPr>
          <w:p w14:paraId="6B6556F5">
            <w:pPr>
              <w:widowControl/>
              <w:jc w:val="center"/>
              <w:rPr>
                <w:color w:val="auto"/>
                <w:highlight w:val="none"/>
              </w:rPr>
            </w:pPr>
          </w:p>
        </w:tc>
        <w:tc>
          <w:tcPr>
            <w:tcW w:w="833" w:type="dxa"/>
            <w:vMerge w:val="continue"/>
            <w:tcBorders>
              <w:tl2br w:val="nil"/>
              <w:tr2bl w:val="nil"/>
            </w:tcBorders>
            <w:shd w:val="clear" w:color="auto" w:fill="auto"/>
            <w:vAlign w:val="center"/>
          </w:tcPr>
          <w:p w14:paraId="30CE8DE8">
            <w:pPr>
              <w:widowControl/>
              <w:jc w:val="center"/>
              <w:rPr>
                <w:color w:val="auto"/>
                <w:highlight w:val="none"/>
              </w:rPr>
            </w:pPr>
          </w:p>
        </w:tc>
        <w:tc>
          <w:tcPr>
            <w:tcW w:w="817" w:type="dxa"/>
            <w:vMerge w:val="continue"/>
            <w:tcBorders>
              <w:tl2br w:val="nil"/>
              <w:tr2bl w:val="nil"/>
            </w:tcBorders>
            <w:shd w:val="clear" w:color="auto" w:fill="auto"/>
            <w:vAlign w:val="center"/>
          </w:tcPr>
          <w:p w14:paraId="3BA7DB1F">
            <w:pPr>
              <w:widowControl/>
              <w:jc w:val="center"/>
              <w:rPr>
                <w:color w:val="auto"/>
                <w:highlight w:val="none"/>
              </w:rPr>
            </w:pPr>
          </w:p>
        </w:tc>
        <w:tc>
          <w:tcPr>
            <w:tcW w:w="794" w:type="dxa"/>
            <w:vMerge w:val="continue"/>
            <w:tcBorders>
              <w:tl2br w:val="nil"/>
              <w:tr2bl w:val="nil"/>
            </w:tcBorders>
            <w:shd w:val="clear" w:color="auto" w:fill="auto"/>
            <w:vAlign w:val="center"/>
          </w:tcPr>
          <w:p w14:paraId="3564F089">
            <w:pPr>
              <w:widowControl/>
              <w:jc w:val="center"/>
              <w:rPr>
                <w:color w:val="auto"/>
                <w:highlight w:val="none"/>
              </w:rPr>
            </w:pPr>
          </w:p>
        </w:tc>
        <w:tc>
          <w:tcPr>
            <w:tcW w:w="959" w:type="dxa"/>
            <w:tcBorders>
              <w:tl2br w:val="nil"/>
              <w:tr2bl w:val="nil"/>
            </w:tcBorders>
            <w:shd w:val="clear" w:color="auto" w:fill="auto"/>
            <w:vAlign w:val="center"/>
          </w:tcPr>
          <w:p w14:paraId="1944929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办结报告</w:t>
            </w:r>
          </w:p>
        </w:tc>
        <w:tc>
          <w:tcPr>
            <w:tcW w:w="5405" w:type="dxa"/>
            <w:tcBorders>
              <w:tl2br w:val="nil"/>
              <w:tr2bl w:val="nil"/>
            </w:tcBorders>
            <w:shd w:val="clear" w:color="auto" w:fill="auto"/>
            <w:vAlign w:val="center"/>
          </w:tcPr>
          <w:p w14:paraId="734FE35C">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支持word、Excel、PDF、JPG、PNG等多种格式，同时支持在线预览。</w:t>
            </w:r>
          </w:p>
        </w:tc>
      </w:tr>
      <w:tr w14:paraId="57F16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551" w:type="dxa"/>
            <w:vMerge w:val="continue"/>
            <w:tcBorders>
              <w:tl2br w:val="nil"/>
              <w:tr2bl w:val="nil"/>
            </w:tcBorders>
            <w:shd w:val="clear" w:color="auto" w:fill="auto"/>
            <w:vAlign w:val="center"/>
          </w:tcPr>
          <w:p w14:paraId="702D4033">
            <w:pPr>
              <w:widowControl/>
              <w:jc w:val="center"/>
              <w:rPr>
                <w:color w:val="auto"/>
                <w:highlight w:val="none"/>
              </w:rPr>
            </w:pPr>
          </w:p>
        </w:tc>
        <w:tc>
          <w:tcPr>
            <w:tcW w:w="517" w:type="dxa"/>
            <w:vMerge w:val="continue"/>
            <w:tcBorders>
              <w:tl2br w:val="nil"/>
              <w:tr2bl w:val="nil"/>
            </w:tcBorders>
            <w:shd w:val="clear" w:color="auto" w:fill="auto"/>
            <w:vAlign w:val="center"/>
          </w:tcPr>
          <w:p w14:paraId="7A96F6AA">
            <w:pPr>
              <w:widowControl/>
              <w:jc w:val="center"/>
              <w:rPr>
                <w:color w:val="auto"/>
                <w:highlight w:val="none"/>
              </w:rPr>
            </w:pPr>
          </w:p>
        </w:tc>
        <w:tc>
          <w:tcPr>
            <w:tcW w:w="833" w:type="dxa"/>
            <w:vMerge w:val="continue"/>
            <w:tcBorders>
              <w:tl2br w:val="nil"/>
              <w:tr2bl w:val="nil"/>
            </w:tcBorders>
            <w:shd w:val="clear" w:color="auto" w:fill="auto"/>
            <w:vAlign w:val="center"/>
          </w:tcPr>
          <w:p w14:paraId="4AD1A658">
            <w:pPr>
              <w:widowControl/>
              <w:jc w:val="center"/>
              <w:rPr>
                <w:color w:val="auto"/>
                <w:highlight w:val="none"/>
              </w:rPr>
            </w:pPr>
          </w:p>
        </w:tc>
        <w:tc>
          <w:tcPr>
            <w:tcW w:w="817" w:type="dxa"/>
            <w:vMerge w:val="continue"/>
            <w:tcBorders>
              <w:tl2br w:val="nil"/>
              <w:tr2bl w:val="nil"/>
            </w:tcBorders>
            <w:shd w:val="clear" w:color="auto" w:fill="auto"/>
            <w:vAlign w:val="center"/>
          </w:tcPr>
          <w:p w14:paraId="2933DF55">
            <w:pPr>
              <w:widowControl/>
              <w:jc w:val="center"/>
              <w:rPr>
                <w:color w:val="auto"/>
                <w:highlight w:val="none"/>
              </w:rPr>
            </w:pPr>
          </w:p>
        </w:tc>
        <w:tc>
          <w:tcPr>
            <w:tcW w:w="794" w:type="dxa"/>
            <w:vMerge w:val="continue"/>
            <w:tcBorders>
              <w:tl2br w:val="nil"/>
              <w:tr2bl w:val="nil"/>
            </w:tcBorders>
            <w:shd w:val="clear" w:color="auto" w:fill="auto"/>
            <w:vAlign w:val="center"/>
          </w:tcPr>
          <w:p w14:paraId="143456C2">
            <w:pPr>
              <w:widowControl/>
              <w:jc w:val="center"/>
              <w:rPr>
                <w:color w:val="auto"/>
                <w:highlight w:val="none"/>
              </w:rPr>
            </w:pPr>
          </w:p>
        </w:tc>
        <w:tc>
          <w:tcPr>
            <w:tcW w:w="959" w:type="dxa"/>
            <w:tcBorders>
              <w:tl2br w:val="nil"/>
              <w:tr2bl w:val="nil"/>
            </w:tcBorders>
            <w:shd w:val="clear" w:color="auto" w:fill="auto"/>
            <w:vAlign w:val="center"/>
          </w:tcPr>
          <w:p w14:paraId="0554088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结果评价</w:t>
            </w:r>
          </w:p>
        </w:tc>
        <w:tc>
          <w:tcPr>
            <w:tcW w:w="5405" w:type="dxa"/>
            <w:tcBorders>
              <w:tl2br w:val="nil"/>
              <w:tr2bl w:val="nil"/>
            </w:tcBorders>
            <w:shd w:val="clear" w:color="auto" w:fill="auto"/>
            <w:vAlign w:val="center"/>
          </w:tcPr>
          <w:p w14:paraId="54D7F4BF">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督考中心业务人员对于牵头单位提交的销号事项审核通过后提供结果评价功能。</w:t>
            </w:r>
          </w:p>
        </w:tc>
      </w:tr>
      <w:tr w14:paraId="3DFCA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2" w:hRule="atLeast"/>
        </w:trPr>
        <w:tc>
          <w:tcPr>
            <w:tcW w:w="551" w:type="dxa"/>
            <w:vMerge w:val="continue"/>
            <w:tcBorders>
              <w:tl2br w:val="nil"/>
              <w:tr2bl w:val="nil"/>
            </w:tcBorders>
            <w:shd w:val="clear" w:color="auto" w:fill="auto"/>
            <w:vAlign w:val="center"/>
          </w:tcPr>
          <w:p w14:paraId="0C382B53">
            <w:pPr>
              <w:widowControl/>
              <w:jc w:val="center"/>
              <w:rPr>
                <w:color w:val="auto"/>
                <w:highlight w:val="none"/>
              </w:rPr>
            </w:pPr>
          </w:p>
        </w:tc>
        <w:tc>
          <w:tcPr>
            <w:tcW w:w="517" w:type="dxa"/>
            <w:vMerge w:val="continue"/>
            <w:tcBorders>
              <w:tl2br w:val="nil"/>
              <w:tr2bl w:val="nil"/>
            </w:tcBorders>
            <w:shd w:val="clear" w:color="auto" w:fill="auto"/>
            <w:vAlign w:val="center"/>
          </w:tcPr>
          <w:p w14:paraId="1D062614">
            <w:pPr>
              <w:widowControl/>
              <w:jc w:val="center"/>
              <w:rPr>
                <w:color w:val="auto"/>
                <w:highlight w:val="none"/>
              </w:rPr>
            </w:pPr>
          </w:p>
        </w:tc>
        <w:tc>
          <w:tcPr>
            <w:tcW w:w="833" w:type="dxa"/>
            <w:vMerge w:val="continue"/>
            <w:tcBorders>
              <w:tl2br w:val="nil"/>
              <w:tr2bl w:val="nil"/>
            </w:tcBorders>
            <w:shd w:val="clear" w:color="auto" w:fill="auto"/>
            <w:vAlign w:val="center"/>
          </w:tcPr>
          <w:p w14:paraId="0FA946DE">
            <w:pPr>
              <w:widowControl/>
              <w:jc w:val="center"/>
              <w:rPr>
                <w:color w:val="auto"/>
                <w:highlight w:val="none"/>
              </w:rPr>
            </w:pPr>
          </w:p>
        </w:tc>
        <w:tc>
          <w:tcPr>
            <w:tcW w:w="817" w:type="dxa"/>
            <w:vMerge w:val="continue"/>
            <w:tcBorders>
              <w:tl2br w:val="nil"/>
              <w:tr2bl w:val="nil"/>
            </w:tcBorders>
            <w:shd w:val="clear" w:color="auto" w:fill="auto"/>
            <w:vAlign w:val="center"/>
          </w:tcPr>
          <w:p w14:paraId="3D1C932B">
            <w:pPr>
              <w:widowControl/>
              <w:jc w:val="center"/>
              <w:rPr>
                <w:color w:val="auto"/>
                <w:highlight w:val="none"/>
              </w:rPr>
            </w:pPr>
          </w:p>
        </w:tc>
        <w:tc>
          <w:tcPr>
            <w:tcW w:w="794" w:type="dxa"/>
            <w:vMerge w:val="continue"/>
            <w:tcBorders>
              <w:tl2br w:val="nil"/>
              <w:tr2bl w:val="nil"/>
            </w:tcBorders>
            <w:shd w:val="clear" w:color="auto" w:fill="auto"/>
            <w:vAlign w:val="center"/>
          </w:tcPr>
          <w:p w14:paraId="72186666">
            <w:pPr>
              <w:widowControl/>
              <w:jc w:val="center"/>
              <w:rPr>
                <w:color w:val="auto"/>
                <w:highlight w:val="none"/>
              </w:rPr>
            </w:pPr>
          </w:p>
        </w:tc>
        <w:tc>
          <w:tcPr>
            <w:tcW w:w="959" w:type="dxa"/>
            <w:tcBorders>
              <w:tl2br w:val="nil"/>
              <w:tr2bl w:val="nil"/>
            </w:tcBorders>
            <w:shd w:val="clear" w:color="auto" w:fill="auto"/>
            <w:vAlign w:val="center"/>
          </w:tcPr>
          <w:p w14:paraId="3D0B241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督查销号</w:t>
            </w:r>
          </w:p>
        </w:tc>
        <w:tc>
          <w:tcPr>
            <w:tcW w:w="5405" w:type="dxa"/>
            <w:tcBorders>
              <w:tl2br w:val="nil"/>
              <w:tr2bl w:val="nil"/>
            </w:tcBorders>
            <w:shd w:val="clear" w:color="auto" w:fill="auto"/>
            <w:vAlign w:val="center"/>
          </w:tcPr>
          <w:p w14:paraId="529F173D">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考中心业务人员对于牵头单位提交的销号事项存在疑问或提交的信息不符合规范时选择审核不通过，需填写不通过原因，同时需将督查事项回退给牵头单位，牵头单位能查看审核人、审核时间、审核不通过原因，便于牵头单位重新发起督查销号。</w:t>
            </w:r>
          </w:p>
        </w:tc>
      </w:tr>
      <w:tr w14:paraId="06A77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2" w:hRule="atLeast"/>
        </w:trPr>
        <w:tc>
          <w:tcPr>
            <w:tcW w:w="551" w:type="dxa"/>
            <w:vMerge w:val="continue"/>
            <w:tcBorders>
              <w:tl2br w:val="nil"/>
              <w:tr2bl w:val="nil"/>
            </w:tcBorders>
            <w:shd w:val="clear" w:color="auto" w:fill="auto"/>
            <w:vAlign w:val="center"/>
          </w:tcPr>
          <w:p w14:paraId="08220FC7">
            <w:pPr>
              <w:widowControl/>
              <w:jc w:val="center"/>
              <w:rPr>
                <w:color w:val="auto"/>
                <w:highlight w:val="none"/>
              </w:rPr>
            </w:pPr>
          </w:p>
        </w:tc>
        <w:tc>
          <w:tcPr>
            <w:tcW w:w="517" w:type="dxa"/>
            <w:vMerge w:val="continue"/>
            <w:tcBorders>
              <w:tl2br w:val="nil"/>
              <w:tr2bl w:val="nil"/>
            </w:tcBorders>
            <w:shd w:val="clear" w:color="auto" w:fill="auto"/>
            <w:vAlign w:val="center"/>
          </w:tcPr>
          <w:p w14:paraId="008945B0">
            <w:pPr>
              <w:widowControl/>
              <w:jc w:val="center"/>
              <w:rPr>
                <w:color w:val="auto"/>
                <w:highlight w:val="none"/>
              </w:rPr>
            </w:pPr>
          </w:p>
        </w:tc>
        <w:tc>
          <w:tcPr>
            <w:tcW w:w="833" w:type="dxa"/>
            <w:vMerge w:val="continue"/>
            <w:tcBorders>
              <w:tl2br w:val="nil"/>
              <w:tr2bl w:val="nil"/>
            </w:tcBorders>
            <w:shd w:val="clear" w:color="auto" w:fill="auto"/>
            <w:vAlign w:val="center"/>
          </w:tcPr>
          <w:p w14:paraId="1FEA8299">
            <w:pPr>
              <w:widowControl/>
              <w:jc w:val="center"/>
              <w:rPr>
                <w:color w:val="auto"/>
                <w:highlight w:val="none"/>
              </w:rPr>
            </w:pPr>
          </w:p>
        </w:tc>
        <w:tc>
          <w:tcPr>
            <w:tcW w:w="817" w:type="dxa"/>
            <w:vMerge w:val="continue"/>
            <w:tcBorders>
              <w:tl2br w:val="nil"/>
              <w:tr2bl w:val="nil"/>
            </w:tcBorders>
            <w:shd w:val="clear" w:color="auto" w:fill="auto"/>
            <w:vAlign w:val="center"/>
          </w:tcPr>
          <w:p w14:paraId="67BA4F81">
            <w:pPr>
              <w:widowControl/>
              <w:jc w:val="center"/>
              <w:rPr>
                <w:color w:val="auto"/>
                <w:highlight w:val="none"/>
              </w:rPr>
            </w:pPr>
          </w:p>
        </w:tc>
        <w:tc>
          <w:tcPr>
            <w:tcW w:w="794" w:type="dxa"/>
            <w:tcBorders>
              <w:tl2br w:val="nil"/>
              <w:tr2bl w:val="nil"/>
            </w:tcBorders>
            <w:shd w:val="clear" w:color="auto" w:fill="auto"/>
            <w:vAlign w:val="center"/>
          </w:tcPr>
          <w:p w14:paraId="6343396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预警管理</w:t>
            </w:r>
          </w:p>
        </w:tc>
        <w:tc>
          <w:tcPr>
            <w:tcW w:w="6364" w:type="dxa"/>
            <w:gridSpan w:val="2"/>
            <w:tcBorders>
              <w:tl2br w:val="nil"/>
              <w:tr2bl w:val="nil"/>
            </w:tcBorders>
            <w:shd w:val="clear" w:color="auto" w:fill="auto"/>
            <w:vAlign w:val="center"/>
          </w:tcPr>
          <w:p w14:paraId="2C67662A">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系统根据业务制定的预警规则展示督查事项过程中所有预警的信息数据，根据角色权限不同数据展示内容不同。预警环节分为签收预警、方案预警和办结预警。</w:t>
            </w:r>
          </w:p>
        </w:tc>
      </w:tr>
      <w:tr w14:paraId="42BD8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2" w:hRule="atLeast"/>
        </w:trPr>
        <w:tc>
          <w:tcPr>
            <w:tcW w:w="551" w:type="dxa"/>
            <w:vMerge w:val="continue"/>
            <w:tcBorders>
              <w:tl2br w:val="nil"/>
              <w:tr2bl w:val="nil"/>
            </w:tcBorders>
            <w:shd w:val="clear" w:color="auto" w:fill="auto"/>
            <w:vAlign w:val="center"/>
          </w:tcPr>
          <w:p w14:paraId="1533869B">
            <w:pPr>
              <w:widowControl/>
              <w:jc w:val="center"/>
              <w:rPr>
                <w:color w:val="auto"/>
                <w:highlight w:val="none"/>
              </w:rPr>
            </w:pPr>
          </w:p>
        </w:tc>
        <w:tc>
          <w:tcPr>
            <w:tcW w:w="517" w:type="dxa"/>
            <w:vMerge w:val="continue"/>
            <w:tcBorders>
              <w:tl2br w:val="nil"/>
              <w:tr2bl w:val="nil"/>
            </w:tcBorders>
            <w:shd w:val="clear" w:color="auto" w:fill="auto"/>
            <w:vAlign w:val="center"/>
          </w:tcPr>
          <w:p w14:paraId="21E6B174">
            <w:pPr>
              <w:widowControl/>
              <w:jc w:val="center"/>
              <w:rPr>
                <w:color w:val="auto"/>
                <w:highlight w:val="none"/>
              </w:rPr>
            </w:pPr>
          </w:p>
        </w:tc>
        <w:tc>
          <w:tcPr>
            <w:tcW w:w="833" w:type="dxa"/>
            <w:vMerge w:val="continue"/>
            <w:tcBorders>
              <w:tl2br w:val="nil"/>
              <w:tr2bl w:val="nil"/>
            </w:tcBorders>
            <w:shd w:val="clear" w:color="auto" w:fill="auto"/>
            <w:vAlign w:val="center"/>
          </w:tcPr>
          <w:p w14:paraId="1069BEE7">
            <w:pPr>
              <w:widowControl/>
              <w:jc w:val="center"/>
              <w:rPr>
                <w:color w:val="auto"/>
                <w:highlight w:val="none"/>
              </w:rPr>
            </w:pPr>
          </w:p>
        </w:tc>
        <w:tc>
          <w:tcPr>
            <w:tcW w:w="817" w:type="dxa"/>
            <w:vMerge w:val="continue"/>
            <w:tcBorders>
              <w:tl2br w:val="nil"/>
              <w:tr2bl w:val="nil"/>
            </w:tcBorders>
            <w:shd w:val="clear" w:color="auto" w:fill="auto"/>
            <w:vAlign w:val="center"/>
          </w:tcPr>
          <w:p w14:paraId="48BA290A">
            <w:pPr>
              <w:widowControl/>
              <w:jc w:val="center"/>
              <w:rPr>
                <w:color w:val="auto"/>
                <w:highlight w:val="none"/>
              </w:rPr>
            </w:pPr>
          </w:p>
        </w:tc>
        <w:tc>
          <w:tcPr>
            <w:tcW w:w="794" w:type="dxa"/>
            <w:tcBorders>
              <w:tl2br w:val="nil"/>
              <w:tr2bl w:val="nil"/>
            </w:tcBorders>
            <w:shd w:val="clear" w:color="auto" w:fill="auto"/>
            <w:vAlign w:val="center"/>
          </w:tcPr>
          <w:p w14:paraId="565ACA0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办件评价</w:t>
            </w:r>
          </w:p>
        </w:tc>
        <w:tc>
          <w:tcPr>
            <w:tcW w:w="6364" w:type="dxa"/>
            <w:gridSpan w:val="2"/>
            <w:tcBorders>
              <w:tl2br w:val="nil"/>
              <w:tr2bl w:val="nil"/>
            </w:tcBorders>
            <w:shd w:val="clear" w:color="auto" w:fill="auto"/>
            <w:vAlign w:val="center"/>
          </w:tcPr>
          <w:p w14:paraId="25FB599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实现督考中心业务人员对办结审核通过的督查任务和牵头单位的等次（优、良、中、差）评价功能，评价完成后业务流程结束，系统内需将状态标记为已完成。</w:t>
            </w:r>
          </w:p>
        </w:tc>
      </w:tr>
      <w:tr w14:paraId="5B0DD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2" w:hRule="atLeast"/>
        </w:trPr>
        <w:tc>
          <w:tcPr>
            <w:tcW w:w="551" w:type="dxa"/>
            <w:vMerge w:val="continue"/>
            <w:tcBorders>
              <w:tl2br w:val="nil"/>
              <w:tr2bl w:val="nil"/>
            </w:tcBorders>
            <w:shd w:val="clear" w:color="auto" w:fill="auto"/>
            <w:vAlign w:val="center"/>
          </w:tcPr>
          <w:p w14:paraId="4F23B6DA">
            <w:pPr>
              <w:widowControl/>
              <w:jc w:val="center"/>
              <w:rPr>
                <w:color w:val="auto"/>
                <w:highlight w:val="none"/>
              </w:rPr>
            </w:pPr>
          </w:p>
        </w:tc>
        <w:tc>
          <w:tcPr>
            <w:tcW w:w="517" w:type="dxa"/>
            <w:vMerge w:val="continue"/>
            <w:tcBorders>
              <w:tl2br w:val="nil"/>
              <w:tr2bl w:val="nil"/>
            </w:tcBorders>
            <w:shd w:val="clear" w:color="auto" w:fill="auto"/>
            <w:vAlign w:val="center"/>
          </w:tcPr>
          <w:p w14:paraId="376BD846">
            <w:pPr>
              <w:widowControl/>
              <w:jc w:val="center"/>
              <w:rPr>
                <w:color w:val="auto"/>
                <w:highlight w:val="none"/>
              </w:rPr>
            </w:pPr>
          </w:p>
        </w:tc>
        <w:tc>
          <w:tcPr>
            <w:tcW w:w="833" w:type="dxa"/>
            <w:vMerge w:val="continue"/>
            <w:tcBorders>
              <w:tl2br w:val="nil"/>
              <w:tr2bl w:val="nil"/>
            </w:tcBorders>
            <w:shd w:val="clear" w:color="auto" w:fill="auto"/>
            <w:vAlign w:val="center"/>
          </w:tcPr>
          <w:p w14:paraId="1D041D96">
            <w:pPr>
              <w:widowControl/>
              <w:jc w:val="center"/>
              <w:rPr>
                <w:color w:val="auto"/>
                <w:highlight w:val="none"/>
              </w:rPr>
            </w:pPr>
          </w:p>
        </w:tc>
        <w:tc>
          <w:tcPr>
            <w:tcW w:w="817" w:type="dxa"/>
            <w:vMerge w:val="continue"/>
            <w:tcBorders>
              <w:tl2br w:val="nil"/>
              <w:tr2bl w:val="nil"/>
            </w:tcBorders>
            <w:shd w:val="clear" w:color="auto" w:fill="auto"/>
            <w:vAlign w:val="center"/>
          </w:tcPr>
          <w:p w14:paraId="59EEEAED">
            <w:pPr>
              <w:widowControl/>
              <w:jc w:val="center"/>
              <w:rPr>
                <w:color w:val="auto"/>
                <w:highlight w:val="none"/>
              </w:rPr>
            </w:pPr>
          </w:p>
        </w:tc>
        <w:tc>
          <w:tcPr>
            <w:tcW w:w="794" w:type="dxa"/>
            <w:tcBorders>
              <w:tl2br w:val="nil"/>
              <w:tr2bl w:val="nil"/>
            </w:tcBorders>
            <w:shd w:val="clear" w:color="auto" w:fill="auto"/>
            <w:vAlign w:val="center"/>
          </w:tcPr>
          <w:p w14:paraId="22889BC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查询统计</w:t>
            </w:r>
          </w:p>
        </w:tc>
        <w:tc>
          <w:tcPr>
            <w:tcW w:w="6364" w:type="dxa"/>
            <w:gridSpan w:val="2"/>
            <w:tcBorders>
              <w:tl2br w:val="nil"/>
              <w:tr2bl w:val="nil"/>
            </w:tcBorders>
            <w:shd w:val="clear" w:color="auto" w:fill="auto"/>
            <w:vAlign w:val="center"/>
          </w:tcPr>
          <w:p w14:paraId="072DC579">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查询领导批示、决策/专项督查事项的创建、签收、督查督办、督查预警、结果评价、督查催办单的全流程数据，也可导出领导批示周报/月报、年度计划任务总结报告书、政府工作报告重点工作完成情况汇总报告、三张清单（任务清单、指标清单、问题清单）等报告，根据角色权限不同数据展示内容不同。</w:t>
            </w:r>
          </w:p>
        </w:tc>
      </w:tr>
      <w:tr w14:paraId="24873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2" w:hRule="atLeast"/>
        </w:trPr>
        <w:tc>
          <w:tcPr>
            <w:tcW w:w="551" w:type="dxa"/>
            <w:vMerge w:val="continue"/>
            <w:tcBorders>
              <w:tl2br w:val="nil"/>
              <w:tr2bl w:val="nil"/>
            </w:tcBorders>
            <w:shd w:val="clear" w:color="auto" w:fill="auto"/>
            <w:vAlign w:val="center"/>
          </w:tcPr>
          <w:p w14:paraId="3E4A8ACB">
            <w:pPr>
              <w:widowControl/>
              <w:jc w:val="center"/>
              <w:rPr>
                <w:color w:val="auto"/>
                <w:highlight w:val="none"/>
              </w:rPr>
            </w:pPr>
          </w:p>
        </w:tc>
        <w:tc>
          <w:tcPr>
            <w:tcW w:w="517" w:type="dxa"/>
            <w:vMerge w:val="continue"/>
            <w:tcBorders>
              <w:tl2br w:val="nil"/>
              <w:tr2bl w:val="nil"/>
            </w:tcBorders>
            <w:shd w:val="clear" w:color="auto" w:fill="auto"/>
            <w:vAlign w:val="center"/>
          </w:tcPr>
          <w:p w14:paraId="30AA28FA">
            <w:pPr>
              <w:widowControl/>
              <w:jc w:val="center"/>
              <w:rPr>
                <w:color w:val="auto"/>
                <w:highlight w:val="none"/>
              </w:rPr>
            </w:pPr>
          </w:p>
        </w:tc>
        <w:tc>
          <w:tcPr>
            <w:tcW w:w="833" w:type="dxa"/>
            <w:vMerge w:val="continue"/>
            <w:tcBorders>
              <w:tl2br w:val="nil"/>
              <w:tr2bl w:val="nil"/>
            </w:tcBorders>
            <w:shd w:val="clear" w:color="auto" w:fill="auto"/>
            <w:vAlign w:val="center"/>
          </w:tcPr>
          <w:p w14:paraId="78B0F217">
            <w:pPr>
              <w:widowControl/>
              <w:jc w:val="center"/>
              <w:rPr>
                <w:color w:val="auto"/>
                <w:highlight w:val="none"/>
              </w:rPr>
            </w:pPr>
          </w:p>
        </w:tc>
        <w:tc>
          <w:tcPr>
            <w:tcW w:w="817" w:type="dxa"/>
            <w:vMerge w:val="continue"/>
            <w:tcBorders>
              <w:tl2br w:val="nil"/>
              <w:tr2bl w:val="nil"/>
            </w:tcBorders>
            <w:shd w:val="clear" w:color="auto" w:fill="auto"/>
            <w:vAlign w:val="center"/>
          </w:tcPr>
          <w:p w14:paraId="46395119">
            <w:pPr>
              <w:widowControl/>
              <w:jc w:val="center"/>
              <w:rPr>
                <w:color w:val="auto"/>
                <w:highlight w:val="none"/>
              </w:rPr>
            </w:pPr>
          </w:p>
        </w:tc>
        <w:tc>
          <w:tcPr>
            <w:tcW w:w="794" w:type="dxa"/>
            <w:tcBorders>
              <w:tl2br w:val="nil"/>
              <w:tr2bl w:val="nil"/>
            </w:tcBorders>
            <w:shd w:val="clear" w:color="auto" w:fill="auto"/>
            <w:vAlign w:val="center"/>
          </w:tcPr>
          <w:p w14:paraId="22F7C8F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督查催办</w:t>
            </w:r>
          </w:p>
        </w:tc>
        <w:tc>
          <w:tcPr>
            <w:tcW w:w="6364" w:type="dxa"/>
            <w:gridSpan w:val="2"/>
            <w:tcBorders>
              <w:tl2br w:val="nil"/>
              <w:tr2bl w:val="nil"/>
            </w:tcBorders>
            <w:shd w:val="clear" w:color="auto" w:fill="auto"/>
            <w:vAlign w:val="center"/>
          </w:tcPr>
          <w:p w14:paraId="59E16DC8">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督查签收、进展反馈、销号审核阶段提供督查催办功能，对于未及时签收、反馈上报、销号上报的单位可进行催办，需支持催办理由、催办单位选择、选择</w:t>
            </w:r>
            <w:r>
              <w:rPr>
                <w:rFonts w:hint="eastAsia" w:ascii="宋体" w:hAnsi="宋体" w:cs="宋体"/>
                <w:color w:val="auto"/>
                <w:kern w:val="0"/>
                <w:szCs w:val="21"/>
                <w:highlight w:val="none"/>
                <w:lang w:val="en-US" w:eastAsia="zh-CN"/>
              </w:rPr>
              <w:t>是</w:t>
            </w:r>
            <w:r>
              <w:rPr>
                <w:rFonts w:hint="eastAsia" w:ascii="宋体" w:hAnsi="宋体" w:eastAsia="宋体" w:cs="宋体"/>
                <w:color w:val="auto"/>
                <w:kern w:val="0"/>
                <w:szCs w:val="21"/>
                <w:highlight w:val="none"/>
              </w:rPr>
              <w:t>否同步浙政钉等字段信息的填写。</w:t>
            </w:r>
          </w:p>
        </w:tc>
      </w:tr>
      <w:tr w14:paraId="44CBF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2" w:hRule="atLeast"/>
        </w:trPr>
        <w:tc>
          <w:tcPr>
            <w:tcW w:w="551" w:type="dxa"/>
            <w:vMerge w:val="continue"/>
            <w:tcBorders>
              <w:tl2br w:val="nil"/>
              <w:tr2bl w:val="nil"/>
            </w:tcBorders>
            <w:shd w:val="clear" w:color="auto" w:fill="auto"/>
            <w:vAlign w:val="center"/>
          </w:tcPr>
          <w:p w14:paraId="4C587532">
            <w:pPr>
              <w:widowControl/>
              <w:jc w:val="center"/>
              <w:rPr>
                <w:color w:val="auto"/>
                <w:highlight w:val="none"/>
              </w:rPr>
            </w:pPr>
          </w:p>
        </w:tc>
        <w:tc>
          <w:tcPr>
            <w:tcW w:w="517" w:type="dxa"/>
            <w:vMerge w:val="continue"/>
            <w:tcBorders>
              <w:tl2br w:val="nil"/>
              <w:tr2bl w:val="nil"/>
            </w:tcBorders>
            <w:shd w:val="clear" w:color="auto" w:fill="auto"/>
            <w:vAlign w:val="center"/>
          </w:tcPr>
          <w:p w14:paraId="62A9918B">
            <w:pPr>
              <w:widowControl/>
              <w:jc w:val="center"/>
              <w:rPr>
                <w:color w:val="auto"/>
                <w:highlight w:val="none"/>
              </w:rPr>
            </w:pPr>
          </w:p>
        </w:tc>
        <w:tc>
          <w:tcPr>
            <w:tcW w:w="833" w:type="dxa"/>
            <w:vMerge w:val="continue"/>
            <w:tcBorders>
              <w:tl2br w:val="nil"/>
              <w:tr2bl w:val="nil"/>
            </w:tcBorders>
            <w:shd w:val="clear" w:color="auto" w:fill="auto"/>
            <w:vAlign w:val="center"/>
          </w:tcPr>
          <w:p w14:paraId="114DB757">
            <w:pPr>
              <w:widowControl/>
              <w:jc w:val="center"/>
              <w:rPr>
                <w:color w:val="auto"/>
                <w:highlight w:val="none"/>
              </w:rPr>
            </w:pPr>
          </w:p>
        </w:tc>
        <w:tc>
          <w:tcPr>
            <w:tcW w:w="817" w:type="dxa"/>
            <w:vMerge w:val="continue"/>
            <w:tcBorders>
              <w:tl2br w:val="nil"/>
              <w:tr2bl w:val="nil"/>
            </w:tcBorders>
            <w:shd w:val="clear" w:color="auto" w:fill="auto"/>
            <w:vAlign w:val="center"/>
          </w:tcPr>
          <w:p w14:paraId="05C71C3E">
            <w:pPr>
              <w:widowControl/>
              <w:jc w:val="center"/>
              <w:rPr>
                <w:color w:val="auto"/>
                <w:highlight w:val="none"/>
              </w:rPr>
            </w:pPr>
          </w:p>
        </w:tc>
        <w:tc>
          <w:tcPr>
            <w:tcW w:w="794" w:type="dxa"/>
            <w:tcBorders>
              <w:tl2br w:val="nil"/>
              <w:tr2bl w:val="nil"/>
            </w:tcBorders>
            <w:shd w:val="clear" w:color="auto" w:fill="auto"/>
            <w:vAlign w:val="center"/>
          </w:tcPr>
          <w:p w14:paraId="0654A87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重点追踪</w:t>
            </w:r>
          </w:p>
        </w:tc>
        <w:tc>
          <w:tcPr>
            <w:tcW w:w="6364" w:type="dxa"/>
            <w:gridSpan w:val="2"/>
            <w:tcBorders>
              <w:tl2br w:val="nil"/>
              <w:tr2bl w:val="nil"/>
            </w:tcBorders>
            <w:shd w:val="clear" w:color="auto" w:fill="auto"/>
            <w:vAlign w:val="center"/>
          </w:tcPr>
          <w:p w14:paraId="254AC2C9">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督查事项设置追踪功能，根据实际需求可在任何环节设置追踪。根据任务计划，将任务分配给相关责任人，并设定任务的开始和截止日期。责任人可以通过业务系统上报任务的进展情况，包括阶段进展、存在问题及下步计划等。督查中心可通过重点追踪功能实现对督查事项的监控和评估，及时发现问题及潜在风险，可劲儿及时采取对应的措施进行调整和优化，确保督查事项按时按质完成。</w:t>
            </w:r>
          </w:p>
        </w:tc>
      </w:tr>
      <w:tr w14:paraId="16FD2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2" w:hRule="atLeast"/>
        </w:trPr>
        <w:tc>
          <w:tcPr>
            <w:tcW w:w="551" w:type="dxa"/>
            <w:vMerge w:val="continue"/>
            <w:tcBorders>
              <w:tl2br w:val="nil"/>
              <w:tr2bl w:val="nil"/>
            </w:tcBorders>
            <w:shd w:val="clear" w:color="auto" w:fill="auto"/>
            <w:vAlign w:val="center"/>
          </w:tcPr>
          <w:p w14:paraId="75E65A67">
            <w:pPr>
              <w:widowControl/>
              <w:jc w:val="center"/>
              <w:rPr>
                <w:color w:val="auto"/>
                <w:highlight w:val="none"/>
              </w:rPr>
            </w:pPr>
          </w:p>
        </w:tc>
        <w:tc>
          <w:tcPr>
            <w:tcW w:w="517" w:type="dxa"/>
            <w:vMerge w:val="continue"/>
            <w:tcBorders>
              <w:tl2br w:val="nil"/>
              <w:tr2bl w:val="nil"/>
            </w:tcBorders>
            <w:shd w:val="clear" w:color="auto" w:fill="auto"/>
            <w:vAlign w:val="center"/>
          </w:tcPr>
          <w:p w14:paraId="2F15BE6D">
            <w:pPr>
              <w:widowControl/>
              <w:jc w:val="center"/>
              <w:rPr>
                <w:color w:val="auto"/>
                <w:highlight w:val="none"/>
              </w:rPr>
            </w:pPr>
          </w:p>
        </w:tc>
        <w:tc>
          <w:tcPr>
            <w:tcW w:w="833" w:type="dxa"/>
            <w:vMerge w:val="continue"/>
            <w:tcBorders>
              <w:tl2br w:val="nil"/>
              <w:tr2bl w:val="nil"/>
            </w:tcBorders>
            <w:shd w:val="clear" w:color="auto" w:fill="auto"/>
            <w:vAlign w:val="center"/>
          </w:tcPr>
          <w:p w14:paraId="2519819B">
            <w:pPr>
              <w:widowControl/>
              <w:jc w:val="center"/>
              <w:rPr>
                <w:color w:val="auto"/>
                <w:highlight w:val="none"/>
              </w:rPr>
            </w:pPr>
          </w:p>
        </w:tc>
        <w:tc>
          <w:tcPr>
            <w:tcW w:w="817" w:type="dxa"/>
            <w:vMerge w:val="continue"/>
            <w:tcBorders>
              <w:tl2br w:val="nil"/>
              <w:tr2bl w:val="nil"/>
            </w:tcBorders>
            <w:shd w:val="clear" w:color="auto" w:fill="auto"/>
            <w:vAlign w:val="center"/>
          </w:tcPr>
          <w:p w14:paraId="35F1667B">
            <w:pPr>
              <w:widowControl/>
              <w:jc w:val="center"/>
              <w:rPr>
                <w:color w:val="auto"/>
                <w:highlight w:val="none"/>
              </w:rPr>
            </w:pPr>
          </w:p>
        </w:tc>
        <w:tc>
          <w:tcPr>
            <w:tcW w:w="794" w:type="dxa"/>
            <w:tcBorders>
              <w:tl2br w:val="nil"/>
              <w:tr2bl w:val="nil"/>
            </w:tcBorders>
            <w:shd w:val="clear" w:color="auto" w:fill="auto"/>
            <w:vAlign w:val="center"/>
          </w:tcPr>
          <w:p w14:paraId="3AF53B0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流程记录</w:t>
            </w:r>
          </w:p>
        </w:tc>
        <w:tc>
          <w:tcPr>
            <w:tcW w:w="6364" w:type="dxa"/>
            <w:gridSpan w:val="2"/>
            <w:tcBorders>
              <w:tl2br w:val="nil"/>
              <w:tr2bl w:val="nil"/>
            </w:tcBorders>
            <w:shd w:val="clear" w:color="auto" w:fill="auto"/>
            <w:vAlign w:val="center"/>
          </w:tcPr>
          <w:p w14:paraId="33BE8F46">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支持督查事项的流程展示功能，包含环节、操作人、操作时间，实现业务流程全留痕。</w:t>
            </w:r>
          </w:p>
        </w:tc>
      </w:tr>
      <w:tr w14:paraId="7E46B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2" w:hRule="atLeast"/>
        </w:trPr>
        <w:tc>
          <w:tcPr>
            <w:tcW w:w="551" w:type="dxa"/>
            <w:vMerge w:val="continue"/>
            <w:tcBorders>
              <w:tl2br w:val="nil"/>
              <w:tr2bl w:val="nil"/>
            </w:tcBorders>
            <w:shd w:val="clear" w:color="auto" w:fill="auto"/>
            <w:vAlign w:val="center"/>
          </w:tcPr>
          <w:p w14:paraId="5FA53CB2">
            <w:pPr>
              <w:widowControl/>
              <w:jc w:val="center"/>
              <w:rPr>
                <w:color w:val="auto"/>
                <w:highlight w:val="none"/>
              </w:rPr>
            </w:pPr>
          </w:p>
        </w:tc>
        <w:tc>
          <w:tcPr>
            <w:tcW w:w="517" w:type="dxa"/>
            <w:vMerge w:val="continue"/>
            <w:tcBorders>
              <w:tl2br w:val="nil"/>
              <w:tr2bl w:val="nil"/>
            </w:tcBorders>
            <w:shd w:val="clear" w:color="auto" w:fill="auto"/>
            <w:vAlign w:val="center"/>
          </w:tcPr>
          <w:p w14:paraId="325A1C6D">
            <w:pPr>
              <w:widowControl/>
              <w:jc w:val="center"/>
              <w:rPr>
                <w:color w:val="auto"/>
                <w:highlight w:val="none"/>
              </w:rPr>
            </w:pPr>
          </w:p>
        </w:tc>
        <w:tc>
          <w:tcPr>
            <w:tcW w:w="833" w:type="dxa"/>
            <w:vMerge w:val="continue"/>
            <w:tcBorders>
              <w:tl2br w:val="nil"/>
              <w:tr2bl w:val="nil"/>
            </w:tcBorders>
            <w:shd w:val="clear" w:color="auto" w:fill="auto"/>
            <w:vAlign w:val="center"/>
          </w:tcPr>
          <w:p w14:paraId="0D5152C8">
            <w:pPr>
              <w:widowControl/>
              <w:jc w:val="center"/>
              <w:rPr>
                <w:color w:val="auto"/>
                <w:highlight w:val="none"/>
              </w:rPr>
            </w:pPr>
          </w:p>
        </w:tc>
        <w:tc>
          <w:tcPr>
            <w:tcW w:w="817" w:type="dxa"/>
            <w:vMerge w:val="continue"/>
            <w:tcBorders>
              <w:tl2br w:val="nil"/>
              <w:tr2bl w:val="nil"/>
            </w:tcBorders>
            <w:shd w:val="clear" w:color="auto" w:fill="auto"/>
            <w:vAlign w:val="center"/>
          </w:tcPr>
          <w:p w14:paraId="0965C574">
            <w:pPr>
              <w:widowControl/>
              <w:jc w:val="center"/>
              <w:rPr>
                <w:color w:val="auto"/>
                <w:highlight w:val="none"/>
              </w:rPr>
            </w:pPr>
          </w:p>
        </w:tc>
        <w:tc>
          <w:tcPr>
            <w:tcW w:w="794" w:type="dxa"/>
            <w:tcBorders>
              <w:tl2br w:val="nil"/>
              <w:tr2bl w:val="nil"/>
            </w:tcBorders>
            <w:shd w:val="clear" w:color="auto" w:fill="auto"/>
            <w:vAlign w:val="center"/>
          </w:tcPr>
          <w:p w14:paraId="3B6FE9B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单位库</w:t>
            </w:r>
          </w:p>
        </w:tc>
        <w:tc>
          <w:tcPr>
            <w:tcW w:w="6364" w:type="dxa"/>
            <w:gridSpan w:val="2"/>
            <w:tcBorders>
              <w:tl2br w:val="nil"/>
              <w:tr2bl w:val="nil"/>
            </w:tcBorders>
            <w:shd w:val="clear" w:color="auto" w:fill="auto"/>
            <w:vAlign w:val="center"/>
          </w:tcPr>
          <w:p w14:paraId="1704770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提供单位库的维护功能。</w:t>
            </w:r>
          </w:p>
          <w:p w14:paraId="1E7A500E">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新增/编辑：提供单位名称、单位类型、单位职能等信息的维护。</w:t>
            </w:r>
          </w:p>
          <w:p w14:paraId="35F06750">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删除：提供单位删除功能。</w:t>
            </w:r>
          </w:p>
        </w:tc>
      </w:tr>
      <w:tr w14:paraId="56F70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2" w:hRule="atLeast"/>
        </w:trPr>
        <w:tc>
          <w:tcPr>
            <w:tcW w:w="551" w:type="dxa"/>
            <w:vMerge w:val="continue"/>
            <w:tcBorders>
              <w:tl2br w:val="nil"/>
              <w:tr2bl w:val="nil"/>
            </w:tcBorders>
            <w:shd w:val="clear" w:color="auto" w:fill="auto"/>
            <w:vAlign w:val="center"/>
          </w:tcPr>
          <w:p w14:paraId="372F65CE">
            <w:pPr>
              <w:widowControl/>
              <w:jc w:val="center"/>
              <w:rPr>
                <w:color w:val="auto"/>
                <w:highlight w:val="none"/>
              </w:rPr>
            </w:pPr>
          </w:p>
        </w:tc>
        <w:tc>
          <w:tcPr>
            <w:tcW w:w="517" w:type="dxa"/>
            <w:vMerge w:val="continue"/>
            <w:tcBorders>
              <w:tl2br w:val="nil"/>
              <w:tr2bl w:val="nil"/>
            </w:tcBorders>
            <w:shd w:val="clear" w:color="auto" w:fill="auto"/>
            <w:vAlign w:val="center"/>
          </w:tcPr>
          <w:p w14:paraId="1EEF18E2">
            <w:pPr>
              <w:widowControl/>
              <w:jc w:val="center"/>
              <w:rPr>
                <w:color w:val="auto"/>
                <w:highlight w:val="none"/>
              </w:rPr>
            </w:pPr>
          </w:p>
        </w:tc>
        <w:tc>
          <w:tcPr>
            <w:tcW w:w="833" w:type="dxa"/>
            <w:vMerge w:val="continue"/>
            <w:tcBorders>
              <w:tl2br w:val="nil"/>
              <w:tr2bl w:val="nil"/>
            </w:tcBorders>
            <w:shd w:val="clear" w:color="auto" w:fill="auto"/>
            <w:vAlign w:val="center"/>
          </w:tcPr>
          <w:p w14:paraId="323D3845">
            <w:pPr>
              <w:widowControl/>
              <w:jc w:val="center"/>
              <w:rPr>
                <w:color w:val="auto"/>
                <w:highlight w:val="none"/>
              </w:rPr>
            </w:pPr>
          </w:p>
        </w:tc>
        <w:tc>
          <w:tcPr>
            <w:tcW w:w="817" w:type="dxa"/>
            <w:vMerge w:val="continue"/>
            <w:tcBorders>
              <w:tl2br w:val="nil"/>
              <w:tr2bl w:val="nil"/>
            </w:tcBorders>
            <w:shd w:val="clear" w:color="auto" w:fill="auto"/>
            <w:vAlign w:val="center"/>
          </w:tcPr>
          <w:p w14:paraId="2E93AFD2">
            <w:pPr>
              <w:widowControl/>
              <w:jc w:val="center"/>
              <w:rPr>
                <w:color w:val="auto"/>
                <w:highlight w:val="none"/>
              </w:rPr>
            </w:pPr>
          </w:p>
        </w:tc>
        <w:tc>
          <w:tcPr>
            <w:tcW w:w="794" w:type="dxa"/>
            <w:tcBorders>
              <w:tl2br w:val="nil"/>
              <w:tr2bl w:val="nil"/>
            </w:tcBorders>
            <w:shd w:val="clear" w:color="auto" w:fill="auto"/>
            <w:vAlign w:val="center"/>
          </w:tcPr>
          <w:p w14:paraId="0E76C9D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通讯录</w:t>
            </w:r>
          </w:p>
        </w:tc>
        <w:tc>
          <w:tcPr>
            <w:tcW w:w="6364" w:type="dxa"/>
            <w:gridSpan w:val="2"/>
            <w:tcBorders>
              <w:tl2br w:val="nil"/>
              <w:tr2bl w:val="nil"/>
            </w:tcBorders>
            <w:shd w:val="clear" w:color="auto" w:fill="auto"/>
            <w:vAlign w:val="center"/>
          </w:tcPr>
          <w:p w14:paraId="5D5A1B80">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提供所有单位的联系人、联系电话维护功能。</w:t>
            </w:r>
          </w:p>
          <w:p w14:paraId="1D4A3D0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新增/编辑：提供姓名、处室、联系电话等字段的编辑。</w:t>
            </w:r>
          </w:p>
          <w:p w14:paraId="117C868E">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删除：提供单位联系人的删除功能。</w:t>
            </w:r>
          </w:p>
        </w:tc>
      </w:tr>
      <w:tr w14:paraId="460EF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3" w:hRule="atLeast"/>
        </w:trPr>
        <w:tc>
          <w:tcPr>
            <w:tcW w:w="551" w:type="dxa"/>
            <w:vMerge w:val="continue"/>
            <w:tcBorders>
              <w:tl2br w:val="nil"/>
              <w:tr2bl w:val="nil"/>
            </w:tcBorders>
            <w:shd w:val="clear" w:color="auto" w:fill="auto"/>
            <w:vAlign w:val="center"/>
          </w:tcPr>
          <w:p w14:paraId="5AF4D13B">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shd w:val="clear" w:color="auto" w:fill="auto"/>
            <w:vAlign w:val="center"/>
          </w:tcPr>
          <w:p w14:paraId="3997B274">
            <w:pPr>
              <w:widowControl/>
              <w:rPr>
                <w:rFonts w:ascii="宋体" w:hAnsi="宋体" w:eastAsia="宋体" w:cs="宋体"/>
                <w:color w:val="auto"/>
                <w:kern w:val="0"/>
                <w:szCs w:val="21"/>
                <w:highlight w:val="none"/>
              </w:rPr>
            </w:pPr>
          </w:p>
        </w:tc>
        <w:tc>
          <w:tcPr>
            <w:tcW w:w="833" w:type="dxa"/>
            <w:vMerge w:val="restart"/>
            <w:tcBorders>
              <w:tl2br w:val="nil"/>
              <w:tr2bl w:val="nil"/>
            </w:tcBorders>
            <w:shd w:val="clear" w:color="auto" w:fill="auto"/>
            <w:vAlign w:val="center"/>
          </w:tcPr>
          <w:p w14:paraId="52A243D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督考一体化全生命周期管理</w:t>
            </w:r>
          </w:p>
          <w:p w14:paraId="2800104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（新增）</w:t>
            </w:r>
          </w:p>
        </w:tc>
        <w:tc>
          <w:tcPr>
            <w:tcW w:w="817" w:type="dxa"/>
            <w:vMerge w:val="restart"/>
            <w:tcBorders>
              <w:tl2br w:val="nil"/>
              <w:tr2bl w:val="nil"/>
            </w:tcBorders>
            <w:shd w:val="clear" w:color="auto" w:fill="auto"/>
            <w:vAlign w:val="center"/>
          </w:tcPr>
          <w:p w14:paraId="02DAFA4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w:t>
            </w:r>
          </w:p>
          <w:p w14:paraId="6523288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考</w:t>
            </w:r>
          </w:p>
          <w:p w14:paraId="38C2C6E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p w14:paraId="2985E66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体</w:t>
            </w:r>
          </w:p>
          <w:p w14:paraId="0FED316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化</w:t>
            </w:r>
          </w:p>
          <w:p w14:paraId="6727933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全</w:t>
            </w:r>
          </w:p>
          <w:p w14:paraId="4A1DAE3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w:t>
            </w:r>
          </w:p>
          <w:p w14:paraId="75F1742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命</w:t>
            </w:r>
          </w:p>
          <w:p w14:paraId="67AA837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周</w:t>
            </w:r>
          </w:p>
          <w:p w14:paraId="7C8C012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期</w:t>
            </w:r>
          </w:p>
          <w:p w14:paraId="7A6EC51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管</w:t>
            </w:r>
          </w:p>
          <w:p w14:paraId="35E0E5C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理</w:t>
            </w:r>
          </w:p>
          <w:p w14:paraId="7C47033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w:t>
            </w:r>
          </w:p>
          <w:p w14:paraId="61100B9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作</w:t>
            </w:r>
          </w:p>
          <w:p w14:paraId="09C20B2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794" w:type="dxa"/>
            <w:tcBorders>
              <w:tl2br w:val="nil"/>
              <w:tr2bl w:val="nil"/>
            </w:tcBorders>
            <w:shd w:val="clear" w:color="auto" w:fill="auto"/>
            <w:vAlign w:val="center"/>
          </w:tcPr>
          <w:p w14:paraId="622F50A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事项总览</w:t>
            </w:r>
          </w:p>
        </w:tc>
        <w:tc>
          <w:tcPr>
            <w:tcW w:w="6364" w:type="dxa"/>
            <w:gridSpan w:val="2"/>
            <w:tcBorders>
              <w:tl2br w:val="nil"/>
              <w:tr2bl w:val="nil"/>
            </w:tcBorders>
            <w:shd w:val="clear" w:color="auto" w:fill="auto"/>
            <w:vAlign w:val="center"/>
          </w:tcPr>
          <w:p w14:paraId="72F8EADE">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展示重大决策事项的总数，按活跃、关注和静态分为三类，进行中事项根据红黄绿三色预警灯展示数量，已销号数，已评价数和未评价数。</w:t>
            </w:r>
          </w:p>
        </w:tc>
      </w:tr>
      <w:tr w14:paraId="3C219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3" w:hRule="atLeast"/>
        </w:trPr>
        <w:tc>
          <w:tcPr>
            <w:tcW w:w="551" w:type="dxa"/>
            <w:vMerge w:val="continue"/>
            <w:tcBorders>
              <w:tl2br w:val="nil"/>
              <w:tr2bl w:val="nil"/>
            </w:tcBorders>
            <w:shd w:val="clear" w:color="auto" w:fill="auto"/>
            <w:vAlign w:val="center"/>
          </w:tcPr>
          <w:p w14:paraId="0ED1D963">
            <w:pPr>
              <w:widowControl/>
              <w:jc w:val="center"/>
              <w:rPr>
                <w:color w:val="auto"/>
                <w:highlight w:val="none"/>
              </w:rPr>
            </w:pPr>
          </w:p>
        </w:tc>
        <w:tc>
          <w:tcPr>
            <w:tcW w:w="517" w:type="dxa"/>
            <w:vMerge w:val="continue"/>
            <w:tcBorders>
              <w:tl2br w:val="nil"/>
              <w:tr2bl w:val="nil"/>
            </w:tcBorders>
            <w:shd w:val="clear" w:color="auto" w:fill="auto"/>
            <w:vAlign w:val="center"/>
          </w:tcPr>
          <w:p w14:paraId="09C39C48">
            <w:pPr>
              <w:widowControl/>
              <w:jc w:val="center"/>
              <w:rPr>
                <w:color w:val="auto"/>
                <w:highlight w:val="none"/>
              </w:rPr>
            </w:pPr>
          </w:p>
        </w:tc>
        <w:tc>
          <w:tcPr>
            <w:tcW w:w="833" w:type="dxa"/>
            <w:vMerge w:val="continue"/>
            <w:tcBorders>
              <w:tl2br w:val="nil"/>
              <w:tr2bl w:val="nil"/>
            </w:tcBorders>
            <w:shd w:val="clear" w:color="auto" w:fill="auto"/>
            <w:vAlign w:val="center"/>
          </w:tcPr>
          <w:p w14:paraId="6FD12C88">
            <w:pPr>
              <w:widowControl/>
              <w:jc w:val="center"/>
              <w:rPr>
                <w:color w:val="auto"/>
                <w:highlight w:val="none"/>
              </w:rPr>
            </w:pPr>
          </w:p>
        </w:tc>
        <w:tc>
          <w:tcPr>
            <w:tcW w:w="817" w:type="dxa"/>
            <w:vMerge w:val="continue"/>
            <w:tcBorders>
              <w:tl2br w:val="nil"/>
              <w:tr2bl w:val="nil"/>
            </w:tcBorders>
            <w:shd w:val="clear" w:color="auto" w:fill="auto"/>
            <w:vAlign w:val="center"/>
          </w:tcPr>
          <w:p w14:paraId="0C6F7414">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74AD958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三色预警</w:t>
            </w:r>
          </w:p>
        </w:tc>
        <w:tc>
          <w:tcPr>
            <w:tcW w:w="6364" w:type="dxa"/>
            <w:gridSpan w:val="2"/>
            <w:tcBorders>
              <w:tl2br w:val="nil"/>
              <w:tr2bl w:val="nil"/>
            </w:tcBorders>
            <w:shd w:val="clear" w:color="auto" w:fill="auto"/>
            <w:vAlign w:val="center"/>
          </w:tcPr>
          <w:p w14:paraId="772AA6A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根据红黄绿三色预警灯以饼图展示分别占比和数量。</w:t>
            </w:r>
          </w:p>
        </w:tc>
      </w:tr>
      <w:tr w14:paraId="732BA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3" w:hRule="atLeast"/>
        </w:trPr>
        <w:tc>
          <w:tcPr>
            <w:tcW w:w="551" w:type="dxa"/>
            <w:vMerge w:val="continue"/>
            <w:tcBorders>
              <w:tl2br w:val="nil"/>
              <w:tr2bl w:val="nil"/>
            </w:tcBorders>
            <w:shd w:val="clear" w:color="auto" w:fill="auto"/>
            <w:vAlign w:val="center"/>
          </w:tcPr>
          <w:p w14:paraId="4C4E31FA">
            <w:pPr>
              <w:widowControl/>
              <w:jc w:val="center"/>
              <w:rPr>
                <w:color w:val="auto"/>
                <w:highlight w:val="none"/>
              </w:rPr>
            </w:pPr>
          </w:p>
        </w:tc>
        <w:tc>
          <w:tcPr>
            <w:tcW w:w="517" w:type="dxa"/>
            <w:vMerge w:val="continue"/>
            <w:tcBorders>
              <w:tl2br w:val="nil"/>
              <w:tr2bl w:val="nil"/>
            </w:tcBorders>
            <w:shd w:val="clear" w:color="auto" w:fill="auto"/>
            <w:vAlign w:val="center"/>
          </w:tcPr>
          <w:p w14:paraId="17AE0D35">
            <w:pPr>
              <w:widowControl/>
              <w:jc w:val="center"/>
              <w:rPr>
                <w:color w:val="auto"/>
                <w:highlight w:val="none"/>
              </w:rPr>
            </w:pPr>
          </w:p>
        </w:tc>
        <w:tc>
          <w:tcPr>
            <w:tcW w:w="833" w:type="dxa"/>
            <w:vMerge w:val="continue"/>
            <w:tcBorders>
              <w:tl2br w:val="nil"/>
              <w:tr2bl w:val="nil"/>
            </w:tcBorders>
            <w:shd w:val="clear" w:color="auto" w:fill="auto"/>
            <w:vAlign w:val="center"/>
          </w:tcPr>
          <w:p w14:paraId="47441669">
            <w:pPr>
              <w:widowControl/>
              <w:jc w:val="center"/>
              <w:rPr>
                <w:color w:val="auto"/>
                <w:highlight w:val="none"/>
              </w:rPr>
            </w:pPr>
          </w:p>
        </w:tc>
        <w:tc>
          <w:tcPr>
            <w:tcW w:w="817" w:type="dxa"/>
            <w:vMerge w:val="continue"/>
            <w:tcBorders>
              <w:tl2br w:val="nil"/>
              <w:tr2bl w:val="nil"/>
            </w:tcBorders>
            <w:shd w:val="clear" w:color="auto" w:fill="auto"/>
            <w:vAlign w:val="center"/>
          </w:tcPr>
          <w:p w14:paraId="2E845882">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07E2444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督办问题</w:t>
            </w:r>
          </w:p>
        </w:tc>
        <w:tc>
          <w:tcPr>
            <w:tcW w:w="6364" w:type="dxa"/>
            <w:gridSpan w:val="2"/>
            <w:tcBorders>
              <w:tl2br w:val="nil"/>
              <w:tr2bl w:val="nil"/>
            </w:tcBorders>
            <w:shd w:val="clear" w:color="auto" w:fill="auto"/>
            <w:vAlign w:val="center"/>
          </w:tcPr>
          <w:p w14:paraId="3BFF7A9A">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展示督办问题总数、整改中和销号数，各单位维度用列表的形式展示 ，列表字段包含序号、单位名称、问题数、整改中、已销号和销号率。</w:t>
            </w:r>
          </w:p>
        </w:tc>
      </w:tr>
      <w:tr w14:paraId="4E824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3" w:hRule="atLeast"/>
        </w:trPr>
        <w:tc>
          <w:tcPr>
            <w:tcW w:w="551" w:type="dxa"/>
            <w:vMerge w:val="continue"/>
            <w:tcBorders>
              <w:tl2br w:val="nil"/>
              <w:tr2bl w:val="nil"/>
            </w:tcBorders>
            <w:shd w:val="clear" w:color="auto" w:fill="auto"/>
            <w:vAlign w:val="center"/>
          </w:tcPr>
          <w:p w14:paraId="26B33022">
            <w:pPr>
              <w:widowControl/>
              <w:jc w:val="center"/>
              <w:rPr>
                <w:color w:val="auto"/>
                <w:highlight w:val="none"/>
              </w:rPr>
            </w:pPr>
          </w:p>
        </w:tc>
        <w:tc>
          <w:tcPr>
            <w:tcW w:w="517" w:type="dxa"/>
            <w:vMerge w:val="continue"/>
            <w:tcBorders>
              <w:tl2br w:val="nil"/>
              <w:tr2bl w:val="nil"/>
            </w:tcBorders>
            <w:shd w:val="clear" w:color="auto" w:fill="auto"/>
            <w:vAlign w:val="center"/>
          </w:tcPr>
          <w:p w14:paraId="50539C37">
            <w:pPr>
              <w:widowControl/>
              <w:jc w:val="center"/>
              <w:rPr>
                <w:color w:val="auto"/>
                <w:highlight w:val="none"/>
              </w:rPr>
            </w:pPr>
          </w:p>
        </w:tc>
        <w:tc>
          <w:tcPr>
            <w:tcW w:w="833" w:type="dxa"/>
            <w:vMerge w:val="continue"/>
            <w:tcBorders>
              <w:tl2br w:val="nil"/>
              <w:tr2bl w:val="nil"/>
            </w:tcBorders>
            <w:shd w:val="clear" w:color="auto" w:fill="auto"/>
            <w:vAlign w:val="center"/>
          </w:tcPr>
          <w:p w14:paraId="5C260C48">
            <w:pPr>
              <w:widowControl/>
              <w:jc w:val="center"/>
              <w:rPr>
                <w:color w:val="auto"/>
                <w:highlight w:val="none"/>
              </w:rPr>
            </w:pPr>
          </w:p>
        </w:tc>
        <w:tc>
          <w:tcPr>
            <w:tcW w:w="817" w:type="dxa"/>
            <w:vMerge w:val="continue"/>
            <w:tcBorders>
              <w:tl2br w:val="nil"/>
              <w:tr2bl w:val="nil"/>
            </w:tcBorders>
            <w:shd w:val="clear" w:color="auto" w:fill="auto"/>
            <w:vAlign w:val="center"/>
          </w:tcPr>
          <w:p w14:paraId="75C4DFB9">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54FBB10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工作动态</w:t>
            </w:r>
          </w:p>
        </w:tc>
        <w:tc>
          <w:tcPr>
            <w:tcW w:w="6364" w:type="dxa"/>
            <w:gridSpan w:val="2"/>
            <w:tcBorders>
              <w:tl2br w:val="nil"/>
              <w:tr2bl w:val="nil"/>
            </w:tcBorders>
            <w:shd w:val="clear" w:color="auto" w:fill="auto"/>
            <w:vAlign w:val="center"/>
          </w:tcPr>
          <w:p w14:paraId="57BEC059">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展示督查督办中的工作事迹和优秀案例，用列表的形式展示，包含标题、重大决策事项、督查时间、专项专组成员、督查发现问题、问题解决情况照片、附件等信息。</w:t>
            </w:r>
          </w:p>
        </w:tc>
      </w:tr>
      <w:tr w14:paraId="41AC9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3" w:hRule="atLeast"/>
        </w:trPr>
        <w:tc>
          <w:tcPr>
            <w:tcW w:w="551" w:type="dxa"/>
            <w:vMerge w:val="continue"/>
            <w:tcBorders>
              <w:tl2br w:val="nil"/>
              <w:tr2bl w:val="nil"/>
            </w:tcBorders>
            <w:shd w:val="clear" w:color="auto" w:fill="auto"/>
            <w:vAlign w:val="center"/>
          </w:tcPr>
          <w:p w14:paraId="2AE0E6BF">
            <w:pPr>
              <w:widowControl/>
              <w:jc w:val="center"/>
              <w:rPr>
                <w:color w:val="auto"/>
                <w:highlight w:val="none"/>
              </w:rPr>
            </w:pPr>
          </w:p>
        </w:tc>
        <w:tc>
          <w:tcPr>
            <w:tcW w:w="517" w:type="dxa"/>
            <w:vMerge w:val="continue"/>
            <w:tcBorders>
              <w:tl2br w:val="nil"/>
              <w:tr2bl w:val="nil"/>
            </w:tcBorders>
            <w:shd w:val="clear" w:color="auto" w:fill="auto"/>
            <w:vAlign w:val="center"/>
          </w:tcPr>
          <w:p w14:paraId="149E694D">
            <w:pPr>
              <w:widowControl/>
              <w:jc w:val="center"/>
              <w:rPr>
                <w:color w:val="auto"/>
                <w:highlight w:val="none"/>
              </w:rPr>
            </w:pPr>
          </w:p>
        </w:tc>
        <w:tc>
          <w:tcPr>
            <w:tcW w:w="833" w:type="dxa"/>
            <w:vMerge w:val="continue"/>
            <w:tcBorders>
              <w:tl2br w:val="nil"/>
              <w:tr2bl w:val="nil"/>
            </w:tcBorders>
            <w:shd w:val="clear" w:color="auto" w:fill="auto"/>
            <w:vAlign w:val="center"/>
          </w:tcPr>
          <w:p w14:paraId="6E8AB588">
            <w:pPr>
              <w:widowControl/>
              <w:jc w:val="center"/>
              <w:rPr>
                <w:color w:val="auto"/>
                <w:highlight w:val="none"/>
              </w:rPr>
            </w:pPr>
          </w:p>
        </w:tc>
        <w:tc>
          <w:tcPr>
            <w:tcW w:w="817" w:type="dxa"/>
            <w:vMerge w:val="continue"/>
            <w:tcBorders>
              <w:tl2br w:val="nil"/>
              <w:tr2bl w:val="nil"/>
            </w:tcBorders>
            <w:shd w:val="clear" w:color="auto" w:fill="auto"/>
            <w:vAlign w:val="center"/>
          </w:tcPr>
          <w:p w14:paraId="7F41B005">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01119C9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待办事项</w:t>
            </w:r>
          </w:p>
        </w:tc>
        <w:tc>
          <w:tcPr>
            <w:tcW w:w="6364" w:type="dxa"/>
            <w:gridSpan w:val="2"/>
            <w:tcBorders>
              <w:tl2br w:val="nil"/>
              <w:tr2bl w:val="nil"/>
            </w:tcBorders>
            <w:shd w:val="clear" w:color="auto" w:fill="auto"/>
            <w:vAlign w:val="center"/>
          </w:tcPr>
          <w:p w14:paraId="092460B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展示当前需要处理的事项，支持二级页面跳转详情页。</w:t>
            </w:r>
          </w:p>
        </w:tc>
      </w:tr>
      <w:tr w14:paraId="1D942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551" w:type="dxa"/>
            <w:vMerge w:val="continue"/>
            <w:tcBorders>
              <w:tl2br w:val="nil"/>
              <w:tr2bl w:val="nil"/>
            </w:tcBorders>
            <w:shd w:val="clear" w:color="auto" w:fill="auto"/>
            <w:vAlign w:val="center"/>
          </w:tcPr>
          <w:p w14:paraId="745FBE14">
            <w:pPr>
              <w:widowControl/>
              <w:jc w:val="center"/>
              <w:rPr>
                <w:color w:val="auto"/>
                <w:highlight w:val="none"/>
              </w:rPr>
            </w:pPr>
          </w:p>
        </w:tc>
        <w:tc>
          <w:tcPr>
            <w:tcW w:w="517" w:type="dxa"/>
            <w:vMerge w:val="continue"/>
            <w:tcBorders>
              <w:tl2br w:val="nil"/>
              <w:tr2bl w:val="nil"/>
            </w:tcBorders>
            <w:shd w:val="clear" w:color="auto" w:fill="auto"/>
            <w:vAlign w:val="center"/>
          </w:tcPr>
          <w:p w14:paraId="4BECE3A5">
            <w:pPr>
              <w:widowControl/>
              <w:jc w:val="center"/>
              <w:rPr>
                <w:color w:val="auto"/>
                <w:highlight w:val="none"/>
              </w:rPr>
            </w:pPr>
          </w:p>
        </w:tc>
        <w:tc>
          <w:tcPr>
            <w:tcW w:w="833" w:type="dxa"/>
            <w:vMerge w:val="continue"/>
            <w:tcBorders>
              <w:tl2br w:val="nil"/>
              <w:tr2bl w:val="nil"/>
            </w:tcBorders>
            <w:shd w:val="clear" w:color="auto" w:fill="auto"/>
            <w:vAlign w:val="center"/>
          </w:tcPr>
          <w:p w14:paraId="68DF8E46">
            <w:pPr>
              <w:widowControl/>
              <w:jc w:val="center"/>
              <w:rPr>
                <w:color w:val="auto"/>
                <w:highlight w:val="none"/>
              </w:rPr>
            </w:pPr>
          </w:p>
        </w:tc>
        <w:tc>
          <w:tcPr>
            <w:tcW w:w="817" w:type="dxa"/>
            <w:vMerge w:val="continue"/>
            <w:tcBorders>
              <w:tl2br w:val="nil"/>
              <w:tr2bl w:val="nil"/>
            </w:tcBorders>
            <w:shd w:val="clear" w:color="auto" w:fill="auto"/>
            <w:vAlign w:val="center"/>
          </w:tcPr>
          <w:p w14:paraId="6DFE0DED">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0AFC4E1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评估问效</w:t>
            </w:r>
          </w:p>
        </w:tc>
        <w:tc>
          <w:tcPr>
            <w:tcW w:w="6364" w:type="dxa"/>
            <w:gridSpan w:val="2"/>
            <w:tcBorders>
              <w:tl2br w:val="nil"/>
              <w:tr2bl w:val="nil"/>
            </w:tcBorders>
            <w:shd w:val="clear" w:color="auto" w:fill="auto"/>
            <w:vAlign w:val="center"/>
          </w:tcPr>
          <w:p w14:paraId="6F47661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展示单位的评分情况。</w:t>
            </w:r>
          </w:p>
        </w:tc>
      </w:tr>
      <w:tr w14:paraId="50EF0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3" w:hRule="atLeast"/>
        </w:trPr>
        <w:tc>
          <w:tcPr>
            <w:tcW w:w="551" w:type="dxa"/>
            <w:vMerge w:val="continue"/>
            <w:tcBorders>
              <w:tl2br w:val="nil"/>
              <w:tr2bl w:val="nil"/>
            </w:tcBorders>
            <w:shd w:val="clear" w:color="auto" w:fill="auto"/>
            <w:vAlign w:val="center"/>
          </w:tcPr>
          <w:p w14:paraId="73DD8168">
            <w:pPr>
              <w:widowControl/>
              <w:jc w:val="center"/>
              <w:rPr>
                <w:color w:val="auto"/>
                <w:highlight w:val="none"/>
              </w:rPr>
            </w:pPr>
          </w:p>
        </w:tc>
        <w:tc>
          <w:tcPr>
            <w:tcW w:w="517" w:type="dxa"/>
            <w:vMerge w:val="continue"/>
            <w:tcBorders>
              <w:tl2br w:val="nil"/>
              <w:tr2bl w:val="nil"/>
            </w:tcBorders>
            <w:shd w:val="clear" w:color="auto" w:fill="auto"/>
            <w:vAlign w:val="center"/>
          </w:tcPr>
          <w:p w14:paraId="6B3EF379">
            <w:pPr>
              <w:widowControl/>
              <w:jc w:val="center"/>
              <w:rPr>
                <w:color w:val="auto"/>
                <w:highlight w:val="none"/>
              </w:rPr>
            </w:pPr>
          </w:p>
        </w:tc>
        <w:tc>
          <w:tcPr>
            <w:tcW w:w="833" w:type="dxa"/>
            <w:vMerge w:val="continue"/>
            <w:tcBorders>
              <w:tl2br w:val="nil"/>
              <w:tr2bl w:val="nil"/>
            </w:tcBorders>
            <w:shd w:val="clear" w:color="auto" w:fill="auto"/>
            <w:vAlign w:val="center"/>
          </w:tcPr>
          <w:p w14:paraId="45C57EA3">
            <w:pPr>
              <w:widowControl/>
              <w:jc w:val="center"/>
              <w:rPr>
                <w:color w:val="auto"/>
                <w:highlight w:val="none"/>
              </w:rPr>
            </w:pPr>
          </w:p>
        </w:tc>
        <w:tc>
          <w:tcPr>
            <w:tcW w:w="817" w:type="dxa"/>
            <w:vMerge w:val="continue"/>
            <w:tcBorders>
              <w:tl2br w:val="nil"/>
              <w:tr2bl w:val="nil"/>
            </w:tcBorders>
            <w:shd w:val="clear" w:color="auto" w:fill="auto"/>
            <w:vAlign w:val="center"/>
          </w:tcPr>
          <w:p w14:paraId="3820E4D1">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44EB54A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通报情况</w:t>
            </w:r>
          </w:p>
        </w:tc>
        <w:tc>
          <w:tcPr>
            <w:tcW w:w="6364" w:type="dxa"/>
            <w:gridSpan w:val="2"/>
            <w:tcBorders>
              <w:tl2br w:val="nil"/>
              <w:tr2bl w:val="nil"/>
            </w:tcBorders>
            <w:shd w:val="clear" w:color="auto" w:fill="auto"/>
            <w:vAlign w:val="center"/>
          </w:tcPr>
          <w:p w14:paraId="49AED96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根据每月/季度三色预警情况发布预警通报，支持下载功能。</w:t>
            </w:r>
          </w:p>
        </w:tc>
      </w:tr>
      <w:tr w14:paraId="077BD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2" w:hRule="atLeast"/>
        </w:trPr>
        <w:tc>
          <w:tcPr>
            <w:tcW w:w="551" w:type="dxa"/>
            <w:vMerge w:val="continue"/>
            <w:tcBorders>
              <w:tl2br w:val="nil"/>
              <w:tr2bl w:val="nil"/>
            </w:tcBorders>
            <w:shd w:val="clear" w:color="auto" w:fill="auto"/>
            <w:vAlign w:val="center"/>
          </w:tcPr>
          <w:p w14:paraId="231D2AF7">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shd w:val="clear" w:color="auto" w:fill="auto"/>
            <w:vAlign w:val="center"/>
          </w:tcPr>
          <w:p w14:paraId="5A628817">
            <w:pPr>
              <w:widowControl/>
              <w:rPr>
                <w:rFonts w:ascii="宋体" w:hAnsi="宋体" w:eastAsia="宋体" w:cs="宋体"/>
                <w:color w:val="auto"/>
                <w:kern w:val="0"/>
                <w:szCs w:val="21"/>
                <w:highlight w:val="none"/>
              </w:rPr>
            </w:pPr>
          </w:p>
        </w:tc>
        <w:tc>
          <w:tcPr>
            <w:tcW w:w="833" w:type="dxa"/>
            <w:vMerge w:val="continue"/>
            <w:tcBorders>
              <w:tl2br w:val="nil"/>
              <w:tr2bl w:val="nil"/>
            </w:tcBorders>
            <w:shd w:val="clear" w:color="auto" w:fill="auto"/>
            <w:vAlign w:val="center"/>
          </w:tcPr>
          <w:p w14:paraId="372C74FE">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13BE52A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重大事项清单管理</w:t>
            </w:r>
          </w:p>
        </w:tc>
        <w:tc>
          <w:tcPr>
            <w:tcW w:w="6364" w:type="dxa"/>
            <w:gridSpan w:val="2"/>
            <w:tcBorders>
              <w:tl2br w:val="nil"/>
              <w:tr2bl w:val="nil"/>
            </w:tcBorders>
            <w:shd w:val="clear" w:color="auto" w:fill="auto"/>
            <w:vAlign w:val="center"/>
          </w:tcPr>
          <w:p w14:paraId="0050A09B">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根据实际业务需要由督考中心务人员进行重大决策事项创建、编辑、删除、发布等功能。</w:t>
            </w:r>
          </w:p>
          <w:p w14:paraId="026A8F8F">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创建时需填写所属年度、事项来源、事项类型、事项名称、牵头单位、配合单位、督查频次、督查方式、督查依据、专组成员、总体目标任务、组织力量架构、任务举措、工作完成进度等信息。</w:t>
            </w:r>
          </w:p>
        </w:tc>
      </w:tr>
      <w:tr w14:paraId="51654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72E10795">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shd w:val="clear" w:color="auto" w:fill="auto"/>
            <w:vAlign w:val="center"/>
          </w:tcPr>
          <w:p w14:paraId="5F2D543F">
            <w:pPr>
              <w:widowControl/>
              <w:rPr>
                <w:rFonts w:ascii="宋体" w:hAnsi="宋体" w:eastAsia="宋体" w:cs="宋体"/>
                <w:color w:val="auto"/>
                <w:kern w:val="0"/>
                <w:szCs w:val="21"/>
                <w:highlight w:val="none"/>
              </w:rPr>
            </w:pPr>
          </w:p>
        </w:tc>
        <w:tc>
          <w:tcPr>
            <w:tcW w:w="833" w:type="dxa"/>
            <w:vMerge w:val="continue"/>
            <w:tcBorders>
              <w:tl2br w:val="nil"/>
              <w:tr2bl w:val="nil"/>
            </w:tcBorders>
            <w:shd w:val="clear" w:color="auto" w:fill="auto"/>
            <w:vAlign w:val="center"/>
          </w:tcPr>
          <w:p w14:paraId="3B18FD99">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4A551F3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专项专组成员</w:t>
            </w:r>
          </w:p>
        </w:tc>
        <w:tc>
          <w:tcPr>
            <w:tcW w:w="6364" w:type="dxa"/>
            <w:gridSpan w:val="2"/>
            <w:tcBorders>
              <w:tl2br w:val="nil"/>
              <w:tr2bl w:val="nil"/>
            </w:tcBorders>
            <w:shd w:val="clear" w:color="auto" w:fill="auto"/>
            <w:vAlign w:val="center"/>
          </w:tcPr>
          <w:p w14:paraId="63FB2361">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对督考中心业务人员提供专项专组成员的管理功能，支持新增、编辑、删除、查看功能。</w:t>
            </w:r>
          </w:p>
        </w:tc>
      </w:tr>
      <w:tr w14:paraId="0B870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421CE52F">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shd w:val="clear" w:color="auto" w:fill="auto"/>
            <w:vAlign w:val="center"/>
          </w:tcPr>
          <w:p w14:paraId="23BCE809">
            <w:pPr>
              <w:widowControl/>
              <w:rPr>
                <w:rFonts w:ascii="宋体" w:hAnsi="宋体" w:eastAsia="宋体" w:cs="宋体"/>
                <w:color w:val="auto"/>
                <w:kern w:val="0"/>
                <w:szCs w:val="21"/>
                <w:highlight w:val="none"/>
              </w:rPr>
            </w:pPr>
          </w:p>
        </w:tc>
        <w:tc>
          <w:tcPr>
            <w:tcW w:w="833" w:type="dxa"/>
            <w:vMerge w:val="continue"/>
            <w:tcBorders>
              <w:tl2br w:val="nil"/>
              <w:tr2bl w:val="nil"/>
            </w:tcBorders>
            <w:shd w:val="clear" w:color="auto" w:fill="auto"/>
            <w:vAlign w:val="center"/>
          </w:tcPr>
          <w:p w14:paraId="038164B9">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6A5EB45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督促落实</w:t>
            </w:r>
          </w:p>
        </w:tc>
        <w:tc>
          <w:tcPr>
            <w:tcW w:w="6364" w:type="dxa"/>
            <w:gridSpan w:val="2"/>
            <w:tcBorders>
              <w:tl2br w:val="nil"/>
              <w:tr2bl w:val="nil"/>
            </w:tcBorders>
            <w:shd w:val="clear" w:color="auto" w:fill="auto"/>
            <w:vAlign w:val="center"/>
          </w:tcPr>
          <w:p w14:paraId="2D2F00F5">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对牵头单位和配合单位提供督促落实功能，包含事项进展、督查时间、督查方式、督查人员等信息的填写。</w:t>
            </w:r>
          </w:p>
        </w:tc>
      </w:tr>
      <w:tr w14:paraId="287B2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1D60404F">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shd w:val="clear" w:color="auto" w:fill="auto"/>
            <w:vAlign w:val="center"/>
          </w:tcPr>
          <w:p w14:paraId="20847E5F">
            <w:pPr>
              <w:widowControl/>
              <w:rPr>
                <w:rFonts w:ascii="宋体" w:hAnsi="宋体" w:eastAsia="宋体" w:cs="宋体"/>
                <w:color w:val="auto"/>
                <w:kern w:val="0"/>
                <w:szCs w:val="21"/>
                <w:highlight w:val="none"/>
              </w:rPr>
            </w:pPr>
          </w:p>
        </w:tc>
        <w:tc>
          <w:tcPr>
            <w:tcW w:w="833" w:type="dxa"/>
            <w:vMerge w:val="continue"/>
            <w:tcBorders>
              <w:tl2br w:val="nil"/>
              <w:tr2bl w:val="nil"/>
            </w:tcBorders>
            <w:shd w:val="clear" w:color="auto" w:fill="auto"/>
            <w:vAlign w:val="center"/>
          </w:tcPr>
          <w:p w14:paraId="16E936EA">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6DCD069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预警管理</w:t>
            </w:r>
          </w:p>
        </w:tc>
        <w:tc>
          <w:tcPr>
            <w:tcW w:w="6364" w:type="dxa"/>
            <w:gridSpan w:val="2"/>
            <w:tcBorders>
              <w:tl2br w:val="nil"/>
              <w:tr2bl w:val="nil"/>
            </w:tcBorders>
            <w:shd w:val="clear" w:color="auto" w:fill="auto"/>
            <w:vAlign w:val="center"/>
          </w:tcPr>
          <w:p w14:paraId="2F9A93C0">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督考中心业务人员提供预警管理功能，根据设置的预警时间，系统自动推送红灯、黄灯记录并以列表的形式展示，列表字段包含事项名称、督促落实红灯、黄灯、督办问题红灯、黄灯，办结销号红灯、黄灯，合计红灯、黄灯。</w:t>
            </w:r>
          </w:p>
        </w:tc>
      </w:tr>
      <w:tr w14:paraId="6D93A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08581459">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shd w:val="clear" w:color="auto" w:fill="auto"/>
            <w:vAlign w:val="center"/>
          </w:tcPr>
          <w:p w14:paraId="17626758">
            <w:pPr>
              <w:widowControl/>
              <w:rPr>
                <w:rFonts w:ascii="宋体" w:hAnsi="宋体" w:eastAsia="宋体" w:cs="宋体"/>
                <w:color w:val="auto"/>
                <w:kern w:val="0"/>
                <w:szCs w:val="21"/>
                <w:highlight w:val="none"/>
              </w:rPr>
            </w:pPr>
          </w:p>
        </w:tc>
        <w:tc>
          <w:tcPr>
            <w:tcW w:w="833" w:type="dxa"/>
            <w:vMerge w:val="continue"/>
            <w:tcBorders>
              <w:tl2br w:val="nil"/>
              <w:tr2bl w:val="nil"/>
            </w:tcBorders>
            <w:shd w:val="clear" w:color="auto" w:fill="auto"/>
            <w:vAlign w:val="center"/>
          </w:tcPr>
          <w:p w14:paraId="77ED4724">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2CBB5D9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督办问题库</w:t>
            </w:r>
          </w:p>
        </w:tc>
        <w:tc>
          <w:tcPr>
            <w:tcW w:w="6364" w:type="dxa"/>
            <w:gridSpan w:val="2"/>
            <w:tcBorders>
              <w:tl2br w:val="nil"/>
              <w:tr2bl w:val="nil"/>
            </w:tcBorders>
            <w:shd w:val="clear" w:color="auto" w:fill="auto"/>
            <w:vAlign w:val="center"/>
          </w:tcPr>
          <w:p w14:paraId="3F820B4F">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对专项专组成员、牵头单位和配合提供督办问题库，支持新增、反馈、审核功能。</w:t>
            </w:r>
          </w:p>
        </w:tc>
      </w:tr>
      <w:tr w14:paraId="4F681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1D48F3E3">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shd w:val="clear" w:color="auto" w:fill="auto"/>
            <w:vAlign w:val="center"/>
          </w:tcPr>
          <w:p w14:paraId="4D5C7389">
            <w:pPr>
              <w:widowControl/>
              <w:rPr>
                <w:rFonts w:ascii="宋体" w:hAnsi="宋体" w:eastAsia="宋体" w:cs="宋体"/>
                <w:color w:val="auto"/>
                <w:kern w:val="0"/>
                <w:szCs w:val="21"/>
                <w:highlight w:val="none"/>
              </w:rPr>
            </w:pPr>
          </w:p>
        </w:tc>
        <w:tc>
          <w:tcPr>
            <w:tcW w:w="833" w:type="dxa"/>
            <w:vMerge w:val="continue"/>
            <w:tcBorders>
              <w:tl2br w:val="nil"/>
              <w:tr2bl w:val="nil"/>
            </w:tcBorders>
            <w:shd w:val="clear" w:color="auto" w:fill="auto"/>
            <w:vAlign w:val="center"/>
          </w:tcPr>
          <w:p w14:paraId="29CD0891">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00B2A3F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评估问效</w:t>
            </w:r>
          </w:p>
        </w:tc>
        <w:tc>
          <w:tcPr>
            <w:tcW w:w="6364" w:type="dxa"/>
            <w:gridSpan w:val="2"/>
            <w:tcBorders>
              <w:tl2br w:val="nil"/>
              <w:tr2bl w:val="nil"/>
            </w:tcBorders>
            <w:shd w:val="clear" w:color="auto" w:fill="auto"/>
            <w:vAlign w:val="center"/>
          </w:tcPr>
          <w:p w14:paraId="610BAA4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重大决策事项销号时督考中心业务人员需根据平时响应、问题破难、完成进度、综合效益、干部担当、群众评价等维度进行评价，形成综合评价得分。</w:t>
            </w:r>
          </w:p>
        </w:tc>
      </w:tr>
      <w:tr w14:paraId="21FC3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4084C2D2">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5DC9EDBD">
            <w:pPr>
              <w:widowControl/>
              <w:rPr>
                <w:rFonts w:ascii="宋体" w:hAnsi="宋体" w:eastAsia="宋体" w:cs="宋体"/>
                <w:color w:val="auto"/>
                <w:kern w:val="0"/>
                <w:szCs w:val="21"/>
                <w:highlight w:val="none"/>
              </w:rPr>
            </w:pPr>
          </w:p>
        </w:tc>
        <w:tc>
          <w:tcPr>
            <w:tcW w:w="833" w:type="dxa"/>
            <w:vMerge w:val="restart"/>
            <w:tcBorders>
              <w:tl2br w:val="nil"/>
              <w:tr2bl w:val="nil"/>
            </w:tcBorders>
            <w:shd w:val="clear" w:color="auto" w:fill="auto"/>
            <w:vAlign w:val="center"/>
          </w:tcPr>
          <w:p w14:paraId="3DA6464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综合考核</w:t>
            </w:r>
          </w:p>
          <w:p w14:paraId="3B30516C">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7880968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工作台</w:t>
            </w:r>
          </w:p>
        </w:tc>
        <w:tc>
          <w:tcPr>
            <w:tcW w:w="6364" w:type="dxa"/>
            <w:gridSpan w:val="2"/>
            <w:tcBorders>
              <w:tl2br w:val="nil"/>
              <w:tr2bl w:val="nil"/>
            </w:tcBorders>
            <w:shd w:val="clear" w:color="auto" w:fill="auto"/>
            <w:vAlign w:val="center"/>
          </w:tcPr>
          <w:p w14:paraId="45889FCA">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考核工作台：提供考核进度数据统计，包括各领域各环节代办和已办数据，提供日常监测指数据统计，支持指标库预览和详情入口，提供考核结果数据预览和详情入口，支持根据角色权限展示不同的业务数据内容。</w:t>
            </w:r>
          </w:p>
        </w:tc>
      </w:tr>
      <w:tr w14:paraId="52994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5" w:hRule="atLeast"/>
        </w:trPr>
        <w:tc>
          <w:tcPr>
            <w:tcW w:w="551" w:type="dxa"/>
            <w:vMerge w:val="continue"/>
            <w:tcBorders>
              <w:tl2br w:val="nil"/>
              <w:tr2bl w:val="nil"/>
            </w:tcBorders>
            <w:shd w:val="clear" w:color="auto" w:fill="auto"/>
            <w:vAlign w:val="center"/>
          </w:tcPr>
          <w:p w14:paraId="41F9BEE4">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7438C634">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3B3C776D">
            <w:pPr>
              <w:widowControl/>
              <w:jc w:val="center"/>
              <w:rPr>
                <w:rFonts w:ascii="宋体" w:hAnsi="宋体" w:eastAsia="宋体" w:cs="宋体"/>
                <w:color w:val="auto"/>
                <w:kern w:val="0"/>
                <w:szCs w:val="21"/>
                <w:highlight w:val="none"/>
              </w:rPr>
            </w:pPr>
          </w:p>
        </w:tc>
        <w:tc>
          <w:tcPr>
            <w:tcW w:w="817" w:type="dxa"/>
            <w:vMerge w:val="restart"/>
            <w:tcBorders>
              <w:tl2br w:val="nil"/>
              <w:tr2bl w:val="nil"/>
            </w:tcBorders>
            <w:shd w:val="clear" w:color="auto" w:fill="auto"/>
            <w:vAlign w:val="center"/>
          </w:tcPr>
          <w:p w14:paraId="29C34F5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通知管理</w:t>
            </w:r>
          </w:p>
        </w:tc>
        <w:tc>
          <w:tcPr>
            <w:tcW w:w="794" w:type="dxa"/>
            <w:tcBorders>
              <w:tl2br w:val="nil"/>
              <w:tr2bl w:val="nil"/>
            </w:tcBorders>
            <w:shd w:val="clear" w:color="auto" w:fill="auto"/>
            <w:vAlign w:val="center"/>
          </w:tcPr>
          <w:p w14:paraId="3A27A26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通知发件箱</w:t>
            </w:r>
          </w:p>
        </w:tc>
        <w:tc>
          <w:tcPr>
            <w:tcW w:w="6364" w:type="dxa"/>
            <w:gridSpan w:val="2"/>
            <w:tcBorders>
              <w:tl2br w:val="nil"/>
              <w:tr2bl w:val="nil"/>
            </w:tcBorders>
            <w:shd w:val="clear" w:color="auto" w:fill="auto"/>
            <w:vAlign w:val="center"/>
          </w:tcPr>
          <w:p w14:paraId="74936050">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通知发件箱支持所有用户进行通知创建、修改、保存、删除、附件上传等基础功能。支持通知详情页查看，包含通知阅读和回复情况，支持单个和批量催报功能，支持其他单位通知回复和附件接收。</w:t>
            </w:r>
          </w:p>
        </w:tc>
      </w:tr>
      <w:tr w14:paraId="2D9CA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5" w:hRule="atLeast"/>
        </w:trPr>
        <w:tc>
          <w:tcPr>
            <w:tcW w:w="551" w:type="dxa"/>
            <w:vMerge w:val="continue"/>
            <w:tcBorders>
              <w:tl2br w:val="nil"/>
              <w:tr2bl w:val="nil"/>
            </w:tcBorders>
            <w:shd w:val="clear" w:color="auto" w:fill="auto"/>
            <w:vAlign w:val="center"/>
          </w:tcPr>
          <w:p w14:paraId="0F24D1B5">
            <w:pPr>
              <w:widowControl/>
              <w:jc w:val="center"/>
              <w:rPr>
                <w:color w:val="auto"/>
                <w:highlight w:val="none"/>
              </w:rPr>
            </w:pPr>
          </w:p>
        </w:tc>
        <w:tc>
          <w:tcPr>
            <w:tcW w:w="517" w:type="dxa"/>
            <w:vMerge w:val="continue"/>
            <w:tcBorders>
              <w:tl2br w:val="nil"/>
              <w:tr2bl w:val="nil"/>
            </w:tcBorders>
            <w:vAlign w:val="center"/>
          </w:tcPr>
          <w:p w14:paraId="59CA1976">
            <w:pPr>
              <w:widowControl/>
              <w:jc w:val="center"/>
              <w:rPr>
                <w:color w:val="auto"/>
                <w:highlight w:val="none"/>
              </w:rPr>
            </w:pPr>
          </w:p>
        </w:tc>
        <w:tc>
          <w:tcPr>
            <w:tcW w:w="833" w:type="dxa"/>
            <w:vMerge w:val="continue"/>
            <w:tcBorders>
              <w:tl2br w:val="nil"/>
              <w:tr2bl w:val="nil"/>
            </w:tcBorders>
            <w:vAlign w:val="center"/>
          </w:tcPr>
          <w:p w14:paraId="4B501072">
            <w:pPr>
              <w:widowControl/>
              <w:jc w:val="center"/>
              <w:rPr>
                <w:color w:val="auto"/>
                <w:highlight w:val="none"/>
              </w:rPr>
            </w:pPr>
          </w:p>
        </w:tc>
        <w:tc>
          <w:tcPr>
            <w:tcW w:w="817" w:type="dxa"/>
            <w:vMerge w:val="continue"/>
            <w:tcBorders>
              <w:tl2br w:val="nil"/>
              <w:tr2bl w:val="nil"/>
            </w:tcBorders>
            <w:shd w:val="clear" w:color="auto" w:fill="auto"/>
            <w:vAlign w:val="center"/>
          </w:tcPr>
          <w:p w14:paraId="0F214FB3">
            <w:pPr>
              <w:widowControl/>
              <w:jc w:val="center"/>
              <w:rPr>
                <w:color w:val="auto"/>
                <w:highlight w:val="none"/>
              </w:rPr>
            </w:pPr>
          </w:p>
        </w:tc>
        <w:tc>
          <w:tcPr>
            <w:tcW w:w="794" w:type="dxa"/>
            <w:tcBorders>
              <w:tl2br w:val="nil"/>
              <w:tr2bl w:val="nil"/>
            </w:tcBorders>
            <w:shd w:val="clear" w:color="auto" w:fill="auto"/>
            <w:vAlign w:val="center"/>
          </w:tcPr>
          <w:p w14:paraId="4D03527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通知收件箱</w:t>
            </w:r>
          </w:p>
        </w:tc>
        <w:tc>
          <w:tcPr>
            <w:tcW w:w="6364" w:type="dxa"/>
            <w:gridSpan w:val="2"/>
            <w:tcBorders>
              <w:tl2br w:val="nil"/>
              <w:tr2bl w:val="nil"/>
            </w:tcBorders>
            <w:shd w:val="clear" w:color="auto" w:fill="auto"/>
            <w:vAlign w:val="center"/>
          </w:tcPr>
          <w:p w14:paraId="62C83F94">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通知收件箱支持通知接收、详情查看，附件下载，提供通知回复和附件上传功能，支持通知的多次回复功能。</w:t>
            </w:r>
          </w:p>
        </w:tc>
      </w:tr>
      <w:tr w14:paraId="1A032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5" w:hRule="atLeast"/>
        </w:trPr>
        <w:tc>
          <w:tcPr>
            <w:tcW w:w="551" w:type="dxa"/>
            <w:vMerge w:val="continue"/>
            <w:tcBorders>
              <w:tl2br w:val="nil"/>
              <w:tr2bl w:val="nil"/>
            </w:tcBorders>
            <w:shd w:val="clear" w:color="auto" w:fill="auto"/>
            <w:vAlign w:val="center"/>
          </w:tcPr>
          <w:p w14:paraId="3390E758">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61AF0F45">
            <w:pPr>
              <w:widowControl/>
              <w:jc w:val="center"/>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62FBE754">
            <w:pPr>
              <w:widowControl/>
              <w:jc w:val="center"/>
              <w:rPr>
                <w:rFonts w:ascii="宋体" w:hAnsi="宋体" w:eastAsia="宋体" w:cs="宋体"/>
                <w:color w:val="auto"/>
                <w:kern w:val="0"/>
                <w:szCs w:val="21"/>
                <w:highlight w:val="none"/>
              </w:rPr>
            </w:pPr>
          </w:p>
        </w:tc>
        <w:tc>
          <w:tcPr>
            <w:tcW w:w="817" w:type="dxa"/>
            <w:vMerge w:val="continue"/>
            <w:tcBorders>
              <w:tl2br w:val="nil"/>
              <w:tr2bl w:val="nil"/>
            </w:tcBorders>
            <w:shd w:val="clear" w:color="auto" w:fill="auto"/>
            <w:vAlign w:val="center"/>
          </w:tcPr>
          <w:p w14:paraId="7AE2B74A">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281A60E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意见反馈</w:t>
            </w:r>
          </w:p>
        </w:tc>
        <w:tc>
          <w:tcPr>
            <w:tcW w:w="6364" w:type="dxa"/>
            <w:gridSpan w:val="2"/>
            <w:tcBorders>
              <w:tl2br w:val="nil"/>
              <w:tr2bl w:val="nil"/>
            </w:tcBorders>
            <w:shd w:val="clear" w:color="auto" w:fill="auto"/>
            <w:vAlign w:val="center"/>
          </w:tcPr>
          <w:p w14:paraId="4473366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意见反馈支持区责任部门和考核对象业务人员进行意见创建，选择意见类型（类型分业务类、系统类和其他），填写意见正文、支持多格式附件上传，支持意见保存、修改、删除和提交功能。支持考核中心意见详情查看、附件下载。</w:t>
            </w:r>
          </w:p>
        </w:tc>
      </w:tr>
      <w:tr w14:paraId="12B06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8" w:hRule="atLeast"/>
        </w:trPr>
        <w:tc>
          <w:tcPr>
            <w:tcW w:w="551" w:type="dxa"/>
            <w:vMerge w:val="continue"/>
            <w:tcBorders>
              <w:tl2br w:val="nil"/>
              <w:tr2bl w:val="nil"/>
            </w:tcBorders>
            <w:shd w:val="clear" w:color="auto" w:fill="auto"/>
            <w:vAlign w:val="center"/>
          </w:tcPr>
          <w:p w14:paraId="31107398">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5E09228C">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22F1B603">
            <w:pPr>
              <w:widowControl/>
              <w:rPr>
                <w:rFonts w:ascii="宋体" w:hAnsi="宋体" w:eastAsia="宋体" w:cs="宋体"/>
                <w:color w:val="auto"/>
                <w:kern w:val="0"/>
                <w:szCs w:val="21"/>
                <w:highlight w:val="none"/>
              </w:rPr>
            </w:pPr>
          </w:p>
        </w:tc>
        <w:tc>
          <w:tcPr>
            <w:tcW w:w="817" w:type="dxa"/>
            <w:vMerge w:val="restart"/>
            <w:tcBorders>
              <w:tl2br w:val="nil"/>
              <w:tr2bl w:val="nil"/>
            </w:tcBorders>
            <w:shd w:val="clear" w:color="auto" w:fill="auto"/>
            <w:vAlign w:val="center"/>
          </w:tcPr>
          <w:p w14:paraId="34C2C8D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计划部署</w:t>
            </w:r>
          </w:p>
        </w:tc>
        <w:tc>
          <w:tcPr>
            <w:tcW w:w="794" w:type="dxa"/>
            <w:tcBorders>
              <w:tl2br w:val="nil"/>
              <w:tr2bl w:val="nil"/>
            </w:tcBorders>
            <w:shd w:val="clear" w:color="auto" w:fill="auto"/>
            <w:vAlign w:val="center"/>
          </w:tcPr>
          <w:p w14:paraId="0214E18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计划管理</w:t>
            </w:r>
          </w:p>
        </w:tc>
        <w:tc>
          <w:tcPr>
            <w:tcW w:w="6364" w:type="dxa"/>
            <w:gridSpan w:val="2"/>
            <w:tcBorders>
              <w:tl2br w:val="nil"/>
              <w:tr2bl w:val="nil"/>
            </w:tcBorders>
            <w:shd w:val="clear" w:color="auto" w:fill="auto"/>
            <w:vAlign w:val="center"/>
          </w:tcPr>
          <w:p w14:paraId="5CD6B604">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支持区督考中心业务人员创建计划，填写计划名称，选择年度、考核板块，设定日期，完成计划创建，形成计划列表。支持计划的修改、删除、保存。创建的计划支持自动关联对应的考核对象。</w:t>
            </w:r>
          </w:p>
        </w:tc>
      </w:tr>
      <w:tr w14:paraId="25945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8" w:hRule="atLeast"/>
        </w:trPr>
        <w:tc>
          <w:tcPr>
            <w:tcW w:w="551" w:type="dxa"/>
            <w:vMerge w:val="continue"/>
            <w:tcBorders>
              <w:tl2br w:val="nil"/>
              <w:tr2bl w:val="nil"/>
            </w:tcBorders>
            <w:shd w:val="clear" w:color="auto" w:fill="auto"/>
            <w:vAlign w:val="center"/>
          </w:tcPr>
          <w:p w14:paraId="1D5003AB">
            <w:pPr>
              <w:widowControl/>
              <w:jc w:val="center"/>
              <w:rPr>
                <w:color w:val="auto"/>
                <w:highlight w:val="none"/>
              </w:rPr>
            </w:pPr>
          </w:p>
        </w:tc>
        <w:tc>
          <w:tcPr>
            <w:tcW w:w="517" w:type="dxa"/>
            <w:vMerge w:val="continue"/>
            <w:tcBorders>
              <w:tl2br w:val="nil"/>
              <w:tr2bl w:val="nil"/>
            </w:tcBorders>
            <w:vAlign w:val="center"/>
          </w:tcPr>
          <w:p w14:paraId="540699FC">
            <w:pPr>
              <w:widowControl/>
              <w:jc w:val="center"/>
              <w:rPr>
                <w:color w:val="auto"/>
                <w:highlight w:val="none"/>
              </w:rPr>
            </w:pPr>
          </w:p>
        </w:tc>
        <w:tc>
          <w:tcPr>
            <w:tcW w:w="833" w:type="dxa"/>
            <w:vMerge w:val="continue"/>
            <w:tcBorders>
              <w:tl2br w:val="nil"/>
              <w:tr2bl w:val="nil"/>
            </w:tcBorders>
            <w:vAlign w:val="center"/>
          </w:tcPr>
          <w:p w14:paraId="4FAE8034">
            <w:pPr>
              <w:widowControl/>
              <w:jc w:val="center"/>
              <w:rPr>
                <w:color w:val="auto"/>
                <w:highlight w:val="none"/>
              </w:rPr>
            </w:pPr>
          </w:p>
        </w:tc>
        <w:tc>
          <w:tcPr>
            <w:tcW w:w="817" w:type="dxa"/>
            <w:vMerge w:val="continue"/>
            <w:tcBorders>
              <w:tl2br w:val="nil"/>
              <w:tr2bl w:val="nil"/>
            </w:tcBorders>
            <w:shd w:val="clear" w:color="auto" w:fill="auto"/>
            <w:vAlign w:val="center"/>
          </w:tcPr>
          <w:p w14:paraId="24E83D9B">
            <w:pPr>
              <w:widowControl/>
              <w:jc w:val="center"/>
              <w:rPr>
                <w:color w:val="auto"/>
                <w:highlight w:val="none"/>
              </w:rPr>
            </w:pPr>
          </w:p>
        </w:tc>
        <w:tc>
          <w:tcPr>
            <w:tcW w:w="794" w:type="dxa"/>
            <w:tcBorders>
              <w:tl2br w:val="nil"/>
              <w:tr2bl w:val="nil"/>
            </w:tcBorders>
            <w:shd w:val="clear" w:color="auto" w:fill="auto"/>
            <w:vAlign w:val="center"/>
          </w:tcPr>
          <w:p w14:paraId="130735D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指标管理</w:t>
            </w:r>
          </w:p>
        </w:tc>
        <w:tc>
          <w:tcPr>
            <w:tcW w:w="6364" w:type="dxa"/>
            <w:gridSpan w:val="2"/>
            <w:tcBorders>
              <w:tl2br w:val="nil"/>
              <w:tr2bl w:val="nil"/>
            </w:tcBorders>
            <w:shd w:val="clear" w:color="auto" w:fill="auto"/>
            <w:vAlign w:val="center"/>
          </w:tcPr>
          <w:p w14:paraId="3C183957">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支持区督考中心一二（三）级指标的创建、保存、修改、删除和排序，支持指标模式选择，分值设定，支持指标设定责任部门，提供指标单条和批量发布功能，发布指标至对应责任部门，提供指标关键字查询。</w:t>
            </w:r>
          </w:p>
        </w:tc>
      </w:tr>
      <w:tr w14:paraId="6664A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8" w:hRule="atLeast"/>
        </w:trPr>
        <w:tc>
          <w:tcPr>
            <w:tcW w:w="551" w:type="dxa"/>
            <w:vMerge w:val="continue"/>
            <w:tcBorders>
              <w:tl2br w:val="nil"/>
              <w:tr2bl w:val="nil"/>
            </w:tcBorders>
            <w:shd w:val="clear" w:color="auto" w:fill="auto"/>
            <w:vAlign w:val="center"/>
          </w:tcPr>
          <w:p w14:paraId="36500CE1">
            <w:pPr>
              <w:widowControl/>
              <w:jc w:val="center"/>
              <w:rPr>
                <w:color w:val="auto"/>
                <w:highlight w:val="none"/>
              </w:rPr>
            </w:pPr>
          </w:p>
        </w:tc>
        <w:tc>
          <w:tcPr>
            <w:tcW w:w="517" w:type="dxa"/>
            <w:vMerge w:val="continue"/>
            <w:tcBorders>
              <w:tl2br w:val="nil"/>
              <w:tr2bl w:val="nil"/>
            </w:tcBorders>
            <w:vAlign w:val="center"/>
          </w:tcPr>
          <w:p w14:paraId="20648365">
            <w:pPr>
              <w:widowControl/>
              <w:jc w:val="center"/>
              <w:rPr>
                <w:color w:val="auto"/>
                <w:highlight w:val="none"/>
              </w:rPr>
            </w:pPr>
          </w:p>
        </w:tc>
        <w:tc>
          <w:tcPr>
            <w:tcW w:w="833" w:type="dxa"/>
            <w:vMerge w:val="continue"/>
            <w:tcBorders>
              <w:tl2br w:val="nil"/>
              <w:tr2bl w:val="nil"/>
            </w:tcBorders>
            <w:vAlign w:val="center"/>
          </w:tcPr>
          <w:p w14:paraId="23F51D14">
            <w:pPr>
              <w:widowControl/>
              <w:jc w:val="center"/>
              <w:rPr>
                <w:color w:val="auto"/>
                <w:highlight w:val="none"/>
              </w:rPr>
            </w:pPr>
          </w:p>
        </w:tc>
        <w:tc>
          <w:tcPr>
            <w:tcW w:w="817" w:type="dxa"/>
            <w:vMerge w:val="continue"/>
            <w:tcBorders>
              <w:tl2br w:val="nil"/>
              <w:tr2bl w:val="nil"/>
            </w:tcBorders>
            <w:shd w:val="clear" w:color="auto" w:fill="auto"/>
            <w:vAlign w:val="center"/>
          </w:tcPr>
          <w:p w14:paraId="54856A45">
            <w:pPr>
              <w:widowControl/>
              <w:jc w:val="center"/>
              <w:rPr>
                <w:color w:val="auto"/>
                <w:highlight w:val="none"/>
              </w:rPr>
            </w:pPr>
          </w:p>
        </w:tc>
        <w:tc>
          <w:tcPr>
            <w:tcW w:w="794" w:type="dxa"/>
            <w:tcBorders>
              <w:tl2br w:val="nil"/>
              <w:tr2bl w:val="nil"/>
            </w:tcBorders>
            <w:shd w:val="clear" w:color="auto" w:fill="auto"/>
            <w:vAlign w:val="center"/>
          </w:tcPr>
          <w:p w14:paraId="24A9357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指标分解</w:t>
            </w:r>
          </w:p>
        </w:tc>
        <w:tc>
          <w:tcPr>
            <w:tcW w:w="6364" w:type="dxa"/>
            <w:gridSpan w:val="2"/>
            <w:tcBorders>
              <w:tl2br w:val="nil"/>
              <w:tr2bl w:val="nil"/>
            </w:tcBorders>
            <w:shd w:val="clear" w:color="auto" w:fill="auto"/>
            <w:vAlign w:val="center"/>
          </w:tcPr>
          <w:p w14:paraId="5B675BBC">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区责任部门创建细项指标、保存、删除和修改、排序、设置分值、计分办法、量化标签和被考单位范围，支持计分办法附件上传，支持指标查询、指标模板导出导入、支持指标单条和批量报送。对于指标未报送、已报送、审核通过和退回等不同状态以不同颜色表示，并提供数据统计。</w:t>
            </w:r>
          </w:p>
        </w:tc>
      </w:tr>
      <w:tr w14:paraId="242D3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8" w:hRule="atLeast"/>
        </w:trPr>
        <w:tc>
          <w:tcPr>
            <w:tcW w:w="551" w:type="dxa"/>
            <w:vMerge w:val="continue"/>
            <w:tcBorders>
              <w:tl2br w:val="nil"/>
              <w:tr2bl w:val="nil"/>
            </w:tcBorders>
            <w:shd w:val="clear" w:color="auto" w:fill="auto"/>
            <w:vAlign w:val="center"/>
          </w:tcPr>
          <w:p w14:paraId="3A19F000">
            <w:pPr>
              <w:widowControl/>
              <w:jc w:val="center"/>
              <w:rPr>
                <w:color w:val="auto"/>
                <w:highlight w:val="none"/>
              </w:rPr>
            </w:pPr>
          </w:p>
        </w:tc>
        <w:tc>
          <w:tcPr>
            <w:tcW w:w="517" w:type="dxa"/>
            <w:vMerge w:val="continue"/>
            <w:tcBorders>
              <w:tl2br w:val="nil"/>
              <w:tr2bl w:val="nil"/>
            </w:tcBorders>
            <w:vAlign w:val="center"/>
          </w:tcPr>
          <w:p w14:paraId="3B284008">
            <w:pPr>
              <w:widowControl/>
              <w:jc w:val="center"/>
              <w:rPr>
                <w:color w:val="auto"/>
                <w:highlight w:val="none"/>
              </w:rPr>
            </w:pPr>
          </w:p>
        </w:tc>
        <w:tc>
          <w:tcPr>
            <w:tcW w:w="833" w:type="dxa"/>
            <w:vMerge w:val="continue"/>
            <w:tcBorders>
              <w:tl2br w:val="nil"/>
              <w:tr2bl w:val="nil"/>
            </w:tcBorders>
            <w:vAlign w:val="center"/>
          </w:tcPr>
          <w:p w14:paraId="0B71052F">
            <w:pPr>
              <w:widowControl/>
              <w:jc w:val="center"/>
              <w:rPr>
                <w:color w:val="auto"/>
                <w:highlight w:val="none"/>
              </w:rPr>
            </w:pPr>
          </w:p>
        </w:tc>
        <w:tc>
          <w:tcPr>
            <w:tcW w:w="817" w:type="dxa"/>
            <w:vMerge w:val="continue"/>
            <w:tcBorders>
              <w:tl2br w:val="nil"/>
              <w:tr2bl w:val="nil"/>
            </w:tcBorders>
            <w:shd w:val="clear" w:color="auto" w:fill="auto"/>
            <w:vAlign w:val="center"/>
          </w:tcPr>
          <w:p w14:paraId="4748FE38">
            <w:pPr>
              <w:widowControl/>
              <w:jc w:val="center"/>
              <w:rPr>
                <w:color w:val="auto"/>
                <w:highlight w:val="none"/>
              </w:rPr>
            </w:pPr>
          </w:p>
        </w:tc>
        <w:tc>
          <w:tcPr>
            <w:tcW w:w="794" w:type="dxa"/>
            <w:tcBorders>
              <w:tl2br w:val="nil"/>
              <w:tr2bl w:val="nil"/>
            </w:tcBorders>
            <w:shd w:val="clear" w:color="auto" w:fill="auto"/>
            <w:vAlign w:val="center"/>
          </w:tcPr>
          <w:p w14:paraId="4961398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指标审核与公布</w:t>
            </w:r>
          </w:p>
        </w:tc>
        <w:tc>
          <w:tcPr>
            <w:tcW w:w="6364" w:type="dxa"/>
            <w:gridSpan w:val="2"/>
            <w:tcBorders>
              <w:tl2br w:val="nil"/>
              <w:tr2bl w:val="nil"/>
            </w:tcBorders>
            <w:shd w:val="clear" w:color="auto" w:fill="auto"/>
            <w:vAlign w:val="center"/>
          </w:tcPr>
          <w:p w14:paraId="3B804755">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区督考中心对责任部门报送的细项指标、计分办法、考核对象、量化标签、附件材料进行查看、下载。支持督考中心业务人员对指标进行审核、退回、公布，审核退回提供退回理由输入功能，提供指标审核操作记录。</w:t>
            </w:r>
          </w:p>
        </w:tc>
      </w:tr>
      <w:tr w14:paraId="20FE0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8" w:hRule="atLeast"/>
        </w:trPr>
        <w:tc>
          <w:tcPr>
            <w:tcW w:w="551" w:type="dxa"/>
            <w:vMerge w:val="continue"/>
            <w:tcBorders>
              <w:tl2br w:val="nil"/>
              <w:tr2bl w:val="nil"/>
            </w:tcBorders>
            <w:shd w:val="clear" w:color="auto" w:fill="auto"/>
            <w:vAlign w:val="center"/>
          </w:tcPr>
          <w:p w14:paraId="737679C9">
            <w:pPr>
              <w:widowControl/>
              <w:jc w:val="center"/>
              <w:rPr>
                <w:color w:val="auto"/>
                <w:highlight w:val="none"/>
              </w:rPr>
            </w:pPr>
          </w:p>
        </w:tc>
        <w:tc>
          <w:tcPr>
            <w:tcW w:w="517" w:type="dxa"/>
            <w:vMerge w:val="continue"/>
            <w:tcBorders>
              <w:tl2br w:val="nil"/>
              <w:tr2bl w:val="nil"/>
            </w:tcBorders>
            <w:vAlign w:val="center"/>
          </w:tcPr>
          <w:p w14:paraId="43853FAF">
            <w:pPr>
              <w:widowControl/>
              <w:jc w:val="center"/>
              <w:rPr>
                <w:color w:val="auto"/>
                <w:highlight w:val="none"/>
              </w:rPr>
            </w:pPr>
          </w:p>
        </w:tc>
        <w:tc>
          <w:tcPr>
            <w:tcW w:w="833" w:type="dxa"/>
            <w:vMerge w:val="continue"/>
            <w:tcBorders>
              <w:tl2br w:val="nil"/>
              <w:tr2bl w:val="nil"/>
            </w:tcBorders>
            <w:vAlign w:val="center"/>
          </w:tcPr>
          <w:p w14:paraId="517C24C6">
            <w:pPr>
              <w:widowControl/>
              <w:jc w:val="center"/>
              <w:rPr>
                <w:color w:val="auto"/>
                <w:highlight w:val="none"/>
              </w:rPr>
            </w:pPr>
          </w:p>
        </w:tc>
        <w:tc>
          <w:tcPr>
            <w:tcW w:w="817" w:type="dxa"/>
            <w:vMerge w:val="continue"/>
            <w:tcBorders>
              <w:tl2br w:val="nil"/>
              <w:tr2bl w:val="nil"/>
            </w:tcBorders>
            <w:shd w:val="clear" w:color="auto" w:fill="auto"/>
            <w:vAlign w:val="center"/>
          </w:tcPr>
          <w:p w14:paraId="71DD6937">
            <w:pPr>
              <w:widowControl/>
              <w:jc w:val="center"/>
              <w:rPr>
                <w:color w:val="auto"/>
                <w:highlight w:val="none"/>
              </w:rPr>
            </w:pPr>
          </w:p>
        </w:tc>
        <w:tc>
          <w:tcPr>
            <w:tcW w:w="794" w:type="dxa"/>
            <w:tcBorders>
              <w:tl2br w:val="nil"/>
              <w:tr2bl w:val="nil"/>
            </w:tcBorders>
            <w:shd w:val="clear" w:color="auto" w:fill="auto"/>
            <w:vAlign w:val="center"/>
          </w:tcPr>
          <w:p w14:paraId="144AF16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指标查看</w:t>
            </w:r>
          </w:p>
        </w:tc>
        <w:tc>
          <w:tcPr>
            <w:tcW w:w="6364" w:type="dxa"/>
            <w:gridSpan w:val="2"/>
            <w:tcBorders>
              <w:tl2br w:val="nil"/>
              <w:tr2bl w:val="nil"/>
            </w:tcBorders>
            <w:shd w:val="clear" w:color="auto" w:fill="auto"/>
            <w:vAlign w:val="center"/>
          </w:tcPr>
          <w:p w14:paraId="06BD7C39">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支持考核对象查看对应考核指标，包括指标名称、分值、责任部门、计分办法和相关附件，支持附件在线查看和下载，支持指标列表导出。</w:t>
            </w:r>
          </w:p>
        </w:tc>
      </w:tr>
      <w:tr w14:paraId="277D5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8" w:hRule="atLeast"/>
        </w:trPr>
        <w:tc>
          <w:tcPr>
            <w:tcW w:w="551" w:type="dxa"/>
            <w:vMerge w:val="continue"/>
            <w:tcBorders>
              <w:tl2br w:val="nil"/>
              <w:tr2bl w:val="nil"/>
            </w:tcBorders>
            <w:shd w:val="clear" w:color="auto" w:fill="auto"/>
            <w:vAlign w:val="center"/>
          </w:tcPr>
          <w:p w14:paraId="46C5CE30">
            <w:pPr>
              <w:widowControl/>
              <w:jc w:val="center"/>
              <w:rPr>
                <w:color w:val="auto"/>
                <w:highlight w:val="none"/>
              </w:rPr>
            </w:pPr>
          </w:p>
        </w:tc>
        <w:tc>
          <w:tcPr>
            <w:tcW w:w="517" w:type="dxa"/>
            <w:vMerge w:val="continue"/>
            <w:tcBorders>
              <w:tl2br w:val="nil"/>
              <w:tr2bl w:val="nil"/>
            </w:tcBorders>
            <w:vAlign w:val="center"/>
          </w:tcPr>
          <w:p w14:paraId="10DCBED7">
            <w:pPr>
              <w:widowControl/>
              <w:jc w:val="center"/>
              <w:rPr>
                <w:color w:val="auto"/>
                <w:highlight w:val="none"/>
              </w:rPr>
            </w:pPr>
          </w:p>
        </w:tc>
        <w:tc>
          <w:tcPr>
            <w:tcW w:w="833" w:type="dxa"/>
            <w:vMerge w:val="continue"/>
            <w:tcBorders>
              <w:tl2br w:val="nil"/>
              <w:tr2bl w:val="nil"/>
            </w:tcBorders>
            <w:vAlign w:val="center"/>
          </w:tcPr>
          <w:p w14:paraId="3A9A44ED">
            <w:pPr>
              <w:widowControl/>
              <w:jc w:val="center"/>
              <w:rPr>
                <w:color w:val="auto"/>
                <w:highlight w:val="none"/>
              </w:rPr>
            </w:pPr>
          </w:p>
        </w:tc>
        <w:tc>
          <w:tcPr>
            <w:tcW w:w="817" w:type="dxa"/>
            <w:vMerge w:val="continue"/>
            <w:tcBorders>
              <w:tl2br w:val="nil"/>
              <w:tr2bl w:val="nil"/>
            </w:tcBorders>
            <w:shd w:val="clear" w:color="auto" w:fill="auto"/>
            <w:vAlign w:val="center"/>
          </w:tcPr>
          <w:p w14:paraId="6573B350">
            <w:pPr>
              <w:widowControl/>
              <w:jc w:val="center"/>
              <w:rPr>
                <w:color w:val="auto"/>
                <w:highlight w:val="none"/>
              </w:rPr>
            </w:pPr>
          </w:p>
        </w:tc>
        <w:tc>
          <w:tcPr>
            <w:tcW w:w="794" w:type="dxa"/>
            <w:tcBorders>
              <w:tl2br w:val="nil"/>
              <w:tr2bl w:val="nil"/>
            </w:tcBorders>
            <w:shd w:val="clear" w:color="auto" w:fill="auto"/>
            <w:vAlign w:val="center"/>
          </w:tcPr>
          <w:p w14:paraId="415AC05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指标变更</w:t>
            </w:r>
          </w:p>
        </w:tc>
        <w:tc>
          <w:tcPr>
            <w:tcW w:w="6364" w:type="dxa"/>
            <w:gridSpan w:val="2"/>
            <w:tcBorders>
              <w:tl2br w:val="nil"/>
              <w:tr2bl w:val="nil"/>
            </w:tcBorders>
            <w:shd w:val="clear" w:color="auto" w:fill="auto"/>
            <w:vAlign w:val="center"/>
          </w:tcPr>
          <w:p w14:paraId="1E95BF0C">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对于考核过程中出现的指标内容、分值、计分办法出现的变动，为责任部门提供申请变更的通道。</w:t>
            </w:r>
          </w:p>
        </w:tc>
      </w:tr>
      <w:tr w14:paraId="7697A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8" w:hRule="atLeast"/>
        </w:trPr>
        <w:tc>
          <w:tcPr>
            <w:tcW w:w="551" w:type="dxa"/>
            <w:vMerge w:val="continue"/>
            <w:tcBorders>
              <w:tl2br w:val="nil"/>
              <w:tr2bl w:val="nil"/>
            </w:tcBorders>
            <w:shd w:val="clear" w:color="auto" w:fill="auto"/>
            <w:vAlign w:val="center"/>
          </w:tcPr>
          <w:p w14:paraId="54E39B2E">
            <w:pPr>
              <w:widowControl/>
              <w:jc w:val="center"/>
              <w:rPr>
                <w:color w:val="auto"/>
                <w:highlight w:val="none"/>
              </w:rPr>
            </w:pPr>
          </w:p>
        </w:tc>
        <w:tc>
          <w:tcPr>
            <w:tcW w:w="517" w:type="dxa"/>
            <w:vMerge w:val="continue"/>
            <w:tcBorders>
              <w:tl2br w:val="nil"/>
              <w:tr2bl w:val="nil"/>
            </w:tcBorders>
            <w:vAlign w:val="center"/>
          </w:tcPr>
          <w:p w14:paraId="4B9168DC">
            <w:pPr>
              <w:widowControl/>
              <w:jc w:val="center"/>
              <w:rPr>
                <w:color w:val="auto"/>
                <w:highlight w:val="none"/>
              </w:rPr>
            </w:pPr>
          </w:p>
        </w:tc>
        <w:tc>
          <w:tcPr>
            <w:tcW w:w="833" w:type="dxa"/>
            <w:vMerge w:val="continue"/>
            <w:tcBorders>
              <w:tl2br w:val="nil"/>
              <w:tr2bl w:val="nil"/>
            </w:tcBorders>
            <w:vAlign w:val="center"/>
          </w:tcPr>
          <w:p w14:paraId="4E477A3C">
            <w:pPr>
              <w:widowControl/>
              <w:jc w:val="center"/>
              <w:rPr>
                <w:color w:val="auto"/>
                <w:highlight w:val="none"/>
              </w:rPr>
            </w:pPr>
          </w:p>
        </w:tc>
        <w:tc>
          <w:tcPr>
            <w:tcW w:w="817" w:type="dxa"/>
            <w:vMerge w:val="restart"/>
            <w:tcBorders>
              <w:tl2br w:val="nil"/>
              <w:tr2bl w:val="nil"/>
            </w:tcBorders>
            <w:shd w:val="clear" w:color="auto" w:fill="auto"/>
            <w:vAlign w:val="center"/>
          </w:tcPr>
          <w:p w14:paraId="04C46061">
            <w:pPr>
              <w:widowControl/>
              <w:jc w:val="center"/>
              <w:rPr>
                <w:color w:val="auto"/>
                <w:highlight w:val="none"/>
              </w:rPr>
            </w:pPr>
            <w:r>
              <w:rPr>
                <w:rFonts w:hint="eastAsia"/>
                <w:color w:val="auto"/>
                <w:highlight w:val="none"/>
              </w:rPr>
              <w:t>年终考核</w:t>
            </w:r>
          </w:p>
        </w:tc>
        <w:tc>
          <w:tcPr>
            <w:tcW w:w="794" w:type="dxa"/>
            <w:tcBorders>
              <w:tl2br w:val="nil"/>
              <w:tr2bl w:val="nil"/>
            </w:tcBorders>
            <w:shd w:val="clear" w:color="auto" w:fill="auto"/>
            <w:vAlign w:val="center"/>
          </w:tcPr>
          <w:p w14:paraId="4750CC75">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评分配置</w:t>
            </w:r>
          </w:p>
        </w:tc>
        <w:tc>
          <w:tcPr>
            <w:tcW w:w="6364" w:type="dxa"/>
            <w:gridSpan w:val="2"/>
            <w:tcBorders>
              <w:tl2br w:val="nil"/>
              <w:tr2bl w:val="nil"/>
            </w:tcBorders>
            <w:shd w:val="clear" w:color="auto" w:fill="auto"/>
            <w:vAlign w:val="center"/>
          </w:tcPr>
          <w:p w14:paraId="7BE29C06">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此模块支持区督考中心对年终考核进行系统设置。为区督考中心业务人员提供三级和四级指标年度评分配置，包括评分区间、小数位、平均分、分档分差、是否计入总分、是否系统出分、是否同分比对、是否半年度评估、亮灯等内容。</w:t>
            </w:r>
          </w:p>
        </w:tc>
      </w:tr>
      <w:tr w14:paraId="6A442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8" w:hRule="atLeast"/>
        </w:trPr>
        <w:tc>
          <w:tcPr>
            <w:tcW w:w="551" w:type="dxa"/>
            <w:vMerge w:val="continue"/>
            <w:tcBorders>
              <w:tl2br w:val="nil"/>
              <w:tr2bl w:val="nil"/>
            </w:tcBorders>
            <w:shd w:val="clear" w:color="auto" w:fill="auto"/>
            <w:vAlign w:val="center"/>
          </w:tcPr>
          <w:p w14:paraId="33C1A91E">
            <w:pPr>
              <w:widowControl/>
              <w:jc w:val="center"/>
              <w:rPr>
                <w:color w:val="auto"/>
                <w:highlight w:val="none"/>
              </w:rPr>
            </w:pPr>
          </w:p>
        </w:tc>
        <w:tc>
          <w:tcPr>
            <w:tcW w:w="517" w:type="dxa"/>
            <w:vMerge w:val="continue"/>
            <w:tcBorders>
              <w:tl2br w:val="nil"/>
              <w:tr2bl w:val="nil"/>
            </w:tcBorders>
            <w:vAlign w:val="center"/>
          </w:tcPr>
          <w:p w14:paraId="614ED56E">
            <w:pPr>
              <w:widowControl/>
              <w:jc w:val="center"/>
              <w:rPr>
                <w:color w:val="auto"/>
                <w:highlight w:val="none"/>
              </w:rPr>
            </w:pPr>
          </w:p>
        </w:tc>
        <w:tc>
          <w:tcPr>
            <w:tcW w:w="833" w:type="dxa"/>
            <w:vMerge w:val="continue"/>
            <w:tcBorders>
              <w:tl2br w:val="nil"/>
              <w:tr2bl w:val="nil"/>
            </w:tcBorders>
            <w:vAlign w:val="center"/>
          </w:tcPr>
          <w:p w14:paraId="24CBD678">
            <w:pPr>
              <w:widowControl/>
              <w:jc w:val="center"/>
              <w:rPr>
                <w:color w:val="auto"/>
                <w:highlight w:val="none"/>
              </w:rPr>
            </w:pPr>
          </w:p>
        </w:tc>
        <w:tc>
          <w:tcPr>
            <w:tcW w:w="817" w:type="dxa"/>
            <w:vMerge w:val="continue"/>
            <w:tcBorders>
              <w:tl2br w:val="nil"/>
              <w:tr2bl w:val="nil"/>
            </w:tcBorders>
            <w:shd w:val="clear" w:color="auto" w:fill="auto"/>
            <w:vAlign w:val="center"/>
          </w:tcPr>
          <w:p w14:paraId="07A0C488">
            <w:pPr>
              <w:widowControl/>
              <w:jc w:val="center"/>
              <w:rPr>
                <w:color w:val="auto"/>
                <w:highlight w:val="none"/>
              </w:rPr>
            </w:pPr>
          </w:p>
        </w:tc>
        <w:tc>
          <w:tcPr>
            <w:tcW w:w="794" w:type="dxa"/>
            <w:tcBorders>
              <w:tl2br w:val="nil"/>
              <w:tr2bl w:val="nil"/>
            </w:tcBorders>
            <w:shd w:val="clear" w:color="auto" w:fill="auto"/>
            <w:vAlign w:val="center"/>
          </w:tcPr>
          <w:p w14:paraId="1631033D">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年度评分</w:t>
            </w:r>
          </w:p>
        </w:tc>
        <w:tc>
          <w:tcPr>
            <w:tcW w:w="6364" w:type="dxa"/>
            <w:gridSpan w:val="2"/>
            <w:tcBorders>
              <w:tl2br w:val="nil"/>
              <w:tr2bl w:val="nil"/>
            </w:tcBorders>
            <w:shd w:val="clear" w:color="auto" w:fill="auto"/>
            <w:vAlign w:val="center"/>
          </w:tcPr>
          <w:p w14:paraId="2955676C">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由考核对象上传自评材料和自评分，责任部门根据指标实际完成情况评分后报送至督考中心审核。</w:t>
            </w:r>
          </w:p>
        </w:tc>
      </w:tr>
      <w:tr w14:paraId="67EEE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8" w:hRule="atLeast"/>
        </w:trPr>
        <w:tc>
          <w:tcPr>
            <w:tcW w:w="551" w:type="dxa"/>
            <w:vMerge w:val="continue"/>
            <w:tcBorders>
              <w:tl2br w:val="nil"/>
              <w:tr2bl w:val="nil"/>
            </w:tcBorders>
            <w:shd w:val="clear" w:color="auto" w:fill="auto"/>
            <w:vAlign w:val="center"/>
          </w:tcPr>
          <w:p w14:paraId="60C6884E">
            <w:pPr>
              <w:widowControl/>
              <w:jc w:val="center"/>
              <w:rPr>
                <w:color w:val="auto"/>
                <w:highlight w:val="none"/>
              </w:rPr>
            </w:pPr>
          </w:p>
        </w:tc>
        <w:tc>
          <w:tcPr>
            <w:tcW w:w="517" w:type="dxa"/>
            <w:vMerge w:val="continue"/>
            <w:tcBorders>
              <w:tl2br w:val="nil"/>
              <w:tr2bl w:val="nil"/>
            </w:tcBorders>
            <w:vAlign w:val="center"/>
          </w:tcPr>
          <w:p w14:paraId="337948A9">
            <w:pPr>
              <w:widowControl/>
              <w:jc w:val="center"/>
              <w:rPr>
                <w:color w:val="auto"/>
                <w:highlight w:val="none"/>
              </w:rPr>
            </w:pPr>
          </w:p>
        </w:tc>
        <w:tc>
          <w:tcPr>
            <w:tcW w:w="833" w:type="dxa"/>
            <w:vMerge w:val="continue"/>
            <w:tcBorders>
              <w:tl2br w:val="nil"/>
              <w:tr2bl w:val="nil"/>
            </w:tcBorders>
            <w:vAlign w:val="center"/>
          </w:tcPr>
          <w:p w14:paraId="56DE5E26">
            <w:pPr>
              <w:widowControl/>
              <w:jc w:val="center"/>
              <w:rPr>
                <w:color w:val="auto"/>
                <w:highlight w:val="none"/>
              </w:rPr>
            </w:pPr>
          </w:p>
        </w:tc>
        <w:tc>
          <w:tcPr>
            <w:tcW w:w="817" w:type="dxa"/>
            <w:vMerge w:val="continue"/>
            <w:tcBorders>
              <w:tl2br w:val="nil"/>
              <w:tr2bl w:val="nil"/>
            </w:tcBorders>
            <w:shd w:val="clear" w:color="auto" w:fill="auto"/>
            <w:vAlign w:val="center"/>
          </w:tcPr>
          <w:p w14:paraId="00D23EED">
            <w:pPr>
              <w:widowControl/>
              <w:jc w:val="center"/>
              <w:rPr>
                <w:color w:val="auto"/>
                <w:highlight w:val="none"/>
              </w:rPr>
            </w:pPr>
          </w:p>
        </w:tc>
        <w:tc>
          <w:tcPr>
            <w:tcW w:w="794" w:type="dxa"/>
            <w:tcBorders>
              <w:tl2br w:val="nil"/>
              <w:tr2bl w:val="nil"/>
            </w:tcBorders>
            <w:shd w:val="clear" w:color="auto" w:fill="auto"/>
            <w:vAlign w:val="center"/>
          </w:tcPr>
          <w:p w14:paraId="49FCB721">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评分审核</w:t>
            </w:r>
          </w:p>
        </w:tc>
        <w:tc>
          <w:tcPr>
            <w:tcW w:w="6364" w:type="dxa"/>
            <w:gridSpan w:val="2"/>
            <w:tcBorders>
              <w:tl2br w:val="nil"/>
              <w:tr2bl w:val="nil"/>
            </w:tcBorders>
            <w:shd w:val="clear" w:color="auto" w:fill="auto"/>
            <w:vAlign w:val="center"/>
          </w:tcPr>
          <w:p w14:paraId="6F6124F5">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支持区督考中心业务人员查看评分、评分理由，对评分详情进行审核、退回和公布。</w:t>
            </w:r>
          </w:p>
        </w:tc>
      </w:tr>
      <w:tr w14:paraId="12141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8" w:hRule="atLeast"/>
        </w:trPr>
        <w:tc>
          <w:tcPr>
            <w:tcW w:w="551" w:type="dxa"/>
            <w:vMerge w:val="continue"/>
            <w:tcBorders>
              <w:tl2br w:val="nil"/>
              <w:tr2bl w:val="nil"/>
            </w:tcBorders>
            <w:shd w:val="clear" w:color="auto" w:fill="auto"/>
            <w:vAlign w:val="center"/>
          </w:tcPr>
          <w:p w14:paraId="5A604D8A">
            <w:pPr>
              <w:widowControl/>
              <w:jc w:val="center"/>
              <w:rPr>
                <w:color w:val="auto"/>
                <w:highlight w:val="none"/>
              </w:rPr>
            </w:pPr>
          </w:p>
        </w:tc>
        <w:tc>
          <w:tcPr>
            <w:tcW w:w="517" w:type="dxa"/>
            <w:vMerge w:val="continue"/>
            <w:tcBorders>
              <w:tl2br w:val="nil"/>
              <w:tr2bl w:val="nil"/>
            </w:tcBorders>
            <w:vAlign w:val="center"/>
          </w:tcPr>
          <w:p w14:paraId="1BE01D95">
            <w:pPr>
              <w:widowControl/>
              <w:jc w:val="center"/>
              <w:rPr>
                <w:color w:val="auto"/>
                <w:highlight w:val="none"/>
              </w:rPr>
            </w:pPr>
          </w:p>
        </w:tc>
        <w:tc>
          <w:tcPr>
            <w:tcW w:w="833" w:type="dxa"/>
            <w:vMerge w:val="continue"/>
            <w:tcBorders>
              <w:tl2br w:val="nil"/>
              <w:tr2bl w:val="nil"/>
            </w:tcBorders>
            <w:vAlign w:val="center"/>
          </w:tcPr>
          <w:p w14:paraId="42E8A2DF">
            <w:pPr>
              <w:widowControl/>
              <w:jc w:val="center"/>
              <w:rPr>
                <w:color w:val="auto"/>
                <w:highlight w:val="none"/>
              </w:rPr>
            </w:pPr>
          </w:p>
        </w:tc>
        <w:tc>
          <w:tcPr>
            <w:tcW w:w="817" w:type="dxa"/>
            <w:vMerge w:val="continue"/>
            <w:tcBorders>
              <w:tl2br w:val="nil"/>
              <w:tr2bl w:val="nil"/>
            </w:tcBorders>
            <w:shd w:val="clear" w:color="auto" w:fill="auto"/>
            <w:vAlign w:val="center"/>
          </w:tcPr>
          <w:p w14:paraId="2F1FD1A2">
            <w:pPr>
              <w:widowControl/>
              <w:jc w:val="center"/>
              <w:rPr>
                <w:color w:val="auto"/>
                <w:highlight w:val="none"/>
              </w:rPr>
            </w:pPr>
          </w:p>
        </w:tc>
        <w:tc>
          <w:tcPr>
            <w:tcW w:w="794" w:type="dxa"/>
            <w:tcBorders>
              <w:tl2br w:val="nil"/>
              <w:tr2bl w:val="nil"/>
            </w:tcBorders>
            <w:shd w:val="clear" w:color="auto" w:fill="auto"/>
            <w:vAlign w:val="center"/>
          </w:tcPr>
          <w:p w14:paraId="18A72568">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评分进度</w:t>
            </w:r>
          </w:p>
        </w:tc>
        <w:tc>
          <w:tcPr>
            <w:tcW w:w="6364" w:type="dxa"/>
            <w:gridSpan w:val="2"/>
            <w:tcBorders>
              <w:tl2br w:val="nil"/>
              <w:tr2bl w:val="nil"/>
            </w:tcBorders>
            <w:shd w:val="clear" w:color="auto" w:fill="auto"/>
            <w:vAlign w:val="center"/>
          </w:tcPr>
          <w:p w14:paraId="6B95E6E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为区督考中心业务人员提供各领域的评分报送进度统计情况。</w:t>
            </w:r>
          </w:p>
        </w:tc>
      </w:tr>
      <w:tr w14:paraId="5F369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8" w:hRule="atLeast"/>
        </w:trPr>
        <w:tc>
          <w:tcPr>
            <w:tcW w:w="551" w:type="dxa"/>
            <w:vMerge w:val="continue"/>
            <w:tcBorders>
              <w:tl2br w:val="nil"/>
              <w:tr2bl w:val="nil"/>
            </w:tcBorders>
            <w:shd w:val="clear" w:color="auto" w:fill="auto"/>
            <w:vAlign w:val="center"/>
          </w:tcPr>
          <w:p w14:paraId="7AA93C1B">
            <w:pPr>
              <w:widowControl/>
              <w:jc w:val="center"/>
              <w:rPr>
                <w:color w:val="auto"/>
                <w:highlight w:val="none"/>
              </w:rPr>
            </w:pPr>
          </w:p>
        </w:tc>
        <w:tc>
          <w:tcPr>
            <w:tcW w:w="517" w:type="dxa"/>
            <w:vMerge w:val="continue"/>
            <w:tcBorders>
              <w:tl2br w:val="nil"/>
              <w:tr2bl w:val="nil"/>
            </w:tcBorders>
            <w:vAlign w:val="center"/>
          </w:tcPr>
          <w:p w14:paraId="114F6036">
            <w:pPr>
              <w:widowControl/>
              <w:jc w:val="center"/>
              <w:rPr>
                <w:color w:val="auto"/>
                <w:highlight w:val="none"/>
              </w:rPr>
            </w:pPr>
          </w:p>
        </w:tc>
        <w:tc>
          <w:tcPr>
            <w:tcW w:w="833" w:type="dxa"/>
            <w:vMerge w:val="continue"/>
            <w:tcBorders>
              <w:tl2br w:val="nil"/>
              <w:tr2bl w:val="nil"/>
            </w:tcBorders>
            <w:vAlign w:val="center"/>
          </w:tcPr>
          <w:p w14:paraId="01FCE4BC">
            <w:pPr>
              <w:widowControl/>
              <w:jc w:val="center"/>
              <w:rPr>
                <w:color w:val="auto"/>
                <w:highlight w:val="none"/>
              </w:rPr>
            </w:pPr>
          </w:p>
        </w:tc>
        <w:tc>
          <w:tcPr>
            <w:tcW w:w="817" w:type="dxa"/>
            <w:vMerge w:val="continue"/>
            <w:tcBorders>
              <w:tl2br w:val="nil"/>
              <w:tr2bl w:val="nil"/>
            </w:tcBorders>
            <w:shd w:val="clear" w:color="auto" w:fill="auto"/>
            <w:vAlign w:val="center"/>
          </w:tcPr>
          <w:p w14:paraId="050E4525">
            <w:pPr>
              <w:widowControl/>
              <w:jc w:val="center"/>
              <w:rPr>
                <w:color w:val="auto"/>
                <w:highlight w:val="none"/>
              </w:rPr>
            </w:pPr>
          </w:p>
        </w:tc>
        <w:tc>
          <w:tcPr>
            <w:tcW w:w="794" w:type="dxa"/>
            <w:tcBorders>
              <w:tl2br w:val="nil"/>
              <w:tr2bl w:val="nil"/>
            </w:tcBorders>
            <w:shd w:val="clear" w:color="auto" w:fill="auto"/>
            <w:vAlign w:val="center"/>
          </w:tcPr>
          <w:p w14:paraId="01051A6E">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统计报表</w:t>
            </w:r>
          </w:p>
        </w:tc>
        <w:tc>
          <w:tcPr>
            <w:tcW w:w="6364" w:type="dxa"/>
            <w:gridSpan w:val="2"/>
            <w:tcBorders>
              <w:tl2br w:val="nil"/>
              <w:tr2bl w:val="nil"/>
            </w:tcBorders>
            <w:shd w:val="clear" w:color="auto" w:fill="auto"/>
            <w:vAlign w:val="center"/>
          </w:tcPr>
          <w:p w14:paraId="386F7714">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区督考中心业务人员可按业务需求灵活配置各类结果表单。新建表单，编辑表单名称、选择展示方式，关联对应考评计划，具备修改、删除表单基础功能。新建表单默认展示考核计划下的所有指标、基准分、考核对象得分、总分和排名。</w:t>
            </w:r>
          </w:p>
        </w:tc>
      </w:tr>
      <w:tr w14:paraId="20413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trPr>
        <w:tc>
          <w:tcPr>
            <w:tcW w:w="551" w:type="dxa"/>
            <w:vMerge w:val="continue"/>
            <w:tcBorders>
              <w:tl2br w:val="nil"/>
              <w:tr2bl w:val="nil"/>
            </w:tcBorders>
            <w:shd w:val="clear" w:color="auto" w:fill="auto"/>
            <w:vAlign w:val="center"/>
          </w:tcPr>
          <w:p w14:paraId="78ABB354">
            <w:pPr>
              <w:widowControl/>
              <w:jc w:val="center"/>
              <w:rPr>
                <w:color w:val="auto"/>
                <w:highlight w:val="none"/>
              </w:rPr>
            </w:pPr>
          </w:p>
        </w:tc>
        <w:tc>
          <w:tcPr>
            <w:tcW w:w="517" w:type="dxa"/>
            <w:vMerge w:val="continue"/>
            <w:tcBorders>
              <w:tl2br w:val="nil"/>
              <w:tr2bl w:val="nil"/>
            </w:tcBorders>
            <w:vAlign w:val="center"/>
          </w:tcPr>
          <w:p w14:paraId="0A95E306">
            <w:pPr>
              <w:widowControl/>
              <w:jc w:val="center"/>
              <w:rPr>
                <w:color w:val="auto"/>
                <w:highlight w:val="none"/>
              </w:rPr>
            </w:pPr>
          </w:p>
        </w:tc>
        <w:tc>
          <w:tcPr>
            <w:tcW w:w="833" w:type="dxa"/>
            <w:vMerge w:val="continue"/>
            <w:tcBorders>
              <w:tl2br w:val="nil"/>
              <w:tr2bl w:val="nil"/>
            </w:tcBorders>
            <w:vAlign w:val="center"/>
          </w:tcPr>
          <w:p w14:paraId="5BCE1BDB">
            <w:pPr>
              <w:widowControl/>
              <w:jc w:val="center"/>
              <w:rPr>
                <w:color w:val="auto"/>
                <w:highlight w:val="none"/>
              </w:rPr>
            </w:pPr>
          </w:p>
        </w:tc>
        <w:tc>
          <w:tcPr>
            <w:tcW w:w="817" w:type="dxa"/>
            <w:vMerge w:val="restart"/>
            <w:tcBorders>
              <w:tl2br w:val="nil"/>
              <w:tr2bl w:val="nil"/>
            </w:tcBorders>
            <w:shd w:val="clear" w:color="auto" w:fill="auto"/>
            <w:vAlign w:val="center"/>
          </w:tcPr>
          <w:p w14:paraId="27E82C1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绩效奖金</w:t>
            </w:r>
          </w:p>
        </w:tc>
        <w:tc>
          <w:tcPr>
            <w:tcW w:w="794" w:type="dxa"/>
            <w:tcBorders>
              <w:tl2br w:val="nil"/>
              <w:tr2bl w:val="nil"/>
            </w:tcBorders>
            <w:shd w:val="clear" w:color="auto" w:fill="auto"/>
            <w:vAlign w:val="center"/>
          </w:tcPr>
          <w:p w14:paraId="0036068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奖金测算发放</w:t>
            </w:r>
          </w:p>
        </w:tc>
        <w:tc>
          <w:tcPr>
            <w:tcW w:w="6364" w:type="dxa"/>
            <w:gridSpan w:val="2"/>
            <w:tcBorders>
              <w:tl2br w:val="nil"/>
              <w:tr2bl w:val="nil"/>
            </w:tcBorders>
            <w:shd w:val="clear" w:color="auto" w:fill="auto"/>
            <w:vAlign w:val="center"/>
          </w:tcPr>
          <w:p w14:paraId="3ACD0759">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提供奖金计算公式配置功能，支持导出。</w:t>
            </w:r>
          </w:p>
        </w:tc>
      </w:tr>
      <w:tr w14:paraId="3011E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8" w:hRule="atLeast"/>
        </w:trPr>
        <w:tc>
          <w:tcPr>
            <w:tcW w:w="551" w:type="dxa"/>
            <w:vMerge w:val="continue"/>
            <w:tcBorders>
              <w:tl2br w:val="nil"/>
              <w:tr2bl w:val="nil"/>
            </w:tcBorders>
            <w:shd w:val="clear" w:color="auto" w:fill="auto"/>
            <w:vAlign w:val="center"/>
          </w:tcPr>
          <w:p w14:paraId="698F9BE3">
            <w:pPr>
              <w:widowControl/>
              <w:jc w:val="center"/>
              <w:rPr>
                <w:color w:val="auto"/>
                <w:highlight w:val="none"/>
              </w:rPr>
            </w:pPr>
          </w:p>
        </w:tc>
        <w:tc>
          <w:tcPr>
            <w:tcW w:w="517" w:type="dxa"/>
            <w:vMerge w:val="continue"/>
            <w:tcBorders>
              <w:tl2br w:val="nil"/>
              <w:tr2bl w:val="nil"/>
            </w:tcBorders>
            <w:vAlign w:val="center"/>
          </w:tcPr>
          <w:p w14:paraId="495DB8E5">
            <w:pPr>
              <w:widowControl/>
              <w:jc w:val="center"/>
              <w:rPr>
                <w:color w:val="auto"/>
                <w:highlight w:val="none"/>
              </w:rPr>
            </w:pPr>
          </w:p>
        </w:tc>
        <w:tc>
          <w:tcPr>
            <w:tcW w:w="833" w:type="dxa"/>
            <w:vMerge w:val="continue"/>
            <w:tcBorders>
              <w:tl2br w:val="nil"/>
              <w:tr2bl w:val="nil"/>
            </w:tcBorders>
            <w:vAlign w:val="center"/>
          </w:tcPr>
          <w:p w14:paraId="39495789">
            <w:pPr>
              <w:widowControl/>
              <w:jc w:val="center"/>
              <w:rPr>
                <w:color w:val="auto"/>
                <w:highlight w:val="none"/>
              </w:rPr>
            </w:pPr>
          </w:p>
        </w:tc>
        <w:tc>
          <w:tcPr>
            <w:tcW w:w="817" w:type="dxa"/>
            <w:vMerge w:val="continue"/>
            <w:tcBorders>
              <w:tl2br w:val="nil"/>
              <w:tr2bl w:val="nil"/>
            </w:tcBorders>
            <w:shd w:val="clear" w:color="auto" w:fill="auto"/>
            <w:vAlign w:val="center"/>
          </w:tcPr>
          <w:p w14:paraId="08886871">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6673932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奖金备案</w:t>
            </w:r>
          </w:p>
        </w:tc>
        <w:tc>
          <w:tcPr>
            <w:tcW w:w="6364" w:type="dxa"/>
            <w:gridSpan w:val="2"/>
            <w:tcBorders>
              <w:tl2br w:val="nil"/>
              <w:tr2bl w:val="nil"/>
            </w:tcBorders>
            <w:shd w:val="clear" w:color="auto" w:fill="auto"/>
            <w:vAlign w:val="center"/>
          </w:tcPr>
          <w:p w14:paraId="7B20662E">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奖金二次测算功能。</w:t>
            </w:r>
          </w:p>
        </w:tc>
      </w:tr>
      <w:tr w14:paraId="00F43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 w:hRule="atLeast"/>
        </w:trPr>
        <w:tc>
          <w:tcPr>
            <w:tcW w:w="551" w:type="dxa"/>
            <w:vMerge w:val="continue"/>
            <w:tcBorders>
              <w:tl2br w:val="nil"/>
              <w:tr2bl w:val="nil"/>
            </w:tcBorders>
            <w:shd w:val="clear" w:color="auto" w:fill="auto"/>
            <w:vAlign w:val="center"/>
          </w:tcPr>
          <w:p w14:paraId="3E618ACD">
            <w:pPr>
              <w:widowControl/>
              <w:jc w:val="center"/>
              <w:rPr>
                <w:color w:val="auto"/>
                <w:highlight w:val="none"/>
              </w:rPr>
            </w:pPr>
          </w:p>
        </w:tc>
        <w:tc>
          <w:tcPr>
            <w:tcW w:w="517" w:type="dxa"/>
            <w:vMerge w:val="continue"/>
            <w:tcBorders>
              <w:tl2br w:val="nil"/>
              <w:tr2bl w:val="nil"/>
            </w:tcBorders>
            <w:vAlign w:val="center"/>
          </w:tcPr>
          <w:p w14:paraId="21271942">
            <w:pPr>
              <w:widowControl/>
              <w:jc w:val="center"/>
              <w:rPr>
                <w:color w:val="auto"/>
                <w:highlight w:val="none"/>
              </w:rPr>
            </w:pPr>
          </w:p>
        </w:tc>
        <w:tc>
          <w:tcPr>
            <w:tcW w:w="833" w:type="dxa"/>
            <w:vMerge w:val="continue"/>
            <w:tcBorders>
              <w:tl2br w:val="nil"/>
              <w:tr2bl w:val="nil"/>
            </w:tcBorders>
            <w:vAlign w:val="center"/>
          </w:tcPr>
          <w:p w14:paraId="21B35F56">
            <w:pPr>
              <w:widowControl/>
              <w:jc w:val="center"/>
              <w:rPr>
                <w:color w:val="auto"/>
                <w:highlight w:val="none"/>
              </w:rPr>
            </w:pPr>
          </w:p>
        </w:tc>
        <w:tc>
          <w:tcPr>
            <w:tcW w:w="817" w:type="dxa"/>
            <w:vMerge w:val="restart"/>
            <w:tcBorders>
              <w:tl2br w:val="nil"/>
              <w:tr2bl w:val="nil"/>
            </w:tcBorders>
            <w:shd w:val="clear" w:color="auto" w:fill="auto"/>
            <w:vAlign w:val="center"/>
          </w:tcPr>
          <w:p w14:paraId="3CDF011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综合查询</w:t>
            </w:r>
          </w:p>
        </w:tc>
        <w:tc>
          <w:tcPr>
            <w:tcW w:w="794" w:type="dxa"/>
            <w:tcBorders>
              <w:tl2br w:val="nil"/>
              <w:tr2bl w:val="nil"/>
            </w:tcBorders>
            <w:shd w:val="clear" w:color="auto" w:fill="auto"/>
            <w:vAlign w:val="center"/>
          </w:tcPr>
          <w:p w14:paraId="3E984A8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文件管理</w:t>
            </w:r>
          </w:p>
        </w:tc>
        <w:tc>
          <w:tcPr>
            <w:tcW w:w="6364" w:type="dxa"/>
            <w:gridSpan w:val="2"/>
            <w:tcBorders>
              <w:tl2br w:val="nil"/>
              <w:tr2bl w:val="nil"/>
            </w:tcBorders>
            <w:shd w:val="clear" w:color="auto" w:fill="auto"/>
            <w:vAlign w:val="center"/>
          </w:tcPr>
          <w:p w14:paraId="678AF810">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存储通知发文、过程管理、年度考核等模块中各单位下发上传的各类佐证材料。支持考核所有角色查询、查看和下载文件材料。</w:t>
            </w:r>
          </w:p>
        </w:tc>
      </w:tr>
      <w:tr w14:paraId="7A9D4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 w:hRule="atLeast"/>
        </w:trPr>
        <w:tc>
          <w:tcPr>
            <w:tcW w:w="551" w:type="dxa"/>
            <w:vMerge w:val="continue"/>
            <w:tcBorders>
              <w:tl2br w:val="nil"/>
              <w:tr2bl w:val="nil"/>
            </w:tcBorders>
            <w:shd w:val="clear" w:color="auto" w:fill="auto"/>
            <w:vAlign w:val="center"/>
          </w:tcPr>
          <w:p w14:paraId="6AC5E4A7">
            <w:pPr>
              <w:widowControl/>
              <w:jc w:val="center"/>
              <w:rPr>
                <w:color w:val="auto"/>
                <w:highlight w:val="none"/>
              </w:rPr>
            </w:pPr>
          </w:p>
        </w:tc>
        <w:tc>
          <w:tcPr>
            <w:tcW w:w="517" w:type="dxa"/>
            <w:vMerge w:val="continue"/>
            <w:tcBorders>
              <w:tl2br w:val="nil"/>
              <w:tr2bl w:val="nil"/>
            </w:tcBorders>
            <w:vAlign w:val="center"/>
          </w:tcPr>
          <w:p w14:paraId="64DE3F04">
            <w:pPr>
              <w:widowControl/>
              <w:jc w:val="center"/>
              <w:rPr>
                <w:color w:val="auto"/>
                <w:highlight w:val="none"/>
              </w:rPr>
            </w:pPr>
          </w:p>
        </w:tc>
        <w:tc>
          <w:tcPr>
            <w:tcW w:w="833" w:type="dxa"/>
            <w:vMerge w:val="continue"/>
            <w:tcBorders>
              <w:tl2br w:val="nil"/>
              <w:tr2bl w:val="nil"/>
            </w:tcBorders>
            <w:vAlign w:val="center"/>
          </w:tcPr>
          <w:p w14:paraId="1E42F497">
            <w:pPr>
              <w:widowControl/>
              <w:jc w:val="center"/>
              <w:rPr>
                <w:color w:val="auto"/>
                <w:highlight w:val="none"/>
              </w:rPr>
            </w:pPr>
          </w:p>
        </w:tc>
        <w:tc>
          <w:tcPr>
            <w:tcW w:w="817" w:type="dxa"/>
            <w:vMerge w:val="continue"/>
            <w:tcBorders>
              <w:tl2br w:val="nil"/>
              <w:tr2bl w:val="nil"/>
            </w:tcBorders>
            <w:shd w:val="clear" w:color="auto" w:fill="auto"/>
            <w:vAlign w:val="center"/>
          </w:tcPr>
          <w:p w14:paraId="7180986F">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3664F5A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通讯录</w:t>
            </w:r>
          </w:p>
        </w:tc>
        <w:tc>
          <w:tcPr>
            <w:tcW w:w="6364" w:type="dxa"/>
            <w:gridSpan w:val="2"/>
            <w:tcBorders>
              <w:tl2br w:val="nil"/>
              <w:tr2bl w:val="nil"/>
            </w:tcBorders>
            <w:shd w:val="clear" w:color="auto" w:fill="auto"/>
            <w:vAlign w:val="center"/>
          </w:tcPr>
          <w:p w14:paraId="03FCE8FD">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支持考核所有角色按权限查看其他单位的联络员、处室负责人、分管领导的姓名、职能处室、职务和联系方式，需要进行关键字搜索，支持通讯录导出。</w:t>
            </w:r>
          </w:p>
        </w:tc>
      </w:tr>
      <w:tr w14:paraId="1EF49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 w:hRule="atLeast"/>
        </w:trPr>
        <w:tc>
          <w:tcPr>
            <w:tcW w:w="551" w:type="dxa"/>
            <w:vMerge w:val="continue"/>
            <w:tcBorders>
              <w:tl2br w:val="nil"/>
              <w:tr2bl w:val="nil"/>
            </w:tcBorders>
            <w:shd w:val="clear" w:color="auto" w:fill="auto"/>
            <w:vAlign w:val="center"/>
          </w:tcPr>
          <w:p w14:paraId="772E8878">
            <w:pPr>
              <w:widowControl/>
              <w:jc w:val="center"/>
              <w:rPr>
                <w:color w:val="auto"/>
                <w:highlight w:val="none"/>
              </w:rPr>
            </w:pPr>
          </w:p>
        </w:tc>
        <w:tc>
          <w:tcPr>
            <w:tcW w:w="517" w:type="dxa"/>
            <w:vMerge w:val="continue"/>
            <w:tcBorders>
              <w:tl2br w:val="nil"/>
              <w:tr2bl w:val="nil"/>
            </w:tcBorders>
            <w:vAlign w:val="center"/>
          </w:tcPr>
          <w:p w14:paraId="56C9BE86">
            <w:pPr>
              <w:widowControl/>
              <w:jc w:val="center"/>
              <w:rPr>
                <w:color w:val="auto"/>
                <w:highlight w:val="none"/>
              </w:rPr>
            </w:pPr>
          </w:p>
        </w:tc>
        <w:tc>
          <w:tcPr>
            <w:tcW w:w="833" w:type="dxa"/>
            <w:vMerge w:val="continue"/>
            <w:tcBorders>
              <w:tl2br w:val="nil"/>
              <w:tr2bl w:val="nil"/>
            </w:tcBorders>
            <w:vAlign w:val="center"/>
          </w:tcPr>
          <w:p w14:paraId="096CEB32">
            <w:pPr>
              <w:widowControl/>
              <w:jc w:val="center"/>
              <w:rPr>
                <w:color w:val="auto"/>
                <w:highlight w:val="none"/>
              </w:rPr>
            </w:pPr>
          </w:p>
        </w:tc>
        <w:tc>
          <w:tcPr>
            <w:tcW w:w="817" w:type="dxa"/>
            <w:vMerge w:val="restart"/>
            <w:tcBorders>
              <w:tl2br w:val="nil"/>
              <w:tr2bl w:val="nil"/>
            </w:tcBorders>
            <w:shd w:val="clear" w:color="auto" w:fill="auto"/>
            <w:vAlign w:val="center"/>
          </w:tcPr>
          <w:p w14:paraId="5CED208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系统设置</w:t>
            </w:r>
          </w:p>
        </w:tc>
        <w:tc>
          <w:tcPr>
            <w:tcW w:w="794" w:type="dxa"/>
            <w:tcBorders>
              <w:tl2br w:val="nil"/>
              <w:tr2bl w:val="nil"/>
            </w:tcBorders>
            <w:shd w:val="clear" w:color="auto" w:fill="auto"/>
            <w:vAlign w:val="center"/>
          </w:tcPr>
          <w:p w14:paraId="48AE9C0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个人资料</w:t>
            </w:r>
          </w:p>
        </w:tc>
        <w:tc>
          <w:tcPr>
            <w:tcW w:w="6364" w:type="dxa"/>
            <w:gridSpan w:val="2"/>
            <w:tcBorders>
              <w:tl2br w:val="nil"/>
              <w:tr2bl w:val="nil"/>
            </w:tcBorders>
            <w:shd w:val="clear" w:color="auto" w:fill="auto"/>
            <w:vAlign w:val="center"/>
          </w:tcPr>
          <w:p w14:paraId="26501338">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展示账号联络员、职能处室负责人、分管领导信息资料（姓名、职能处室、职务、联系方式等）。支持人员信息和联系方式修改。</w:t>
            </w:r>
          </w:p>
        </w:tc>
      </w:tr>
      <w:tr w14:paraId="2DFFA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 w:hRule="atLeast"/>
        </w:trPr>
        <w:tc>
          <w:tcPr>
            <w:tcW w:w="551" w:type="dxa"/>
            <w:vMerge w:val="continue"/>
            <w:tcBorders>
              <w:tl2br w:val="nil"/>
              <w:tr2bl w:val="nil"/>
            </w:tcBorders>
            <w:shd w:val="clear" w:color="auto" w:fill="auto"/>
            <w:vAlign w:val="center"/>
          </w:tcPr>
          <w:p w14:paraId="147FD6C8">
            <w:pPr>
              <w:widowControl/>
              <w:jc w:val="center"/>
              <w:rPr>
                <w:color w:val="auto"/>
                <w:highlight w:val="none"/>
              </w:rPr>
            </w:pPr>
          </w:p>
        </w:tc>
        <w:tc>
          <w:tcPr>
            <w:tcW w:w="517" w:type="dxa"/>
            <w:vMerge w:val="continue"/>
            <w:tcBorders>
              <w:tl2br w:val="nil"/>
              <w:tr2bl w:val="nil"/>
            </w:tcBorders>
            <w:vAlign w:val="center"/>
          </w:tcPr>
          <w:p w14:paraId="1DF9856B">
            <w:pPr>
              <w:widowControl/>
              <w:jc w:val="center"/>
              <w:rPr>
                <w:color w:val="auto"/>
                <w:highlight w:val="none"/>
              </w:rPr>
            </w:pPr>
          </w:p>
        </w:tc>
        <w:tc>
          <w:tcPr>
            <w:tcW w:w="833" w:type="dxa"/>
            <w:vMerge w:val="continue"/>
            <w:tcBorders>
              <w:tl2br w:val="nil"/>
              <w:tr2bl w:val="nil"/>
            </w:tcBorders>
            <w:vAlign w:val="center"/>
          </w:tcPr>
          <w:p w14:paraId="21DD8C5F">
            <w:pPr>
              <w:widowControl/>
              <w:jc w:val="center"/>
              <w:rPr>
                <w:color w:val="auto"/>
                <w:highlight w:val="none"/>
              </w:rPr>
            </w:pPr>
          </w:p>
        </w:tc>
        <w:tc>
          <w:tcPr>
            <w:tcW w:w="817" w:type="dxa"/>
            <w:vMerge w:val="continue"/>
            <w:tcBorders>
              <w:tl2br w:val="nil"/>
              <w:tr2bl w:val="nil"/>
            </w:tcBorders>
            <w:shd w:val="clear" w:color="auto" w:fill="auto"/>
            <w:vAlign w:val="center"/>
          </w:tcPr>
          <w:p w14:paraId="6E5D0BA8">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41F097D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年度信息管理</w:t>
            </w:r>
          </w:p>
        </w:tc>
        <w:tc>
          <w:tcPr>
            <w:tcW w:w="6364" w:type="dxa"/>
            <w:gridSpan w:val="2"/>
            <w:tcBorders>
              <w:tl2br w:val="nil"/>
              <w:tr2bl w:val="nil"/>
            </w:tcBorders>
            <w:shd w:val="clear" w:color="auto" w:fill="auto"/>
            <w:vAlign w:val="center"/>
          </w:tcPr>
          <w:p w14:paraId="09B019F6">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区督考中心根据年度考核板块、区责任部门和考核对象，设置考核的主体框架。</w:t>
            </w:r>
          </w:p>
        </w:tc>
      </w:tr>
      <w:tr w14:paraId="65443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 w:hRule="atLeast"/>
        </w:trPr>
        <w:tc>
          <w:tcPr>
            <w:tcW w:w="551" w:type="dxa"/>
            <w:vMerge w:val="continue"/>
            <w:tcBorders>
              <w:tl2br w:val="nil"/>
              <w:tr2bl w:val="nil"/>
            </w:tcBorders>
            <w:shd w:val="clear" w:color="auto" w:fill="auto"/>
            <w:vAlign w:val="center"/>
          </w:tcPr>
          <w:p w14:paraId="3920C0F6">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07BC410B">
            <w:pPr>
              <w:widowControl/>
              <w:jc w:val="center"/>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0F4AD1CC">
            <w:pPr>
              <w:widowControl/>
              <w:jc w:val="center"/>
              <w:rPr>
                <w:rFonts w:ascii="宋体" w:hAnsi="宋体" w:eastAsia="宋体" w:cs="宋体"/>
                <w:color w:val="auto"/>
                <w:kern w:val="0"/>
                <w:szCs w:val="21"/>
                <w:highlight w:val="none"/>
              </w:rPr>
            </w:pPr>
          </w:p>
        </w:tc>
        <w:tc>
          <w:tcPr>
            <w:tcW w:w="817" w:type="dxa"/>
            <w:vMerge w:val="continue"/>
            <w:tcBorders>
              <w:tl2br w:val="nil"/>
              <w:tr2bl w:val="nil"/>
            </w:tcBorders>
            <w:shd w:val="clear" w:color="auto" w:fill="auto"/>
            <w:vAlign w:val="center"/>
          </w:tcPr>
          <w:p w14:paraId="399853AA">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6E73D94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评分设置</w:t>
            </w:r>
          </w:p>
        </w:tc>
        <w:tc>
          <w:tcPr>
            <w:tcW w:w="6364" w:type="dxa"/>
            <w:gridSpan w:val="2"/>
            <w:tcBorders>
              <w:tl2br w:val="nil"/>
              <w:tr2bl w:val="nil"/>
            </w:tcBorders>
            <w:shd w:val="clear" w:color="auto" w:fill="auto"/>
            <w:vAlign w:val="center"/>
          </w:tcPr>
          <w:p w14:paraId="5481E492">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区督考中心对所有板块的指标进行半年度/年度评分相关设置。</w:t>
            </w:r>
          </w:p>
        </w:tc>
      </w:tr>
      <w:tr w14:paraId="3C9C3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 w:hRule="atLeast"/>
        </w:trPr>
        <w:tc>
          <w:tcPr>
            <w:tcW w:w="551" w:type="dxa"/>
            <w:vMerge w:val="continue"/>
            <w:tcBorders>
              <w:tl2br w:val="nil"/>
              <w:tr2bl w:val="nil"/>
            </w:tcBorders>
            <w:shd w:val="clear" w:color="auto" w:fill="auto"/>
            <w:vAlign w:val="center"/>
          </w:tcPr>
          <w:p w14:paraId="4C1E4456">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496D2BFC">
            <w:pPr>
              <w:widowControl/>
              <w:jc w:val="center"/>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21E75105">
            <w:pPr>
              <w:widowControl/>
              <w:jc w:val="center"/>
              <w:rPr>
                <w:rFonts w:ascii="宋体" w:hAnsi="宋体" w:eastAsia="宋体" w:cs="宋体"/>
                <w:color w:val="auto"/>
                <w:kern w:val="0"/>
                <w:szCs w:val="21"/>
                <w:highlight w:val="none"/>
              </w:rPr>
            </w:pPr>
          </w:p>
        </w:tc>
        <w:tc>
          <w:tcPr>
            <w:tcW w:w="817" w:type="dxa"/>
            <w:vMerge w:val="continue"/>
            <w:tcBorders>
              <w:tl2br w:val="nil"/>
              <w:tr2bl w:val="nil"/>
            </w:tcBorders>
            <w:shd w:val="clear" w:color="auto" w:fill="auto"/>
            <w:vAlign w:val="center"/>
          </w:tcPr>
          <w:p w14:paraId="0A202E93">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009A73B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催报设置</w:t>
            </w:r>
          </w:p>
        </w:tc>
        <w:tc>
          <w:tcPr>
            <w:tcW w:w="6364" w:type="dxa"/>
            <w:gridSpan w:val="2"/>
            <w:tcBorders>
              <w:tl2br w:val="nil"/>
              <w:tr2bl w:val="nil"/>
            </w:tcBorders>
            <w:shd w:val="clear" w:color="auto" w:fill="auto"/>
            <w:vAlign w:val="center"/>
          </w:tcPr>
          <w:p w14:paraId="6E6BF582">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支持手动和自动催报设置，包括催报提示语、催报频率、催报记录。</w:t>
            </w:r>
          </w:p>
        </w:tc>
      </w:tr>
      <w:tr w14:paraId="30005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 w:hRule="atLeast"/>
        </w:trPr>
        <w:tc>
          <w:tcPr>
            <w:tcW w:w="551" w:type="dxa"/>
            <w:vMerge w:val="continue"/>
            <w:tcBorders>
              <w:tl2br w:val="nil"/>
              <w:tr2bl w:val="nil"/>
            </w:tcBorders>
            <w:shd w:val="clear" w:color="auto" w:fill="auto"/>
            <w:vAlign w:val="center"/>
          </w:tcPr>
          <w:p w14:paraId="6A9866D6">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207B868C">
            <w:pPr>
              <w:widowControl/>
              <w:jc w:val="center"/>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5855D704">
            <w:pPr>
              <w:widowControl/>
              <w:jc w:val="center"/>
              <w:rPr>
                <w:rFonts w:ascii="宋体" w:hAnsi="宋体" w:eastAsia="宋体" w:cs="宋体"/>
                <w:color w:val="auto"/>
                <w:kern w:val="0"/>
                <w:szCs w:val="21"/>
                <w:highlight w:val="none"/>
              </w:rPr>
            </w:pPr>
          </w:p>
        </w:tc>
        <w:tc>
          <w:tcPr>
            <w:tcW w:w="817" w:type="dxa"/>
            <w:vMerge w:val="continue"/>
            <w:tcBorders>
              <w:tl2br w:val="nil"/>
              <w:tr2bl w:val="nil"/>
            </w:tcBorders>
            <w:shd w:val="clear" w:color="auto" w:fill="auto"/>
            <w:vAlign w:val="center"/>
          </w:tcPr>
          <w:p w14:paraId="6B9227CD">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1658EE72">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层级管理</w:t>
            </w:r>
          </w:p>
        </w:tc>
        <w:tc>
          <w:tcPr>
            <w:tcW w:w="6364" w:type="dxa"/>
            <w:gridSpan w:val="2"/>
            <w:tcBorders>
              <w:tl2br w:val="nil"/>
              <w:tr2bl w:val="nil"/>
            </w:tcBorders>
            <w:shd w:val="clear" w:color="auto" w:fill="auto"/>
            <w:vAlign w:val="center"/>
          </w:tcPr>
          <w:p w14:paraId="678B504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支持区督考中心根据荣誉警示的行政级别，设置层级。支持层级的新增、修改、删除、保存、排序。</w:t>
            </w:r>
          </w:p>
        </w:tc>
      </w:tr>
      <w:tr w14:paraId="79D44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 w:hRule="atLeast"/>
        </w:trPr>
        <w:tc>
          <w:tcPr>
            <w:tcW w:w="551" w:type="dxa"/>
            <w:vMerge w:val="continue"/>
            <w:tcBorders>
              <w:tl2br w:val="nil"/>
              <w:tr2bl w:val="nil"/>
            </w:tcBorders>
            <w:shd w:val="clear" w:color="auto" w:fill="auto"/>
            <w:vAlign w:val="center"/>
          </w:tcPr>
          <w:p w14:paraId="0A4834C0">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3C023430">
            <w:pPr>
              <w:widowControl/>
              <w:jc w:val="center"/>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59A78FFE">
            <w:pPr>
              <w:widowControl/>
              <w:jc w:val="center"/>
              <w:rPr>
                <w:rFonts w:ascii="宋体" w:hAnsi="宋体" w:eastAsia="宋体" w:cs="宋体"/>
                <w:color w:val="auto"/>
                <w:kern w:val="0"/>
                <w:szCs w:val="21"/>
                <w:highlight w:val="none"/>
              </w:rPr>
            </w:pPr>
          </w:p>
        </w:tc>
        <w:tc>
          <w:tcPr>
            <w:tcW w:w="817" w:type="dxa"/>
            <w:vMerge w:val="continue"/>
            <w:tcBorders>
              <w:tl2br w:val="nil"/>
              <w:tr2bl w:val="nil"/>
            </w:tcBorders>
            <w:shd w:val="clear" w:color="auto" w:fill="auto"/>
            <w:vAlign w:val="center"/>
          </w:tcPr>
          <w:p w14:paraId="43A130DD">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4552CA9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计分办法管理</w:t>
            </w:r>
          </w:p>
        </w:tc>
        <w:tc>
          <w:tcPr>
            <w:tcW w:w="6364" w:type="dxa"/>
            <w:gridSpan w:val="2"/>
            <w:tcBorders>
              <w:tl2br w:val="nil"/>
              <w:tr2bl w:val="nil"/>
            </w:tcBorders>
            <w:shd w:val="clear" w:color="auto" w:fill="auto"/>
            <w:vAlign w:val="center"/>
          </w:tcPr>
          <w:p w14:paraId="52AF46AC">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计分办法的新建、修改、保存、删除。</w:t>
            </w:r>
          </w:p>
        </w:tc>
      </w:tr>
      <w:tr w14:paraId="68058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 w:hRule="atLeast"/>
        </w:trPr>
        <w:tc>
          <w:tcPr>
            <w:tcW w:w="551" w:type="dxa"/>
            <w:vMerge w:val="continue"/>
            <w:tcBorders>
              <w:tl2br w:val="nil"/>
              <w:tr2bl w:val="nil"/>
            </w:tcBorders>
            <w:shd w:val="clear" w:color="auto" w:fill="auto"/>
            <w:vAlign w:val="center"/>
          </w:tcPr>
          <w:p w14:paraId="1F125058">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3CFE3000">
            <w:pPr>
              <w:widowControl/>
              <w:jc w:val="center"/>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38CB6387">
            <w:pPr>
              <w:widowControl/>
              <w:jc w:val="center"/>
              <w:rPr>
                <w:rFonts w:ascii="宋体" w:hAnsi="宋体" w:eastAsia="宋体" w:cs="宋体"/>
                <w:color w:val="auto"/>
                <w:kern w:val="0"/>
                <w:szCs w:val="21"/>
                <w:highlight w:val="none"/>
              </w:rPr>
            </w:pPr>
          </w:p>
        </w:tc>
        <w:tc>
          <w:tcPr>
            <w:tcW w:w="817" w:type="dxa"/>
            <w:vMerge w:val="continue"/>
            <w:tcBorders>
              <w:tl2br w:val="nil"/>
              <w:tr2bl w:val="nil"/>
            </w:tcBorders>
            <w:shd w:val="clear" w:color="auto" w:fill="auto"/>
            <w:vAlign w:val="center"/>
          </w:tcPr>
          <w:p w14:paraId="37838338">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658D6B9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退回理由管理</w:t>
            </w:r>
          </w:p>
        </w:tc>
        <w:tc>
          <w:tcPr>
            <w:tcW w:w="6364" w:type="dxa"/>
            <w:gridSpan w:val="2"/>
            <w:tcBorders>
              <w:tl2br w:val="nil"/>
              <w:tr2bl w:val="nil"/>
            </w:tcBorders>
            <w:shd w:val="clear" w:color="auto" w:fill="auto"/>
            <w:vAlign w:val="center"/>
          </w:tcPr>
          <w:p w14:paraId="240E7F2A">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支持模板的新建、修改、保存、删除，支持模板的启用和禁用。</w:t>
            </w:r>
          </w:p>
        </w:tc>
      </w:tr>
      <w:tr w14:paraId="7893E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 w:hRule="atLeast"/>
        </w:trPr>
        <w:tc>
          <w:tcPr>
            <w:tcW w:w="551" w:type="dxa"/>
            <w:vMerge w:val="continue"/>
            <w:tcBorders>
              <w:tl2br w:val="nil"/>
              <w:tr2bl w:val="nil"/>
            </w:tcBorders>
            <w:shd w:val="clear" w:color="auto" w:fill="auto"/>
            <w:vAlign w:val="center"/>
          </w:tcPr>
          <w:p w14:paraId="244F5465">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2C5EE96C">
            <w:pPr>
              <w:widowControl/>
              <w:jc w:val="center"/>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04530122">
            <w:pPr>
              <w:widowControl/>
              <w:jc w:val="center"/>
              <w:rPr>
                <w:rFonts w:ascii="宋体" w:hAnsi="宋体" w:eastAsia="宋体" w:cs="宋体"/>
                <w:color w:val="auto"/>
                <w:kern w:val="0"/>
                <w:szCs w:val="21"/>
                <w:highlight w:val="none"/>
              </w:rPr>
            </w:pPr>
          </w:p>
        </w:tc>
        <w:tc>
          <w:tcPr>
            <w:tcW w:w="817" w:type="dxa"/>
            <w:vMerge w:val="continue"/>
            <w:tcBorders>
              <w:tl2br w:val="nil"/>
              <w:tr2bl w:val="nil"/>
            </w:tcBorders>
            <w:shd w:val="clear" w:color="auto" w:fill="auto"/>
            <w:vAlign w:val="center"/>
          </w:tcPr>
          <w:p w14:paraId="58796A0D">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3F9CBE8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分类管理</w:t>
            </w:r>
          </w:p>
        </w:tc>
        <w:tc>
          <w:tcPr>
            <w:tcW w:w="6364" w:type="dxa"/>
            <w:gridSpan w:val="2"/>
            <w:tcBorders>
              <w:tl2br w:val="nil"/>
              <w:tr2bl w:val="nil"/>
            </w:tcBorders>
            <w:shd w:val="clear" w:color="auto" w:fill="auto"/>
            <w:vAlign w:val="center"/>
          </w:tcPr>
          <w:p w14:paraId="3F9D9825">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支持区督考中心根据荣誉警示不同性质，设置分类。支持分类的新增、修改、删除、保存、排序。</w:t>
            </w:r>
          </w:p>
        </w:tc>
      </w:tr>
      <w:tr w14:paraId="502A6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551" w:type="dxa"/>
            <w:vMerge w:val="continue"/>
            <w:tcBorders>
              <w:tl2br w:val="nil"/>
              <w:tr2bl w:val="nil"/>
            </w:tcBorders>
            <w:shd w:val="clear" w:color="auto" w:fill="auto"/>
            <w:vAlign w:val="center"/>
          </w:tcPr>
          <w:p w14:paraId="0BAED0F9">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77C37B12">
            <w:pPr>
              <w:widowControl/>
              <w:rPr>
                <w:rFonts w:ascii="宋体" w:hAnsi="宋体" w:eastAsia="宋体" w:cs="宋体"/>
                <w:color w:val="auto"/>
                <w:kern w:val="0"/>
                <w:szCs w:val="21"/>
                <w:highlight w:val="none"/>
              </w:rPr>
            </w:pPr>
          </w:p>
        </w:tc>
        <w:tc>
          <w:tcPr>
            <w:tcW w:w="833" w:type="dxa"/>
            <w:vMerge w:val="restart"/>
            <w:tcBorders>
              <w:tl2br w:val="nil"/>
              <w:tr2bl w:val="nil"/>
            </w:tcBorders>
            <w:vAlign w:val="center"/>
          </w:tcPr>
          <w:p w14:paraId="6C5BF7C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民生实事</w:t>
            </w:r>
          </w:p>
          <w:p w14:paraId="29D3BA8B">
            <w:pPr>
              <w:widowControl/>
              <w:rPr>
                <w:rFonts w:ascii="宋体" w:hAnsi="宋体" w:eastAsia="宋体" w:cs="宋体"/>
                <w:color w:val="auto"/>
                <w:kern w:val="0"/>
                <w:szCs w:val="21"/>
                <w:highlight w:val="none"/>
              </w:rPr>
            </w:pPr>
          </w:p>
        </w:tc>
        <w:tc>
          <w:tcPr>
            <w:tcW w:w="817" w:type="dxa"/>
            <w:vMerge w:val="restart"/>
            <w:tcBorders>
              <w:tl2br w:val="nil"/>
              <w:tr2bl w:val="nil"/>
            </w:tcBorders>
            <w:shd w:val="clear" w:color="auto" w:fill="auto"/>
            <w:vAlign w:val="center"/>
          </w:tcPr>
          <w:p w14:paraId="2A0CFE0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省、市、区</w:t>
            </w:r>
          </w:p>
        </w:tc>
        <w:tc>
          <w:tcPr>
            <w:tcW w:w="794" w:type="dxa"/>
            <w:tcBorders>
              <w:tl2br w:val="nil"/>
              <w:tr2bl w:val="nil"/>
            </w:tcBorders>
            <w:shd w:val="clear" w:color="auto" w:fill="auto"/>
            <w:vAlign w:val="center"/>
          </w:tcPr>
          <w:p w14:paraId="6F35043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民生实事</w:t>
            </w:r>
          </w:p>
          <w:p w14:paraId="7A9222F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工作台</w:t>
            </w:r>
          </w:p>
        </w:tc>
        <w:tc>
          <w:tcPr>
            <w:tcW w:w="6364" w:type="dxa"/>
            <w:gridSpan w:val="2"/>
            <w:tcBorders>
              <w:tl2br w:val="nil"/>
              <w:tr2bl w:val="nil"/>
            </w:tcBorders>
            <w:shd w:val="clear" w:color="auto" w:fill="auto"/>
            <w:vAlign w:val="center"/>
          </w:tcPr>
          <w:p w14:paraId="3DEA82BA">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工作台分为数据统计、待办事项和牵头领导事项分布三块内容，并支持根据角色权限展示不同的业务数据内容。</w:t>
            </w:r>
          </w:p>
        </w:tc>
      </w:tr>
      <w:tr w14:paraId="599F4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27E474E5">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61E01F46">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3EB17BCD">
            <w:pPr>
              <w:widowControl/>
              <w:jc w:val="center"/>
              <w:rPr>
                <w:rFonts w:ascii="宋体" w:hAnsi="宋体" w:eastAsia="宋体" w:cs="宋体"/>
                <w:color w:val="auto"/>
                <w:kern w:val="0"/>
                <w:szCs w:val="21"/>
                <w:highlight w:val="none"/>
              </w:rPr>
            </w:pPr>
          </w:p>
        </w:tc>
        <w:tc>
          <w:tcPr>
            <w:tcW w:w="817" w:type="dxa"/>
            <w:vMerge w:val="continue"/>
            <w:tcBorders>
              <w:tl2br w:val="nil"/>
              <w:tr2bl w:val="nil"/>
            </w:tcBorders>
            <w:vAlign w:val="center"/>
          </w:tcPr>
          <w:p w14:paraId="7F8FDB51">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41916F6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事项录入</w:t>
            </w:r>
          </w:p>
        </w:tc>
        <w:tc>
          <w:tcPr>
            <w:tcW w:w="6364" w:type="dxa"/>
            <w:gridSpan w:val="2"/>
            <w:tcBorders>
              <w:tl2br w:val="nil"/>
              <w:tr2bl w:val="nil"/>
            </w:tcBorders>
            <w:shd w:val="clear" w:color="auto" w:fill="auto"/>
            <w:vAlign w:val="center"/>
          </w:tcPr>
          <w:p w14:paraId="7E27F465">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每年年初由督考中心务人员根据提起征集的省市区级民生实事项目进行事项创建，实现民生实事的创建、交办和查询等功能。</w:t>
            </w:r>
          </w:p>
        </w:tc>
      </w:tr>
      <w:tr w14:paraId="086B8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5" w:hRule="atLeast"/>
        </w:trPr>
        <w:tc>
          <w:tcPr>
            <w:tcW w:w="551" w:type="dxa"/>
            <w:vMerge w:val="continue"/>
            <w:tcBorders>
              <w:tl2br w:val="nil"/>
              <w:tr2bl w:val="nil"/>
            </w:tcBorders>
            <w:shd w:val="clear" w:color="auto" w:fill="auto"/>
            <w:vAlign w:val="center"/>
          </w:tcPr>
          <w:p w14:paraId="4D55017E">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243E266C">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0602E3FF">
            <w:pPr>
              <w:widowControl/>
              <w:jc w:val="center"/>
              <w:rPr>
                <w:rFonts w:ascii="宋体" w:hAnsi="宋体" w:eastAsia="宋体" w:cs="宋体"/>
                <w:color w:val="auto"/>
                <w:kern w:val="0"/>
                <w:szCs w:val="21"/>
                <w:highlight w:val="none"/>
              </w:rPr>
            </w:pPr>
          </w:p>
        </w:tc>
        <w:tc>
          <w:tcPr>
            <w:tcW w:w="817" w:type="dxa"/>
            <w:vMerge w:val="restart"/>
            <w:tcBorders>
              <w:tl2br w:val="nil"/>
              <w:tr2bl w:val="nil"/>
            </w:tcBorders>
            <w:vAlign w:val="center"/>
          </w:tcPr>
          <w:p w14:paraId="7FF87632">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6AE0A70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事项反馈</w:t>
            </w:r>
          </w:p>
        </w:tc>
        <w:tc>
          <w:tcPr>
            <w:tcW w:w="6364" w:type="dxa"/>
            <w:gridSpan w:val="2"/>
            <w:tcBorders>
              <w:tl2br w:val="nil"/>
              <w:tr2bl w:val="nil"/>
            </w:tcBorders>
            <w:shd w:val="clear" w:color="auto" w:fill="auto"/>
            <w:vAlign w:val="center"/>
          </w:tcPr>
          <w:p w14:paraId="00A53927">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责任单位接收到民生事项后根据业务需求每月对事项进展近反馈，提交给督查中心进行审核，直至民生事项完成。</w:t>
            </w:r>
          </w:p>
        </w:tc>
      </w:tr>
      <w:tr w14:paraId="7B739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19AC3A18">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3BDEB871">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2BD06356">
            <w:pPr>
              <w:widowControl/>
              <w:jc w:val="center"/>
              <w:rPr>
                <w:rFonts w:ascii="宋体" w:hAnsi="宋体" w:eastAsia="宋体" w:cs="宋体"/>
                <w:color w:val="auto"/>
                <w:kern w:val="0"/>
                <w:szCs w:val="21"/>
                <w:highlight w:val="none"/>
              </w:rPr>
            </w:pPr>
          </w:p>
        </w:tc>
        <w:tc>
          <w:tcPr>
            <w:tcW w:w="817" w:type="dxa"/>
            <w:vMerge w:val="continue"/>
            <w:tcBorders>
              <w:tl2br w:val="nil"/>
              <w:tr2bl w:val="nil"/>
            </w:tcBorders>
            <w:vAlign w:val="center"/>
          </w:tcPr>
          <w:p w14:paraId="7D8B0D16">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3122EF4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反馈审核</w:t>
            </w:r>
          </w:p>
        </w:tc>
        <w:tc>
          <w:tcPr>
            <w:tcW w:w="6364" w:type="dxa"/>
            <w:gridSpan w:val="2"/>
            <w:tcBorders>
              <w:tl2br w:val="nil"/>
              <w:tr2bl w:val="nil"/>
            </w:tcBorders>
            <w:shd w:val="clear" w:color="auto" w:fill="auto"/>
            <w:vAlign w:val="center"/>
          </w:tcPr>
          <w:p w14:paraId="6F1BDDE7">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责任单位事项反馈后由督考中心进行审核，审核分为审核通过，继续反馈；审核不通过，退回重办和已完成。</w:t>
            </w:r>
          </w:p>
        </w:tc>
      </w:tr>
      <w:tr w14:paraId="3FAD7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29260E81">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7B34268D">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45F6F764">
            <w:pPr>
              <w:widowControl/>
              <w:jc w:val="center"/>
              <w:rPr>
                <w:rFonts w:ascii="宋体" w:hAnsi="宋体" w:eastAsia="宋体" w:cs="宋体"/>
                <w:color w:val="auto"/>
                <w:kern w:val="0"/>
                <w:szCs w:val="21"/>
                <w:highlight w:val="none"/>
              </w:rPr>
            </w:pPr>
          </w:p>
        </w:tc>
        <w:tc>
          <w:tcPr>
            <w:tcW w:w="817" w:type="dxa"/>
            <w:vMerge w:val="continue"/>
            <w:tcBorders>
              <w:tl2br w:val="nil"/>
              <w:tr2bl w:val="nil"/>
            </w:tcBorders>
            <w:vAlign w:val="center"/>
          </w:tcPr>
          <w:p w14:paraId="3F7BD55C">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51FCA73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一键催办</w:t>
            </w:r>
          </w:p>
        </w:tc>
        <w:tc>
          <w:tcPr>
            <w:tcW w:w="6364" w:type="dxa"/>
            <w:gridSpan w:val="2"/>
            <w:tcBorders>
              <w:tl2br w:val="nil"/>
              <w:tr2bl w:val="nil"/>
            </w:tcBorders>
            <w:shd w:val="clear" w:color="auto" w:fill="auto"/>
            <w:vAlign w:val="center"/>
          </w:tcPr>
          <w:p w14:paraId="7D83D142">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为督考中心业务人员提供一键催办功能，对于未按时提交事项反馈的责任单位可发起催办，选择催办单位，填写催办原因、催办时间、完成期限即可，同时提供浙政钉及短信提供功能。</w:t>
            </w:r>
          </w:p>
        </w:tc>
      </w:tr>
      <w:tr w14:paraId="206CF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73049ADC">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651F3993">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79B9215F">
            <w:pPr>
              <w:widowControl/>
              <w:jc w:val="center"/>
              <w:rPr>
                <w:rFonts w:ascii="宋体" w:hAnsi="宋体" w:eastAsia="宋体" w:cs="宋体"/>
                <w:color w:val="auto"/>
                <w:kern w:val="0"/>
                <w:szCs w:val="21"/>
                <w:highlight w:val="none"/>
              </w:rPr>
            </w:pPr>
          </w:p>
        </w:tc>
        <w:tc>
          <w:tcPr>
            <w:tcW w:w="817" w:type="dxa"/>
            <w:vMerge w:val="continue"/>
            <w:tcBorders>
              <w:tl2br w:val="nil"/>
              <w:tr2bl w:val="nil"/>
            </w:tcBorders>
            <w:vAlign w:val="center"/>
          </w:tcPr>
          <w:p w14:paraId="127C7FE5">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1D0D02F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事项预警</w:t>
            </w:r>
          </w:p>
        </w:tc>
        <w:tc>
          <w:tcPr>
            <w:tcW w:w="6364" w:type="dxa"/>
            <w:gridSpan w:val="2"/>
            <w:tcBorders>
              <w:tl2br w:val="nil"/>
              <w:tr2bl w:val="nil"/>
            </w:tcBorders>
            <w:shd w:val="clear" w:color="auto" w:fill="auto"/>
            <w:vAlign w:val="center"/>
          </w:tcPr>
          <w:p w14:paraId="3B6975AF">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系统根据业务制定的预警规则展示民生事项过程中所有预警的信息数据，角色权限不同数据展示内容不同。</w:t>
            </w:r>
          </w:p>
        </w:tc>
      </w:tr>
      <w:tr w14:paraId="27DE6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0E6EC5A3">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150B2230">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025A3750">
            <w:pPr>
              <w:widowControl/>
              <w:jc w:val="center"/>
              <w:rPr>
                <w:rFonts w:ascii="宋体" w:hAnsi="宋体" w:eastAsia="宋体" w:cs="宋体"/>
                <w:color w:val="auto"/>
                <w:kern w:val="0"/>
                <w:szCs w:val="21"/>
                <w:highlight w:val="none"/>
              </w:rPr>
            </w:pPr>
          </w:p>
        </w:tc>
        <w:tc>
          <w:tcPr>
            <w:tcW w:w="817" w:type="dxa"/>
            <w:vMerge w:val="continue"/>
            <w:tcBorders>
              <w:tl2br w:val="nil"/>
              <w:tr2bl w:val="nil"/>
            </w:tcBorders>
            <w:vAlign w:val="center"/>
          </w:tcPr>
          <w:p w14:paraId="15635AC4">
            <w:pPr>
              <w:widowControl/>
              <w:jc w:val="center"/>
              <w:rPr>
                <w:rFonts w:ascii="宋体" w:hAnsi="宋体" w:eastAsia="宋体" w:cs="宋体"/>
                <w:color w:val="auto"/>
                <w:kern w:val="0"/>
                <w:szCs w:val="21"/>
                <w:highlight w:val="none"/>
              </w:rPr>
            </w:pPr>
          </w:p>
        </w:tc>
        <w:tc>
          <w:tcPr>
            <w:tcW w:w="794" w:type="dxa"/>
            <w:tcBorders>
              <w:tl2br w:val="nil"/>
              <w:tr2bl w:val="nil"/>
            </w:tcBorders>
            <w:shd w:val="clear" w:color="auto" w:fill="auto"/>
            <w:vAlign w:val="center"/>
          </w:tcPr>
          <w:p w14:paraId="07AE5DF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事项查询</w:t>
            </w:r>
          </w:p>
        </w:tc>
        <w:tc>
          <w:tcPr>
            <w:tcW w:w="6364" w:type="dxa"/>
            <w:gridSpan w:val="2"/>
            <w:tcBorders>
              <w:tl2br w:val="nil"/>
              <w:tr2bl w:val="nil"/>
            </w:tcBorders>
            <w:shd w:val="clear" w:color="auto" w:fill="auto"/>
            <w:vAlign w:val="center"/>
          </w:tcPr>
          <w:p w14:paraId="28F588E0">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为所有用户提供民生实事事项录入、事项反馈、反馈审核、催办、预警的全流程数据，同时支持民生实事事项的数据导出功能，根据角色权限不同数据展示内容不同。</w:t>
            </w:r>
          </w:p>
        </w:tc>
      </w:tr>
      <w:tr w14:paraId="44B0D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2" w:hRule="atLeast"/>
        </w:trPr>
        <w:tc>
          <w:tcPr>
            <w:tcW w:w="551" w:type="dxa"/>
            <w:vMerge w:val="continue"/>
            <w:tcBorders>
              <w:tl2br w:val="nil"/>
              <w:tr2bl w:val="nil"/>
            </w:tcBorders>
            <w:shd w:val="clear" w:color="auto" w:fill="auto"/>
            <w:vAlign w:val="center"/>
          </w:tcPr>
          <w:p w14:paraId="30871A9F">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21D5C667">
            <w:pPr>
              <w:widowControl/>
              <w:rPr>
                <w:rFonts w:ascii="宋体" w:hAnsi="宋体" w:eastAsia="宋体" w:cs="宋体"/>
                <w:color w:val="auto"/>
                <w:kern w:val="0"/>
                <w:szCs w:val="21"/>
                <w:highlight w:val="none"/>
              </w:rPr>
            </w:pPr>
          </w:p>
        </w:tc>
        <w:tc>
          <w:tcPr>
            <w:tcW w:w="833" w:type="dxa"/>
            <w:vMerge w:val="restart"/>
            <w:tcBorders>
              <w:tl2br w:val="nil"/>
              <w:tr2bl w:val="nil"/>
            </w:tcBorders>
            <w:shd w:val="clear" w:color="auto" w:fill="auto"/>
            <w:vAlign w:val="center"/>
          </w:tcPr>
          <w:p w14:paraId="137DCBD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集成业务应用</w:t>
            </w:r>
          </w:p>
        </w:tc>
        <w:tc>
          <w:tcPr>
            <w:tcW w:w="1611" w:type="dxa"/>
            <w:gridSpan w:val="2"/>
            <w:tcBorders>
              <w:tl2br w:val="nil"/>
              <w:tr2bl w:val="nil"/>
            </w:tcBorders>
            <w:shd w:val="clear" w:color="auto" w:fill="auto"/>
            <w:vAlign w:val="center"/>
          </w:tcPr>
          <w:p w14:paraId="5B65A06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建议提案</w:t>
            </w:r>
          </w:p>
        </w:tc>
        <w:tc>
          <w:tcPr>
            <w:tcW w:w="6364" w:type="dxa"/>
            <w:gridSpan w:val="2"/>
            <w:tcBorders>
              <w:tl2br w:val="nil"/>
              <w:tr2bl w:val="nil"/>
            </w:tcBorders>
            <w:shd w:val="clear" w:color="auto" w:fill="auto"/>
            <w:vAlign w:val="center"/>
          </w:tcPr>
          <w:p w14:paraId="350178D1">
            <w:pPr>
              <w:widowControl/>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集成数据</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链接鄞州区政务协同办公平台系统建议提案模块</w:t>
            </w:r>
            <w:r>
              <w:rPr>
                <w:rFonts w:hint="eastAsia" w:ascii="宋体" w:hAnsi="宋体" w:eastAsia="宋体" w:cs="宋体"/>
                <w:color w:val="auto"/>
                <w:kern w:val="0"/>
                <w:szCs w:val="21"/>
                <w:highlight w:val="none"/>
                <w:lang w:eastAsia="zh-CN"/>
              </w:rPr>
              <w:t>。</w:t>
            </w:r>
          </w:p>
        </w:tc>
      </w:tr>
      <w:tr w14:paraId="6EF08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6" w:hRule="atLeast"/>
        </w:trPr>
        <w:tc>
          <w:tcPr>
            <w:tcW w:w="551" w:type="dxa"/>
            <w:vMerge w:val="continue"/>
            <w:tcBorders>
              <w:tl2br w:val="nil"/>
              <w:tr2bl w:val="nil"/>
            </w:tcBorders>
            <w:shd w:val="clear" w:color="auto" w:fill="auto"/>
            <w:vAlign w:val="center"/>
          </w:tcPr>
          <w:p w14:paraId="635DF3DF">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7C41E7B1">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19272D5F">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25E173E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鄞擂台</w:t>
            </w:r>
          </w:p>
        </w:tc>
        <w:tc>
          <w:tcPr>
            <w:tcW w:w="6364" w:type="dxa"/>
            <w:gridSpan w:val="2"/>
            <w:tcBorders>
              <w:tl2br w:val="nil"/>
              <w:tr2bl w:val="nil"/>
            </w:tcBorders>
            <w:shd w:val="clear" w:color="auto" w:fill="auto"/>
            <w:vAlign w:val="center"/>
          </w:tcPr>
          <w:p w14:paraId="30734749">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集成数据，链接鄞擂台系统。</w:t>
            </w:r>
          </w:p>
        </w:tc>
      </w:tr>
      <w:tr w14:paraId="5B7B7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691D38FA">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167AFFD7">
            <w:pPr>
              <w:widowControl/>
              <w:rPr>
                <w:rFonts w:ascii="宋体" w:hAnsi="宋体" w:eastAsia="宋体" w:cs="宋体"/>
                <w:color w:val="auto"/>
                <w:kern w:val="0"/>
                <w:szCs w:val="21"/>
                <w:highlight w:val="none"/>
              </w:rPr>
            </w:pPr>
          </w:p>
        </w:tc>
        <w:tc>
          <w:tcPr>
            <w:tcW w:w="833" w:type="dxa"/>
            <w:vMerge w:val="restart"/>
            <w:tcBorders>
              <w:tl2br w:val="nil"/>
              <w:tr2bl w:val="nil"/>
            </w:tcBorders>
            <w:vAlign w:val="center"/>
          </w:tcPr>
          <w:p w14:paraId="1837D65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督考先锋</w:t>
            </w:r>
          </w:p>
        </w:tc>
        <w:tc>
          <w:tcPr>
            <w:tcW w:w="1611" w:type="dxa"/>
            <w:gridSpan w:val="2"/>
            <w:tcBorders>
              <w:tl2br w:val="nil"/>
              <w:tr2bl w:val="nil"/>
            </w:tcBorders>
            <w:shd w:val="clear" w:color="auto" w:fill="auto"/>
            <w:vAlign w:val="center"/>
          </w:tcPr>
          <w:p w14:paraId="13FA6F4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值班安排</w:t>
            </w:r>
          </w:p>
        </w:tc>
        <w:tc>
          <w:tcPr>
            <w:tcW w:w="6364" w:type="dxa"/>
            <w:gridSpan w:val="2"/>
            <w:tcBorders>
              <w:tl2br w:val="nil"/>
              <w:tr2bl w:val="nil"/>
            </w:tcBorders>
            <w:shd w:val="clear" w:color="auto" w:fill="auto"/>
            <w:vAlign w:val="center"/>
          </w:tcPr>
          <w:p w14:paraId="2DF59796">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用于督考中心值班安排的新建、编辑、删除、发布等操作，同时具备值班提醒、查看等功能。包括值班时间、选择值班人员、根据值班人员自动带出联系电话、填写值班要求，生成值班表等。</w:t>
            </w:r>
          </w:p>
        </w:tc>
      </w:tr>
      <w:tr w14:paraId="0A7AB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2" w:hRule="atLeast"/>
        </w:trPr>
        <w:tc>
          <w:tcPr>
            <w:tcW w:w="551" w:type="dxa"/>
            <w:vMerge w:val="continue"/>
            <w:tcBorders>
              <w:tl2br w:val="nil"/>
              <w:tr2bl w:val="nil"/>
            </w:tcBorders>
            <w:shd w:val="clear" w:color="auto" w:fill="auto"/>
            <w:vAlign w:val="center"/>
          </w:tcPr>
          <w:p w14:paraId="152C825B">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54F610DC">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39FE9286">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182F64B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科室总结</w:t>
            </w:r>
          </w:p>
        </w:tc>
        <w:tc>
          <w:tcPr>
            <w:tcW w:w="6364" w:type="dxa"/>
            <w:gridSpan w:val="2"/>
            <w:tcBorders>
              <w:tl2br w:val="nil"/>
              <w:tr2bl w:val="nil"/>
            </w:tcBorders>
            <w:shd w:val="clear" w:color="auto" w:fill="auto"/>
            <w:vAlign w:val="center"/>
          </w:tcPr>
          <w:p w14:paraId="017BDC3B">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用于督考中心的各科室总结上传和查看。包含个人总结、重点工作小结等类型的总结报告，同时支持总结报告的上传、编辑、删除、发送等功能。</w:t>
            </w:r>
          </w:p>
        </w:tc>
      </w:tr>
      <w:tr w14:paraId="1F9F5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15B4ED8E">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0FD204EB">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5DF6D395">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5B737E6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中心制度文件</w:t>
            </w:r>
          </w:p>
        </w:tc>
        <w:tc>
          <w:tcPr>
            <w:tcW w:w="6364" w:type="dxa"/>
            <w:gridSpan w:val="2"/>
            <w:tcBorders>
              <w:tl2br w:val="nil"/>
              <w:tr2bl w:val="nil"/>
            </w:tcBorders>
            <w:shd w:val="clear" w:color="auto" w:fill="auto"/>
            <w:vAlign w:val="center"/>
          </w:tcPr>
          <w:p w14:paraId="4A06CFE9">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用于督考中心制度文件上传、编辑、删除、发布、领导批阅、传阅及设置每日待阅文件提醒功能。支持</w:t>
            </w:r>
            <w:r>
              <w:rPr>
                <w:rFonts w:ascii="宋体" w:hAnsi="宋体" w:eastAsia="宋体" w:cs="宋体"/>
                <w:color w:val="auto"/>
                <w:kern w:val="0"/>
                <w:szCs w:val="21"/>
                <w:highlight w:val="none"/>
              </w:rPr>
              <w:t>word、Excel、PDF、JPG、PNG等多种格式，同时支持在线预览。</w:t>
            </w:r>
          </w:p>
        </w:tc>
      </w:tr>
      <w:tr w14:paraId="031E2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5" w:hRule="atLeast"/>
        </w:trPr>
        <w:tc>
          <w:tcPr>
            <w:tcW w:w="551" w:type="dxa"/>
            <w:vMerge w:val="continue"/>
            <w:tcBorders>
              <w:tl2br w:val="nil"/>
              <w:tr2bl w:val="nil"/>
            </w:tcBorders>
            <w:shd w:val="clear" w:color="auto" w:fill="auto"/>
            <w:vAlign w:val="center"/>
          </w:tcPr>
          <w:p w14:paraId="186F1C83">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204F2E34">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133108E7">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4703BF3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会议要点</w:t>
            </w:r>
          </w:p>
        </w:tc>
        <w:tc>
          <w:tcPr>
            <w:tcW w:w="6364" w:type="dxa"/>
            <w:gridSpan w:val="2"/>
            <w:tcBorders>
              <w:tl2br w:val="nil"/>
              <w:tr2bl w:val="nil"/>
            </w:tcBorders>
            <w:shd w:val="clear" w:color="auto" w:fill="auto"/>
            <w:vAlign w:val="center"/>
          </w:tcPr>
          <w:p w14:paraId="064E3E91">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对督考中心开展的工作协调会、沟通情况会等议事会议进行记录，支持上传、编辑、删除、发布等操作同时实现会议任务派单、任务反馈功能。</w:t>
            </w:r>
          </w:p>
        </w:tc>
      </w:tr>
      <w:tr w14:paraId="1BC0E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3" w:hRule="atLeast"/>
        </w:trPr>
        <w:tc>
          <w:tcPr>
            <w:tcW w:w="551" w:type="dxa"/>
            <w:vMerge w:val="continue"/>
            <w:tcBorders>
              <w:tl2br w:val="nil"/>
              <w:tr2bl w:val="nil"/>
            </w:tcBorders>
            <w:shd w:val="clear" w:color="auto" w:fill="auto"/>
            <w:vAlign w:val="center"/>
          </w:tcPr>
          <w:p w14:paraId="26F132C3">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75C2707A">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407EDC0D">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76915AF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请休假</w:t>
            </w:r>
          </w:p>
        </w:tc>
        <w:tc>
          <w:tcPr>
            <w:tcW w:w="6364" w:type="dxa"/>
            <w:gridSpan w:val="2"/>
            <w:tcBorders>
              <w:tl2br w:val="nil"/>
              <w:tr2bl w:val="nil"/>
            </w:tcBorders>
            <w:shd w:val="clear" w:color="auto" w:fill="auto"/>
            <w:vAlign w:val="center"/>
          </w:tcPr>
          <w:p w14:paraId="5F4641C5">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提供请休假的申请、审批流程和数据导出功能。</w:t>
            </w:r>
          </w:p>
          <w:p w14:paraId="5F737D3C">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申请：根据人员信息带出科室，选择请假类别、请假时间。</w:t>
            </w:r>
          </w:p>
          <w:p w14:paraId="590D09D7">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审批：三天以下的分管领导审批即可，三天及以上的分管领导审批后需中心领导审核，审核分为审核通过和审核回退。</w:t>
            </w:r>
          </w:p>
          <w:p w14:paraId="08B2E25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数据导出：提供请休假导出功能，可按科室、人员、时间等维度进行导出。</w:t>
            </w:r>
          </w:p>
        </w:tc>
      </w:tr>
      <w:tr w14:paraId="70952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3" w:hRule="atLeast"/>
        </w:trPr>
        <w:tc>
          <w:tcPr>
            <w:tcW w:w="551" w:type="dxa"/>
            <w:vMerge w:val="continue"/>
            <w:tcBorders>
              <w:tl2br w:val="nil"/>
              <w:tr2bl w:val="nil"/>
            </w:tcBorders>
            <w:shd w:val="clear" w:color="auto" w:fill="auto"/>
            <w:vAlign w:val="center"/>
          </w:tcPr>
          <w:p w14:paraId="39DD5C7B">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11656FD6">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00CD13FC">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2FEFBC6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会议签到</w:t>
            </w:r>
          </w:p>
        </w:tc>
        <w:tc>
          <w:tcPr>
            <w:tcW w:w="6364" w:type="dxa"/>
            <w:gridSpan w:val="2"/>
            <w:tcBorders>
              <w:tl2br w:val="nil"/>
              <w:tr2bl w:val="nil"/>
            </w:tcBorders>
            <w:shd w:val="clear" w:color="auto" w:fill="auto"/>
            <w:vAlign w:val="center"/>
          </w:tcPr>
          <w:p w14:paraId="6BF64125">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提供中心会议发布、签到及签到表导出功能</w:t>
            </w:r>
          </w:p>
          <w:p w14:paraId="59CA6FA6">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会议发布：填写会议名称、参会人员、会议时间。</w:t>
            </w:r>
          </w:p>
          <w:p w14:paraId="6ACA8707">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会议签到：参会人员在浙政钉移动端可进行签到。</w:t>
            </w:r>
          </w:p>
          <w:p w14:paraId="1EA4538D">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签到表导出：提供签到表的导出功能，包含会议名称、参会人员、科室、签到时间。</w:t>
            </w:r>
          </w:p>
        </w:tc>
      </w:tr>
      <w:tr w14:paraId="2402A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3" w:hRule="atLeast"/>
        </w:trPr>
        <w:tc>
          <w:tcPr>
            <w:tcW w:w="551" w:type="dxa"/>
            <w:vMerge w:val="continue"/>
            <w:tcBorders>
              <w:tl2br w:val="nil"/>
              <w:tr2bl w:val="nil"/>
            </w:tcBorders>
            <w:shd w:val="clear" w:color="auto" w:fill="auto"/>
            <w:vAlign w:val="center"/>
          </w:tcPr>
          <w:p w14:paraId="1E2260F6">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03BE0E5B">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3BF40DD2">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001E5F8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加班管理</w:t>
            </w:r>
          </w:p>
        </w:tc>
        <w:tc>
          <w:tcPr>
            <w:tcW w:w="6364" w:type="dxa"/>
            <w:gridSpan w:val="2"/>
            <w:tcBorders>
              <w:tl2br w:val="nil"/>
              <w:tr2bl w:val="nil"/>
            </w:tcBorders>
            <w:shd w:val="clear" w:color="auto" w:fill="auto"/>
            <w:vAlign w:val="center"/>
          </w:tcPr>
          <w:p w14:paraId="5E824A27">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提供加班新建、查看及数据导出功能。</w:t>
            </w:r>
          </w:p>
        </w:tc>
      </w:tr>
      <w:tr w14:paraId="2CF9D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3" w:hRule="atLeast"/>
        </w:trPr>
        <w:tc>
          <w:tcPr>
            <w:tcW w:w="551" w:type="dxa"/>
            <w:vMerge w:val="continue"/>
            <w:tcBorders>
              <w:tl2br w:val="nil"/>
              <w:tr2bl w:val="nil"/>
            </w:tcBorders>
            <w:shd w:val="clear" w:color="auto" w:fill="auto"/>
            <w:vAlign w:val="center"/>
          </w:tcPr>
          <w:p w14:paraId="2E5CF610">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6D13C600">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4FB2C9E6">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416C532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人员维护</w:t>
            </w:r>
          </w:p>
        </w:tc>
        <w:tc>
          <w:tcPr>
            <w:tcW w:w="6364" w:type="dxa"/>
            <w:gridSpan w:val="2"/>
            <w:tcBorders>
              <w:tl2br w:val="nil"/>
              <w:tr2bl w:val="nil"/>
            </w:tcBorders>
            <w:shd w:val="clear" w:color="auto" w:fill="auto"/>
            <w:vAlign w:val="center"/>
          </w:tcPr>
          <w:p w14:paraId="54E7B84E">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对中心人员的信息提供新增、编辑、删除功能</w:t>
            </w:r>
          </w:p>
        </w:tc>
      </w:tr>
      <w:tr w14:paraId="5AC0A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restart"/>
            <w:tcBorders>
              <w:tl2br w:val="nil"/>
              <w:tr2bl w:val="nil"/>
            </w:tcBorders>
            <w:shd w:val="clear" w:color="auto" w:fill="auto"/>
            <w:vAlign w:val="center"/>
          </w:tcPr>
          <w:p w14:paraId="46C04116">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517" w:type="dxa"/>
            <w:vMerge w:val="restart"/>
            <w:tcBorders>
              <w:tl2br w:val="nil"/>
              <w:tr2bl w:val="nil"/>
            </w:tcBorders>
            <w:shd w:val="clear" w:color="auto" w:fill="auto"/>
            <w:vAlign w:val="center"/>
          </w:tcPr>
          <w:p w14:paraId="67C9DBF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浙政钉移动端</w:t>
            </w:r>
          </w:p>
        </w:tc>
        <w:tc>
          <w:tcPr>
            <w:tcW w:w="2444" w:type="dxa"/>
            <w:gridSpan w:val="3"/>
            <w:tcBorders>
              <w:tl2br w:val="nil"/>
              <w:tr2bl w:val="nil"/>
            </w:tcBorders>
            <w:shd w:val="clear" w:color="auto" w:fill="auto"/>
            <w:vAlign w:val="center"/>
          </w:tcPr>
          <w:p w14:paraId="7F1B03D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移动端首页</w:t>
            </w:r>
          </w:p>
        </w:tc>
        <w:tc>
          <w:tcPr>
            <w:tcW w:w="6364" w:type="dxa"/>
            <w:gridSpan w:val="2"/>
            <w:tcBorders>
              <w:tl2br w:val="nil"/>
              <w:tr2bl w:val="nil"/>
            </w:tcBorders>
            <w:shd w:val="clear" w:color="auto" w:fill="auto"/>
            <w:vAlign w:val="center"/>
          </w:tcPr>
          <w:p w14:paraId="450A9F5E">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移动端首页分为待办事项、业务应用概览、考评指标监测和通知公告等内容。</w:t>
            </w:r>
          </w:p>
        </w:tc>
      </w:tr>
      <w:tr w14:paraId="343E3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3B480F2E">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077CCCF8">
            <w:pPr>
              <w:widowControl/>
              <w:rPr>
                <w:rFonts w:ascii="宋体" w:hAnsi="宋体" w:eastAsia="宋体" w:cs="宋体"/>
                <w:color w:val="auto"/>
                <w:kern w:val="0"/>
                <w:szCs w:val="21"/>
                <w:highlight w:val="none"/>
              </w:rPr>
            </w:pPr>
          </w:p>
        </w:tc>
        <w:tc>
          <w:tcPr>
            <w:tcW w:w="833" w:type="dxa"/>
            <w:vMerge w:val="restart"/>
            <w:tcBorders>
              <w:tl2br w:val="nil"/>
              <w:tr2bl w:val="nil"/>
            </w:tcBorders>
            <w:shd w:val="clear" w:color="auto" w:fill="auto"/>
            <w:vAlign w:val="center"/>
          </w:tcPr>
          <w:p w14:paraId="76CA96D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业务应用</w:t>
            </w:r>
          </w:p>
        </w:tc>
        <w:tc>
          <w:tcPr>
            <w:tcW w:w="1611" w:type="dxa"/>
            <w:gridSpan w:val="2"/>
            <w:tcBorders>
              <w:tl2br w:val="nil"/>
              <w:tr2bl w:val="nil"/>
            </w:tcBorders>
            <w:shd w:val="clear" w:color="auto" w:fill="auto"/>
            <w:vAlign w:val="center"/>
          </w:tcPr>
          <w:p w14:paraId="3AD72F6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领导批示</w:t>
            </w:r>
          </w:p>
        </w:tc>
        <w:tc>
          <w:tcPr>
            <w:tcW w:w="6364" w:type="dxa"/>
            <w:gridSpan w:val="2"/>
            <w:tcBorders>
              <w:tl2br w:val="nil"/>
              <w:tr2bl w:val="nil"/>
            </w:tcBorders>
            <w:shd w:val="clear" w:color="auto" w:fill="auto"/>
            <w:vAlign w:val="center"/>
          </w:tcPr>
          <w:p w14:paraId="53CF7756">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领导批示移动端页面分为任务总览、任务列表、办件量排名、评分排名。</w:t>
            </w:r>
          </w:p>
        </w:tc>
      </w:tr>
      <w:tr w14:paraId="27F08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8" w:hRule="atLeast"/>
        </w:trPr>
        <w:tc>
          <w:tcPr>
            <w:tcW w:w="551" w:type="dxa"/>
            <w:vMerge w:val="continue"/>
            <w:tcBorders>
              <w:tl2br w:val="nil"/>
              <w:tr2bl w:val="nil"/>
            </w:tcBorders>
            <w:shd w:val="clear" w:color="auto" w:fill="auto"/>
            <w:vAlign w:val="center"/>
          </w:tcPr>
          <w:p w14:paraId="75B9832F">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2829BE66">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2E2F8F62">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688A4B5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决策督查</w:t>
            </w:r>
          </w:p>
        </w:tc>
        <w:tc>
          <w:tcPr>
            <w:tcW w:w="6364" w:type="dxa"/>
            <w:gridSpan w:val="2"/>
            <w:tcBorders>
              <w:tl2br w:val="nil"/>
              <w:tr2bl w:val="nil"/>
            </w:tcBorders>
            <w:shd w:val="clear" w:color="auto" w:fill="auto"/>
            <w:vAlign w:val="center"/>
          </w:tcPr>
          <w:p w14:paraId="5DA5CD9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决策督查移动端页面分为任务总览、任务列表、办件量排名、评分排名。</w:t>
            </w:r>
          </w:p>
        </w:tc>
      </w:tr>
      <w:tr w14:paraId="3920C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422E1D69">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11030CBD">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16500839">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3DE392F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专项督查</w:t>
            </w:r>
          </w:p>
        </w:tc>
        <w:tc>
          <w:tcPr>
            <w:tcW w:w="6364" w:type="dxa"/>
            <w:gridSpan w:val="2"/>
            <w:tcBorders>
              <w:tl2br w:val="nil"/>
              <w:tr2bl w:val="nil"/>
            </w:tcBorders>
            <w:shd w:val="clear" w:color="auto" w:fill="auto"/>
            <w:vAlign w:val="center"/>
          </w:tcPr>
          <w:p w14:paraId="269E0AC4">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专项督查移动端页面分为任务总览、任务列表、办件量排名、评分排名。</w:t>
            </w:r>
          </w:p>
        </w:tc>
      </w:tr>
      <w:tr w14:paraId="10ACB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279BA204">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560B8D05">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4FC1F49F">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4527097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督考一体化全生命周期管理</w:t>
            </w:r>
          </w:p>
        </w:tc>
        <w:tc>
          <w:tcPr>
            <w:tcW w:w="6364" w:type="dxa"/>
            <w:gridSpan w:val="2"/>
            <w:tcBorders>
              <w:tl2br w:val="nil"/>
              <w:tr2bl w:val="nil"/>
            </w:tcBorders>
            <w:shd w:val="clear" w:color="auto" w:fill="auto"/>
            <w:vAlign w:val="center"/>
          </w:tcPr>
          <w:p w14:paraId="7EA5FFA1">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督考一体化全生命周期管理移动端页面分为任务总览、任务列表、办件量排名、评分排名。</w:t>
            </w:r>
          </w:p>
        </w:tc>
      </w:tr>
      <w:tr w14:paraId="2DAC0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4AEB8C6B">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0B29D75F">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2E6328D9">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7474D2C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综合考核</w:t>
            </w:r>
          </w:p>
        </w:tc>
        <w:tc>
          <w:tcPr>
            <w:tcW w:w="6364" w:type="dxa"/>
            <w:gridSpan w:val="2"/>
            <w:tcBorders>
              <w:tl2br w:val="nil"/>
              <w:tr2bl w:val="nil"/>
            </w:tcBorders>
            <w:shd w:val="clear" w:color="auto" w:fill="auto"/>
            <w:vAlign w:val="center"/>
          </w:tcPr>
          <w:p w14:paraId="619A7324">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为实现时时查看考评代办事项，跟进考评进度，提供查看功能。</w:t>
            </w:r>
          </w:p>
        </w:tc>
      </w:tr>
      <w:tr w14:paraId="4933F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2" w:hRule="atLeast"/>
        </w:trPr>
        <w:tc>
          <w:tcPr>
            <w:tcW w:w="551" w:type="dxa"/>
            <w:vMerge w:val="continue"/>
            <w:tcBorders>
              <w:tl2br w:val="nil"/>
              <w:tr2bl w:val="nil"/>
            </w:tcBorders>
            <w:shd w:val="clear" w:color="auto" w:fill="auto"/>
            <w:vAlign w:val="center"/>
          </w:tcPr>
          <w:p w14:paraId="4EC3A956">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3D9AD75B">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7B0C682B">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3050C2A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建议提案</w:t>
            </w:r>
          </w:p>
        </w:tc>
        <w:tc>
          <w:tcPr>
            <w:tcW w:w="6364" w:type="dxa"/>
            <w:gridSpan w:val="2"/>
            <w:tcBorders>
              <w:tl2br w:val="nil"/>
              <w:tr2bl w:val="nil"/>
            </w:tcBorders>
            <w:shd w:val="clear" w:color="auto" w:fill="auto"/>
            <w:vAlign w:val="center"/>
          </w:tcPr>
          <w:p w14:paraId="6F3E4D72">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建议提案分为人大建议和政协提案。</w:t>
            </w:r>
          </w:p>
        </w:tc>
      </w:tr>
      <w:tr w14:paraId="088E1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0" w:hRule="atLeast"/>
        </w:trPr>
        <w:tc>
          <w:tcPr>
            <w:tcW w:w="551" w:type="dxa"/>
            <w:vMerge w:val="continue"/>
            <w:tcBorders>
              <w:tl2br w:val="nil"/>
              <w:tr2bl w:val="nil"/>
            </w:tcBorders>
            <w:shd w:val="clear" w:color="auto" w:fill="auto"/>
            <w:vAlign w:val="center"/>
          </w:tcPr>
          <w:p w14:paraId="11CD2757">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6E3669EE">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4493A121">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624545F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民生实事</w:t>
            </w:r>
          </w:p>
        </w:tc>
        <w:tc>
          <w:tcPr>
            <w:tcW w:w="6364" w:type="dxa"/>
            <w:gridSpan w:val="2"/>
            <w:tcBorders>
              <w:tl2br w:val="nil"/>
              <w:tr2bl w:val="nil"/>
            </w:tcBorders>
            <w:shd w:val="clear" w:color="auto" w:fill="auto"/>
            <w:vAlign w:val="center"/>
          </w:tcPr>
          <w:p w14:paraId="4264AA0E">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展示省、市、区民生实事完成情况，绿色表示完成率≥90%，黄色表示66.67%-90%，红色表示小于66.67%，展示项目数、实施进度、完成率和好评率。</w:t>
            </w:r>
          </w:p>
        </w:tc>
      </w:tr>
      <w:tr w14:paraId="4C958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18A30AC7">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7079B69C">
            <w:pPr>
              <w:widowControl/>
              <w:rPr>
                <w:rFonts w:ascii="宋体" w:hAnsi="宋体" w:eastAsia="宋体" w:cs="宋体"/>
                <w:color w:val="auto"/>
                <w:kern w:val="0"/>
                <w:szCs w:val="21"/>
                <w:highlight w:val="none"/>
              </w:rPr>
            </w:pPr>
          </w:p>
        </w:tc>
        <w:tc>
          <w:tcPr>
            <w:tcW w:w="833" w:type="dxa"/>
            <w:vMerge w:val="continue"/>
            <w:tcBorders>
              <w:tl2br w:val="nil"/>
              <w:tr2bl w:val="nil"/>
            </w:tcBorders>
            <w:vAlign w:val="center"/>
          </w:tcPr>
          <w:p w14:paraId="597DD117">
            <w:pPr>
              <w:widowControl/>
              <w:jc w:val="center"/>
              <w:rPr>
                <w:rFonts w:ascii="宋体" w:hAnsi="宋体" w:eastAsia="宋体" w:cs="宋体"/>
                <w:color w:val="auto"/>
                <w:kern w:val="0"/>
                <w:szCs w:val="21"/>
                <w:highlight w:val="none"/>
              </w:rPr>
            </w:pPr>
          </w:p>
        </w:tc>
        <w:tc>
          <w:tcPr>
            <w:tcW w:w="1611" w:type="dxa"/>
            <w:gridSpan w:val="2"/>
            <w:tcBorders>
              <w:tl2br w:val="nil"/>
              <w:tr2bl w:val="nil"/>
            </w:tcBorders>
            <w:shd w:val="clear" w:color="auto" w:fill="auto"/>
            <w:vAlign w:val="center"/>
          </w:tcPr>
          <w:p w14:paraId="5559D94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七张问题清单</w:t>
            </w:r>
          </w:p>
        </w:tc>
        <w:tc>
          <w:tcPr>
            <w:tcW w:w="6364" w:type="dxa"/>
            <w:gridSpan w:val="2"/>
            <w:tcBorders>
              <w:tl2br w:val="nil"/>
              <w:tr2bl w:val="nil"/>
            </w:tcBorders>
            <w:shd w:val="clear" w:color="auto" w:fill="auto"/>
            <w:vAlign w:val="center"/>
          </w:tcPr>
          <w:p w14:paraId="0AE94F07">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根据七张问题清单类型、问题发生地区、媒体曝光层级和媒体曝光视频进行展示。</w:t>
            </w:r>
          </w:p>
        </w:tc>
      </w:tr>
      <w:tr w14:paraId="69685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12189738">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04FD06B2">
            <w:pPr>
              <w:widowControl/>
              <w:rPr>
                <w:rFonts w:ascii="宋体" w:hAnsi="宋体" w:eastAsia="宋体" w:cs="宋体"/>
                <w:color w:val="auto"/>
                <w:kern w:val="0"/>
                <w:szCs w:val="21"/>
                <w:highlight w:val="none"/>
              </w:rPr>
            </w:pPr>
          </w:p>
        </w:tc>
        <w:tc>
          <w:tcPr>
            <w:tcW w:w="2444" w:type="dxa"/>
            <w:gridSpan w:val="3"/>
            <w:tcBorders>
              <w:tl2br w:val="nil"/>
              <w:tr2bl w:val="nil"/>
            </w:tcBorders>
            <w:shd w:val="clear" w:color="auto" w:fill="auto"/>
            <w:vAlign w:val="center"/>
          </w:tcPr>
          <w:p w14:paraId="6B3CE1D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待办事项查看</w:t>
            </w:r>
          </w:p>
        </w:tc>
        <w:tc>
          <w:tcPr>
            <w:tcW w:w="6364" w:type="dxa"/>
            <w:gridSpan w:val="2"/>
            <w:tcBorders>
              <w:tl2br w:val="nil"/>
              <w:tr2bl w:val="nil"/>
            </w:tcBorders>
            <w:shd w:val="clear" w:color="auto" w:fill="auto"/>
            <w:vAlign w:val="center"/>
          </w:tcPr>
          <w:p w14:paraId="4925F85C">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按照任务名称、任务类型、牵头部门、任务状态等多个维度进行查看和过滤，使用户能够更好地了解任务的情况。</w:t>
            </w:r>
          </w:p>
        </w:tc>
      </w:tr>
      <w:tr w14:paraId="18295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32" w:hRule="atLeast"/>
        </w:trPr>
        <w:tc>
          <w:tcPr>
            <w:tcW w:w="551" w:type="dxa"/>
            <w:vMerge w:val="continue"/>
            <w:tcBorders>
              <w:tl2br w:val="nil"/>
              <w:tr2bl w:val="nil"/>
            </w:tcBorders>
            <w:shd w:val="clear" w:color="auto" w:fill="auto"/>
            <w:vAlign w:val="center"/>
          </w:tcPr>
          <w:p w14:paraId="12367FA4">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75449DD9">
            <w:pPr>
              <w:widowControl/>
              <w:rPr>
                <w:rFonts w:ascii="宋体" w:hAnsi="宋体" w:eastAsia="宋体" w:cs="宋体"/>
                <w:color w:val="auto"/>
                <w:kern w:val="0"/>
                <w:szCs w:val="21"/>
                <w:highlight w:val="none"/>
              </w:rPr>
            </w:pPr>
          </w:p>
        </w:tc>
        <w:tc>
          <w:tcPr>
            <w:tcW w:w="2444" w:type="dxa"/>
            <w:gridSpan w:val="3"/>
            <w:tcBorders>
              <w:tl2br w:val="nil"/>
              <w:tr2bl w:val="nil"/>
            </w:tcBorders>
            <w:shd w:val="clear" w:color="auto" w:fill="auto"/>
            <w:vAlign w:val="center"/>
          </w:tcPr>
          <w:p w14:paraId="322E22C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任务进展审核</w:t>
            </w:r>
          </w:p>
        </w:tc>
        <w:tc>
          <w:tcPr>
            <w:tcW w:w="6364" w:type="dxa"/>
            <w:gridSpan w:val="2"/>
            <w:tcBorders>
              <w:tl2br w:val="nil"/>
              <w:tr2bl w:val="nil"/>
            </w:tcBorders>
            <w:shd w:val="clear" w:color="auto" w:fill="auto"/>
            <w:vAlign w:val="center"/>
          </w:tcPr>
          <w:p w14:paraId="2DBC4742">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实时更新任务状态和进度，采用可视化的方式展示任务信息，如图表、进度条等，使用户能够直观地了解任务的状态和进度，领导可以随时了解任务的最新情况。</w:t>
            </w:r>
          </w:p>
        </w:tc>
      </w:tr>
      <w:tr w14:paraId="4525B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0F6512C5">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439DA10C">
            <w:pPr>
              <w:widowControl/>
              <w:rPr>
                <w:rFonts w:ascii="宋体" w:hAnsi="宋体" w:eastAsia="宋体" w:cs="宋体"/>
                <w:color w:val="auto"/>
                <w:kern w:val="0"/>
                <w:szCs w:val="21"/>
                <w:highlight w:val="none"/>
              </w:rPr>
            </w:pPr>
          </w:p>
        </w:tc>
        <w:tc>
          <w:tcPr>
            <w:tcW w:w="2444" w:type="dxa"/>
            <w:gridSpan w:val="3"/>
            <w:tcBorders>
              <w:tl2br w:val="nil"/>
              <w:tr2bl w:val="nil"/>
            </w:tcBorders>
            <w:shd w:val="clear" w:color="auto" w:fill="auto"/>
            <w:vAlign w:val="center"/>
          </w:tcPr>
          <w:p w14:paraId="1396147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预警提醒接收</w:t>
            </w:r>
          </w:p>
        </w:tc>
        <w:tc>
          <w:tcPr>
            <w:tcW w:w="6364" w:type="dxa"/>
            <w:gridSpan w:val="2"/>
            <w:tcBorders>
              <w:tl2br w:val="nil"/>
              <w:tr2bl w:val="nil"/>
            </w:tcBorders>
            <w:shd w:val="clear" w:color="auto" w:fill="auto"/>
            <w:vAlign w:val="center"/>
          </w:tcPr>
          <w:p w14:paraId="27B6B302">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系统根据业务制定的预警规则展示督查事项过程中所有预警的信息数据，根据角色权限不同数据展示内容不同。</w:t>
            </w:r>
          </w:p>
        </w:tc>
      </w:tr>
      <w:tr w14:paraId="74C69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551" w:type="dxa"/>
            <w:vMerge w:val="continue"/>
            <w:tcBorders>
              <w:tl2br w:val="nil"/>
              <w:tr2bl w:val="nil"/>
            </w:tcBorders>
            <w:shd w:val="clear" w:color="auto" w:fill="auto"/>
            <w:vAlign w:val="center"/>
          </w:tcPr>
          <w:p w14:paraId="7EB5ED02">
            <w:pPr>
              <w:widowControl/>
              <w:jc w:val="center"/>
              <w:rPr>
                <w:rFonts w:ascii="宋体" w:hAnsi="宋体" w:eastAsia="宋体" w:cs="宋体"/>
                <w:color w:val="auto"/>
                <w:kern w:val="0"/>
                <w:szCs w:val="21"/>
                <w:highlight w:val="none"/>
              </w:rPr>
            </w:pPr>
          </w:p>
        </w:tc>
        <w:tc>
          <w:tcPr>
            <w:tcW w:w="517" w:type="dxa"/>
            <w:vMerge w:val="continue"/>
            <w:tcBorders>
              <w:tl2br w:val="nil"/>
              <w:tr2bl w:val="nil"/>
            </w:tcBorders>
            <w:vAlign w:val="center"/>
          </w:tcPr>
          <w:p w14:paraId="2526059A">
            <w:pPr>
              <w:widowControl/>
              <w:rPr>
                <w:rFonts w:ascii="宋体" w:hAnsi="宋体" w:eastAsia="宋体" w:cs="宋体"/>
                <w:color w:val="auto"/>
                <w:kern w:val="0"/>
                <w:szCs w:val="21"/>
                <w:highlight w:val="none"/>
              </w:rPr>
            </w:pPr>
          </w:p>
        </w:tc>
        <w:tc>
          <w:tcPr>
            <w:tcW w:w="2444" w:type="dxa"/>
            <w:gridSpan w:val="3"/>
            <w:tcBorders>
              <w:tl2br w:val="nil"/>
              <w:tr2bl w:val="nil"/>
            </w:tcBorders>
            <w:shd w:val="clear" w:color="auto" w:fill="auto"/>
            <w:vAlign w:val="center"/>
          </w:tcPr>
          <w:p w14:paraId="219562D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督查任务签收</w:t>
            </w:r>
          </w:p>
        </w:tc>
        <w:tc>
          <w:tcPr>
            <w:tcW w:w="6364" w:type="dxa"/>
            <w:gridSpan w:val="2"/>
            <w:tcBorders>
              <w:tl2br w:val="nil"/>
              <w:tr2bl w:val="nil"/>
            </w:tcBorders>
            <w:shd w:val="clear" w:color="auto" w:fill="auto"/>
            <w:vAlign w:val="center"/>
          </w:tcPr>
          <w:p w14:paraId="7741A261">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实现责任单位对督查任务一键签收、实时追踪办理流程、实时状态更新等功能。</w:t>
            </w:r>
          </w:p>
        </w:tc>
      </w:tr>
    </w:tbl>
    <w:p w14:paraId="3E8FB2CA">
      <w:pPr>
        <w:pStyle w:val="56"/>
        <w:numPr>
          <w:ilvl w:val="0"/>
          <w:numId w:val="0"/>
        </w:numPr>
        <w:rPr>
          <w:rFonts w:hint="default"/>
          <w:color w:val="auto"/>
          <w:highlight w:val="none"/>
          <w:lang w:val="en-US" w:eastAsia="zh-CN"/>
        </w:rPr>
      </w:pPr>
    </w:p>
    <w:p w14:paraId="39D835F2">
      <w:pPr>
        <w:keepNext w:val="0"/>
        <w:keepLines w:val="0"/>
        <w:pageBreakBefore w:val="0"/>
        <w:widowControl w:val="0"/>
        <w:numPr>
          <w:ilvl w:val="0"/>
          <w:numId w:val="0"/>
        </w:numPr>
        <w:wordWrap/>
        <w:topLinePunct w:val="0"/>
        <w:bidi w:val="0"/>
        <w:adjustRightInd w:val="0"/>
        <w:snapToGrid w:val="0"/>
        <w:spacing w:line="360" w:lineRule="auto"/>
        <w:ind w:left="480" w:left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6.2应用支撑系统建设详细技术要求</w:t>
      </w:r>
    </w:p>
    <w:tbl>
      <w:tblPr>
        <w:tblStyle w:val="65"/>
        <w:tblW w:w="5021" w:type="pct"/>
        <w:tblInd w:w="0" w:type="dxa"/>
        <w:tblLayout w:type="fixed"/>
        <w:tblCellMar>
          <w:top w:w="0" w:type="dxa"/>
          <w:left w:w="108" w:type="dxa"/>
          <w:bottom w:w="0" w:type="dxa"/>
          <w:right w:w="108" w:type="dxa"/>
        </w:tblCellMar>
      </w:tblPr>
      <w:tblGrid>
        <w:gridCol w:w="610"/>
        <w:gridCol w:w="636"/>
        <w:gridCol w:w="1290"/>
        <w:gridCol w:w="997"/>
        <w:gridCol w:w="6361"/>
      </w:tblGrid>
      <w:tr w14:paraId="1D5BEA67">
        <w:tblPrEx>
          <w:tblCellMar>
            <w:top w:w="0" w:type="dxa"/>
            <w:left w:w="108" w:type="dxa"/>
            <w:bottom w:w="0" w:type="dxa"/>
            <w:right w:w="108" w:type="dxa"/>
          </w:tblCellMar>
        </w:tblPrEx>
        <w:trPr>
          <w:trHeight w:val="870" w:hRule="atLeast"/>
        </w:trPr>
        <w:tc>
          <w:tcPr>
            <w:tcW w:w="3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C5EF108">
            <w:pPr>
              <w:widowControl/>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476" w:type="pct"/>
            <w:gridSpan w:val="3"/>
            <w:tcBorders>
              <w:top w:val="single" w:color="000000" w:sz="8" w:space="0"/>
              <w:left w:val="nil"/>
              <w:bottom w:val="single" w:color="000000" w:sz="8" w:space="0"/>
              <w:right w:val="single" w:color="000000" w:sz="8" w:space="0"/>
            </w:tcBorders>
            <w:shd w:val="clear" w:color="auto" w:fill="auto"/>
            <w:vAlign w:val="center"/>
          </w:tcPr>
          <w:p w14:paraId="5B0EAA11">
            <w:pPr>
              <w:widowControl/>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功能模块</w:t>
            </w:r>
          </w:p>
        </w:tc>
        <w:tc>
          <w:tcPr>
            <w:tcW w:w="3214" w:type="pct"/>
            <w:tcBorders>
              <w:top w:val="single" w:color="000000" w:sz="8" w:space="0"/>
              <w:left w:val="nil"/>
              <w:bottom w:val="single" w:color="000000" w:sz="8" w:space="0"/>
              <w:right w:val="single" w:color="000000" w:sz="8" w:space="0"/>
            </w:tcBorders>
            <w:shd w:val="clear" w:color="auto" w:fill="auto"/>
            <w:vAlign w:val="center"/>
          </w:tcPr>
          <w:p w14:paraId="0910FC2C">
            <w:pPr>
              <w:widowControl/>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功能描述</w:t>
            </w:r>
          </w:p>
        </w:tc>
      </w:tr>
      <w:tr w14:paraId="255218EE">
        <w:tblPrEx>
          <w:tblCellMar>
            <w:top w:w="0" w:type="dxa"/>
            <w:left w:w="108" w:type="dxa"/>
            <w:bottom w:w="0" w:type="dxa"/>
            <w:right w:w="108" w:type="dxa"/>
          </w:tblCellMar>
        </w:tblPrEx>
        <w:trPr>
          <w:trHeight w:val="115" w:hRule="atLeast"/>
        </w:trPr>
        <w:tc>
          <w:tcPr>
            <w:tcW w:w="308" w:type="pct"/>
            <w:vMerge w:val="restart"/>
            <w:tcBorders>
              <w:left w:val="single" w:color="000000" w:sz="8" w:space="0"/>
              <w:right w:val="single" w:color="000000" w:sz="8" w:space="0"/>
            </w:tcBorders>
            <w:shd w:val="clear" w:color="auto" w:fill="auto"/>
            <w:vAlign w:val="center"/>
          </w:tcPr>
          <w:p w14:paraId="58B6C284">
            <w:pPr>
              <w:widowControl/>
              <w:jc w:val="center"/>
              <w:rPr>
                <w:color w:val="auto"/>
                <w:highlight w:val="none"/>
              </w:rPr>
            </w:pPr>
          </w:p>
        </w:tc>
        <w:tc>
          <w:tcPr>
            <w:tcW w:w="321" w:type="pct"/>
            <w:vMerge w:val="restart"/>
            <w:tcBorders>
              <w:left w:val="nil"/>
              <w:right w:val="single" w:color="000000" w:sz="8" w:space="0"/>
            </w:tcBorders>
            <w:shd w:val="clear" w:color="auto" w:fill="auto"/>
            <w:vAlign w:val="center"/>
          </w:tcPr>
          <w:p w14:paraId="1F9522A8">
            <w:pPr>
              <w:widowControl/>
              <w:jc w:val="center"/>
              <w:rPr>
                <w:color w:val="auto"/>
                <w:highlight w:val="none"/>
              </w:rPr>
            </w:pPr>
          </w:p>
        </w:tc>
        <w:tc>
          <w:tcPr>
            <w:tcW w:w="651" w:type="pct"/>
            <w:vMerge w:val="restart"/>
            <w:tcBorders>
              <w:top w:val="nil"/>
              <w:left w:val="nil"/>
              <w:right w:val="single" w:color="000000" w:sz="8" w:space="0"/>
            </w:tcBorders>
            <w:shd w:val="clear" w:color="auto" w:fill="auto"/>
            <w:vAlign w:val="center"/>
          </w:tcPr>
          <w:p w14:paraId="4FEC74C0">
            <w:pPr>
              <w:widowControl/>
              <w:jc w:val="center"/>
              <w:rPr>
                <w:color w:val="auto"/>
                <w:highlight w:val="none"/>
              </w:rPr>
            </w:pPr>
            <w:r>
              <w:rPr>
                <w:rFonts w:hint="eastAsia"/>
                <w:color w:val="auto"/>
                <w:highlight w:val="none"/>
              </w:rPr>
              <w:t>权限管理</w:t>
            </w:r>
          </w:p>
        </w:tc>
        <w:tc>
          <w:tcPr>
            <w:tcW w:w="503" w:type="pct"/>
            <w:tcBorders>
              <w:top w:val="nil"/>
              <w:left w:val="nil"/>
              <w:bottom w:val="single" w:color="000000" w:sz="8" w:space="0"/>
              <w:right w:val="single" w:color="000000" w:sz="8" w:space="0"/>
            </w:tcBorders>
            <w:shd w:val="clear" w:color="auto" w:fill="auto"/>
            <w:vAlign w:val="center"/>
          </w:tcPr>
          <w:p w14:paraId="25BF0D76">
            <w:pPr>
              <w:widowControl/>
              <w:jc w:val="center"/>
              <w:rPr>
                <w:color w:val="auto"/>
                <w:highlight w:val="none"/>
              </w:rPr>
            </w:pPr>
            <w:r>
              <w:rPr>
                <w:rFonts w:hint="eastAsia"/>
                <w:color w:val="auto"/>
                <w:highlight w:val="none"/>
              </w:rPr>
              <w:t>用户权限管理</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11B89F">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用户权限管理主要用于维护组织机构以及管理维护用户、角色、权限分配等功能。用户权限通过角色赋予，即不同角色拥有不同的功能权限和数据权限，通过给用户分配角色的方式给用户授予不同的权限。</w:t>
            </w:r>
          </w:p>
        </w:tc>
      </w:tr>
      <w:tr w14:paraId="0709741A">
        <w:tblPrEx>
          <w:tblCellMar>
            <w:top w:w="0" w:type="dxa"/>
            <w:left w:w="108" w:type="dxa"/>
            <w:bottom w:w="0" w:type="dxa"/>
            <w:right w:w="108" w:type="dxa"/>
          </w:tblCellMar>
        </w:tblPrEx>
        <w:trPr>
          <w:trHeight w:val="115" w:hRule="atLeast"/>
        </w:trPr>
        <w:tc>
          <w:tcPr>
            <w:tcW w:w="308" w:type="pct"/>
            <w:vMerge w:val="continue"/>
            <w:tcBorders>
              <w:left w:val="single" w:color="000000" w:sz="8" w:space="0"/>
              <w:right w:val="single" w:color="000000" w:sz="8" w:space="0"/>
            </w:tcBorders>
            <w:shd w:val="clear" w:color="auto" w:fill="auto"/>
            <w:vAlign w:val="center"/>
          </w:tcPr>
          <w:p w14:paraId="149D994A">
            <w:pPr>
              <w:widowControl/>
              <w:jc w:val="center"/>
              <w:rPr>
                <w:color w:val="auto"/>
                <w:highlight w:val="none"/>
              </w:rPr>
            </w:pPr>
          </w:p>
        </w:tc>
        <w:tc>
          <w:tcPr>
            <w:tcW w:w="321" w:type="pct"/>
            <w:vMerge w:val="continue"/>
            <w:tcBorders>
              <w:left w:val="nil"/>
              <w:right w:val="single" w:color="000000" w:sz="8" w:space="0"/>
            </w:tcBorders>
            <w:shd w:val="clear" w:color="auto" w:fill="auto"/>
            <w:vAlign w:val="center"/>
          </w:tcPr>
          <w:p w14:paraId="109BD001">
            <w:pPr>
              <w:widowControl/>
              <w:jc w:val="center"/>
              <w:rPr>
                <w:color w:val="auto"/>
                <w:highlight w:val="none"/>
              </w:rPr>
            </w:pPr>
          </w:p>
        </w:tc>
        <w:tc>
          <w:tcPr>
            <w:tcW w:w="651" w:type="pct"/>
            <w:vMerge w:val="continue"/>
            <w:tcBorders>
              <w:left w:val="nil"/>
              <w:right w:val="single" w:color="000000" w:sz="8" w:space="0"/>
            </w:tcBorders>
            <w:shd w:val="clear" w:color="auto" w:fill="auto"/>
            <w:vAlign w:val="center"/>
          </w:tcPr>
          <w:p w14:paraId="1EFA64A6">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045A2D86">
            <w:pPr>
              <w:widowControl/>
              <w:jc w:val="center"/>
              <w:rPr>
                <w:color w:val="auto"/>
                <w:highlight w:val="none"/>
              </w:rPr>
            </w:pPr>
            <w:r>
              <w:rPr>
                <w:rFonts w:hint="eastAsia"/>
                <w:color w:val="auto"/>
                <w:highlight w:val="none"/>
              </w:rPr>
              <w:t>展示权限管理</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41324B1">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综合展示支持到功能级（菜单级）的权限控制以及到面板级的数据权限控制，通过精细化的权限控制来确保数据安全，同时针对不同的人员实现千人千面的页面呈现。</w:t>
            </w:r>
          </w:p>
        </w:tc>
      </w:tr>
      <w:tr w14:paraId="753C5F31">
        <w:tblPrEx>
          <w:tblCellMar>
            <w:top w:w="0" w:type="dxa"/>
            <w:left w:w="108" w:type="dxa"/>
            <w:bottom w:w="0" w:type="dxa"/>
            <w:right w:w="108" w:type="dxa"/>
          </w:tblCellMar>
        </w:tblPrEx>
        <w:trPr>
          <w:trHeight w:val="115" w:hRule="atLeast"/>
        </w:trPr>
        <w:tc>
          <w:tcPr>
            <w:tcW w:w="308" w:type="pct"/>
            <w:vMerge w:val="continue"/>
            <w:tcBorders>
              <w:left w:val="single" w:color="000000" w:sz="8" w:space="0"/>
              <w:right w:val="single" w:color="000000" w:sz="8" w:space="0"/>
            </w:tcBorders>
            <w:shd w:val="clear" w:color="auto" w:fill="auto"/>
            <w:vAlign w:val="center"/>
          </w:tcPr>
          <w:p w14:paraId="53D19A65">
            <w:pPr>
              <w:widowControl/>
              <w:jc w:val="center"/>
              <w:rPr>
                <w:color w:val="auto"/>
                <w:highlight w:val="none"/>
              </w:rPr>
            </w:pPr>
          </w:p>
        </w:tc>
        <w:tc>
          <w:tcPr>
            <w:tcW w:w="321" w:type="pct"/>
            <w:vMerge w:val="continue"/>
            <w:tcBorders>
              <w:left w:val="nil"/>
              <w:right w:val="single" w:color="000000" w:sz="8" w:space="0"/>
            </w:tcBorders>
            <w:shd w:val="clear" w:color="auto" w:fill="auto"/>
            <w:vAlign w:val="center"/>
          </w:tcPr>
          <w:p w14:paraId="7871491A">
            <w:pPr>
              <w:widowControl/>
              <w:jc w:val="center"/>
              <w:rPr>
                <w:color w:val="auto"/>
                <w:highlight w:val="none"/>
              </w:rPr>
            </w:pPr>
          </w:p>
        </w:tc>
        <w:tc>
          <w:tcPr>
            <w:tcW w:w="651" w:type="pct"/>
            <w:vMerge w:val="continue"/>
            <w:tcBorders>
              <w:left w:val="nil"/>
              <w:bottom w:val="single" w:color="000000" w:sz="8" w:space="0"/>
              <w:right w:val="single" w:color="000000" w:sz="8" w:space="0"/>
            </w:tcBorders>
            <w:shd w:val="clear" w:color="auto" w:fill="auto"/>
            <w:vAlign w:val="center"/>
          </w:tcPr>
          <w:p w14:paraId="540D6A27">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6E53E62C">
            <w:pPr>
              <w:widowControl/>
              <w:jc w:val="center"/>
              <w:rPr>
                <w:color w:val="auto"/>
                <w:highlight w:val="none"/>
              </w:rPr>
            </w:pPr>
            <w:r>
              <w:rPr>
                <w:rFonts w:hint="eastAsia"/>
                <w:color w:val="auto"/>
                <w:highlight w:val="none"/>
              </w:rPr>
              <w:t>数据权限管理</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CD09C2A">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给角色选择能够看到的面板，进行数据授权。</w:t>
            </w:r>
          </w:p>
        </w:tc>
      </w:tr>
      <w:tr w14:paraId="3CCC1ED8">
        <w:tblPrEx>
          <w:tblCellMar>
            <w:top w:w="0" w:type="dxa"/>
            <w:left w:w="108" w:type="dxa"/>
            <w:bottom w:w="0" w:type="dxa"/>
            <w:right w:w="108" w:type="dxa"/>
          </w:tblCellMar>
        </w:tblPrEx>
        <w:trPr>
          <w:trHeight w:val="336" w:hRule="atLeast"/>
        </w:trPr>
        <w:tc>
          <w:tcPr>
            <w:tcW w:w="308" w:type="pct"/>
            <w:vMerge w:val="continue"/>
            <w:tcBorders>
              <w:left w:val="single" w:color="000000" w:sz="8" w:space="0"/>
              <w:right w:val="single" w:color="000000" w:sz="8" w:space="0"/>
            </w:tcBorders>
            <w:shd w:val="clear" w:color="auto" w:fill="auto"/>
            <w:vAlign w:val="center"/>
          </w:tcPr>
          <w:p w14:paraId="3C2D6088">
            <w:pPr>
              <w:widowControl/>
              <w:jc w:val="center"/>
              <w:rPr>
                <w:color w:val="auto"/>
                <w:highlight w:val="none"/>
              </w:rPr>
            </w:pPr>
          </w:p>
        </w:tc>
        <w:tc>
          <w:tcPr>
            <w:tcW w:w="321" w:type="pct"/>
            <w:vMerge w:val="continue"/>
            <w:tcBorders>
              <w:left w:val="nil"/>
              <w:right w:val="single" w:color="000000" w:sz="8" w:space="0"/>
            </w:tcBorders>
            <w:shd w:val="clear" w:color="auto" w:fill="auto"/>
            <w:vAlign w:val="center"/>
          </w:tcPr>
          <w:p w14:paraId="011CF8AB">
            <w:pPr>
              <w:widowControl/>
              <w:jc w:val="center"/>
              <w:rPr>
                <w:color w:val="auto"/>
                <w:highlight w:val="none"/>
              </w:rPr>
            </w:pPr>
          </w:p>
        </w:tc>
        <w:tc>
          <w:tcPr>
            <w:tcW w:w="651" w:type="pct"/>
            <w:vMerge w:val="restart"/>
            <w:tcBorders>
              <w:top w:val="nil"/>
              <w:left w:val="nil"/>
              <w:right w:val="single" w:color="000000" w:sz="8" w:space="0"/>
            </w:tcBorders>
            <w:shd w:val="clear" w:color="auto" w:fill="auto"/>
            <w:vAlign w:val="center"/>
          </w:tcPr>
          <w:p w14:paraId="566CF1A7">
            <w:pPr>
              <w:widowControl/>
              <w:jc w:val="center"/>
              <w:rPr>
                <w:color w:val="auto"/>
                <w:highlight w:val="none"/>
              </w:rPr>
            </w:pPr>
            <w:r>
              <w:rPr>
                <w:rFonts w:hint="eastAsia"/>
                <w:color w:val="auto"/>
                <w:highlight w:val="none"/>
              </w:rPr>
              <w:t>统一身份认证</w:t>
            </w:r>
          </w:p>
        </w:tc>
        <w:tc>
          <w:tcPr>
            <w:tcW w:w="503" w:type="pct"/>
            <w:tcBorders>
              <w:top w:val="nil"/>
              <w:left w:val="nil"/>
              <w:bottom w:val="single" w:color="000000" w:sz="8" w:space="0"/>
              <w:right w:val="single" w:color="000000" w:sz="8" w:space="0"/>
            </w:tcBorders>
            <w:shd w:val="clear" w:color="auto" w:fill="auto"/>
            <w:vAlign w:val="center"/>
          </w:tcPr>
          <w:p w14:paraId="206634CA">
            <w:pPr>
              <w:widowControl/>
              <w:jc w:val="center"/>
              <w:rPr>
                <w:color w:val="auto"/>
                <w:highlight w:val="none"/>
              </w:rPr>
            </w:pPr>
            <w:r>
              <w:rPr>
                <w:rFonts w:hint="eastAsia"/>
                <w:color w:val="auto"/>
                <w:highlight w:val="none"/>
              </w:rPr>
              <w:t>统一单点登录</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AAD37F">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Hans"/>
              </w:rPr>
              <w:t>本项目集成了包括领导批示、</w:t>
            </w:r>
            <w:r>
              <w:rPr>
                <w:rFonts w:hint="eastAsia" w:ascii="宋体" w:hAnsi="宋体" w:eastAsia="宋体" w:cs="宋体"/>
                <w:color w:val="auto"/>
                <w:kern w:val="0"/>
                <w:szCs w:val="21"/>
                <w:highlight w:val="none"/>
              </w:rPr>
              <w:t>决策督查、专项督查、综合考核等</w:t>
            </w:r>
            <w:r>
              <w:rPr>
                <w:rFonts w:hint="eastAsia" w:ascii="宋体" w:hAnsi="宋体" w:cs="宋体"/>
                <w:color w:val="auto"/>
                <w:kern w:val="0"/>
                <w:szCs w:val="21"/>
                <w:highlight w:val="none"/>
                <w:lang w:val="en-US" w:eastAsia="zh-CN"/>
              </w:rPr>
              <w:t>多</w:t>
            </w:r>
            <w:r>
              <w:rPr>
                <w:rFonts w:hint="eastAsia" w:ascii="宋体" w:hAnsi="宋体" w:eastAsia="宋体" w:cs="宋体"/>
                <w:color w:val="auto"/>
                <w:kern w:val="0"/>
                <w:szCs w:val="21"/>
                <w:highlight w:val="none"/>
              </w:rPr>
              <w:t>个业务场景系统及需要集成的鄞州区政务协同办公平台系统建议提案模块等，实现系统统一登录。</w:t>
            </w:r>
          </w:p>
        </w:tc>
      </w:tr>
      <w:tr w14:paraId="72427D8E">
        <w:tblPrEx>
          <w:tblCellMar>
            <w:top w:w="0" w:type="dxa"/>
            <w:left w:w="108" w:type="dxa"/>
            <w:bottom w:w="0" w:type="dxa"/>
            <w:right w:w="108" w:type="dxa"/>
          </w:tblCellMar>
        </w:tblPrEx>
        <w:trPr>
          <w:trHeight w:val="336" w:hRule="atLeast"/>
        </w:trPr>
        <w:tc>
          <w:tcPr>
            <w:tcW w:w="308" w:type="pct"/>
            <w:vMerge w:val="continue"/>
            <w:tcBorders>
              <w:left w:val="single" w:color="000000" w:sz="8" w:space="0"/>
              <w:right w:val="single" w:color="000000" w:sz="8" w:space="0"/>
            </w:tcBorders>
            <w:shd w:val="clear" w:color="auto" w:fill="auto"/>
            <w:vAlign w:val="center"/>
          </w:tcPr>
          <w:p w14:paraId="1E79EF47">
            <w:pPr>
              <w:widowControl/>
              <w:jc w:val="center"/>
              <w:rPr>
                <w:color w:val="auto"/>
                <w:highlight w:val="none"/>
              </w:rPr>
            </w:pPr>
          </w:p>
        </w:tc>
        <w:tc>
          <w:tcPr>
            <w:tcW w:w="321" w:type="pct"/>
            <w:vMerge w:val="continue"/>
            <w:tcBorders>
              <w:left w:val="nil"/>
              <w:right w:val="single" w:color="000000" w:sz="8" w:space="0"/>
            </w:tcBorders>
            <w:shd w:val="clear" w:color="auto" w:fill="auto"/>
            <w:vAlign w:val="center"/>
          </w:tcPr>
          <w:p w14:paraId="19B3FE40">
            <w:pPr>
              <w:widowControl/>
              <w:jc w:val="center"/>
              <w:rPr>
                <w:color w:val="auto"/>
                <w:highlight w:val="none"/>
              </w:rPr>
            </w:pPr>
          </w:p>
        </w:tc>
        <w:tc>
          <w:tcPr>
            <w:tcW w:w="651" w:type="pct"/>
            <w:vMerge w:val="continue"/>
            <w:tcBorders>
              <w:left w:val="nil"/>
              <w:bottom w:val="single" w:color="000000" w:sz="8" w:space="0"/>
              <w:right w:val="single" w:color="000000" w:sz="8" w:space="0"/>
            </w:tcBorders>
            <w:shd w:val="clear" w:color="auto" w:fill="auto"/>
            <w:vAlign w:val="center"/>
          </w:tcPr>
          <w:p w14:paraId="4F6BEEE3">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595F3C10">
            <w:pPr>
              <w:widowControl/>
              <w:jc w:val="center"/>
              <w:rPr>
                <w:color w:val="auto"/>
                <w:highlight w:val="none"/>
              </w:rPr>
            </w:pPr>
            <w:r>
              <w:rPr>
                <w:rFonts w:hint="eastAsia"/>
                <w:color w:val="auto"/>
                <w:highlight w:val="none"/>
              </w:rPr>
              <w:t>用户身份认证</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95DFA8F">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用户身份认证以浙政钉认证体系为基础构建，采用浙政钉认证用户体系。</w:t>
            </w:r>
          </w:p>
        </w:tc>
      </w:tr>
      <w:tr w14:paraId="3A243EE5">
        <w:tblPrEx>
          <w:tblCellMar>
            <w:top w:w="0" w:type="dxa"/>
            <w:left w:w="108" w:type="dxa"/>
            <w:bottom w:w="0" w:type="dxa"/>
            <w:right w:w="108" w:type="dxa"/>
          </w:tblCellMar>
        </w:tblPrEx>
        <w:trPr>
          <w:trHeight w:val="86" w:hRule="atLeast"/>
        </w:trPr>
        <w:tc>
          <w:tcPr>
            <w:tcW w:w="308" w:type="pct"/>
            <w:vMerge w:val="continue"/>
            <w:tcBorders>
              <w:left w:val="single" w:color="000000" w:sz="8" w:space="0"/>
              <w:right w:val="single" w:color="000000" w:sz="8" w:space="0"/>
            </w:tcBorders>
            <w:shd w:val="clear" w:color="auto" w:fill="auto"/>
            <w:vAlign w:val="center"/>
          </w:tcPr>
          <w:p w14:paraId="61F0D467">
            <w:pPr>
              <w:widowControl/>
              <w:jc w:val="center"/>
              <w:rPr>
                <w:color w:val="auto"/>
                <w:highlight w:val="none"/>
              </w:rPr>
            </w:pPr>
          </w:p>
        </w:tc>
        <w:tc>
          <w:tcPr>
            <w:tcW w:w="321" w:type="pct"/>
            <w:vMerge w:val="continue"/>
            <w:tcBorders>
              <w:left w:val="nil"/>
              <w:right w:val="single" w:color="000000" w:sz="8" w:space="0"/>
            </w:tcBorders>
            <w:shd w:val="clear" w:color="auto" w:fill="auto"/>
            <w:vAlign w:val="center"/>
          </w:tcPr>
          <w:p w14:paraId="6EC9DB63">
            <w:pPr>
              <w:widowControl/>
              <w:jc w:val="center"/>
              <w:rPr>
                <w:color w:val="auto"/>
                <w:highlight w:val="none"/>
              </w:rPr>
            </w:pPr>
          </w:p>
        </w:tc>
        <w:tc>
          <w:tcPr>
            <w:tcW w:w="651" w:type="pct"/>
            <w:vMerge w:val="restart"/>
            <w:tcBorders>
              <w:top w:val="nil"/>
              <w:left w:val="nil"/>
              <w:right w:val="single" w:color="000000" w:sz="8" w:space="0"/>
            </w:tcBorders>
            <w:shd w:val="clear" w:color="auto" w:fill="auto"/>
            <w:vAlign w:val="center"/>
          </w:tcPr>
          <w:p w14:paraId="426BF913">
            <w:pPr>
              <w:widowControl/>
              <w:jc w:val="center"/>
              <w:rPr>
                <w:color w:val="auto"/>
                <w:highlight w:val="none"/>
              </w:rPr>
            </w:pPr>
            <w:r>
              <w:rPr>
                <w:rFonts w:hint="eastAsia"/>
                <w:color w:val="auto"/>
                <w:highlight w:val="none"/>
              </w:rPr>
              <w:t>通知公告</w:t>
            </w:r>
          </w:p>
        </w:tc>
        <w:tc>
          <w:tcPr>
            <w:tcW w:w="503" w:type="pct"/>
            <w:tcBorders>
              <w:top w:val="nil"/>
              <w:left w:val="nil"/>
              <w:bottom w:val="single" w:color="000000" w:sz="8" w:space="0"/>
              <w:right w:val="single" w:color="000000" w:sz="8" w:space="0"/>
            </w:tcBorders>
            <w:shd w:val="clear" w:color="auto" w:fill="auto"/>
            <w:vAlign w:val="center"/>
          </w:tcPr>
          <w:p w14:paraId="76BEE269">
            <w:pPr>
              <w:widowControl/>
              <w:jc w:val="center"/>
              <w:rPr>
                <w:color w:val="auto"/>
                <w:highlight w:val="none"/>
              </w:rPr>
            </w:pPr>
            <w:r>
              <w:rPr>
                <w:rFonts w:hint="eastAsia"/>
                <w:color w:val="auto"/>
                <w:highlight w:val="none"/>
              </w:rPr>
              <w:t>系统通知</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F093CA4">
            <w:pPr>
              <w:widowControl/>
              <w:jc w:val="left"/>
              <w:rPr>
                <w:color w:val="auto"/>
                <w:highlight w:val="none"/>
              </w:rPr>
            </w:pPr>
            <w:r>
              <w:rPr>
                <w:rFonts w:hint="eastAsia" w:ascii="宋体" w:hAnsi="宋体" w:eastAsia="宋体" w:cs="宋体"/>
                <w:color w:val="auto"/>
                <w:kern w:val="0"/>
                <w:szCs w:val="21"/>
                <w:highlight w:val="none"/>
              </w:rPr>
              <w:t>系统通知是由系统自动发送的通知，用于向用户提供系统内部的各种信息，让用户及时了解系统的运行情况和变化。</w:t>
            </w:r>
          </w:p>
        </w:tc>
      </w:tr>
      <w:tr w14:paraId="7FC7BFE8">
        <w:tblPrEx>
          <w:tblCellMar>
            <w:top w:w="0" w:type="dxa"/>
            <w:left w:w="108" w:type="dxa"/>
            <w:bottom w:w="0" w:type="dxa"/>
            <w:right w:w="108" w:type="dxa"/>
          </w:tblCellMar>
        </w:tblPrEx>
        <w:trPr>
          <w:trHeight w:val="86" w:hRule="atLeast"/>
        </w:trPr>
        <w:tc>
          <w:tcPr>
            <w:tcW w:w="308" w:type="pct"/>
            <w:vMerge w:val="continue"/>
            <w:tcBorders>
              <w:left w:val="single" w:color="000000" w:sz="8" w:space="0"/>
              <w:right w:val="single" w:color="000000" w:sz="8" w:space="0"/>
            </w:tcBorders>
            <w:shd w:val="clear" w:color="auto" w:fill="auto"/>
            <w:vAlign w:val="center"/>
          </w:tcPr>
          <w:p w14:paraId="798294F9">
            <w:pPr>
              <w:widowControl/>
              <w:jc w:val="center"/>
              <w:rPr>
                <w:color w:val="auto"/>
                <w:highlight w:val="none"/>
              </w:rPr>
            </w:pPr>
          </w:p>
        </w:tc>
        <w:tc>
          <w:tcPr>
            <w:tcW w:w="321" w:type="pct"/>
            <w:vMerge w:val="continue"/>
            <w:tcBorders>
              <w:left w:val="nil"/>
              <w:right w:val="single" w:color="000000" w:sz="8" w:space="0"/>
            </w:tcBorders>
            <w:shd w:val="clear" w:color="auto" w:fill="auto"/>
            <w:vAlign w:val="center"/>
          </w:tcPr>
          <w:p w14:paraId="2E6A0043">
            <w:pPr>
              <w:widowControl/>
              <w:jc w:val="center"/>
              <w:rPr>
                <w:color w:val="auto"/>
                <w:highlight w:val="none"/>
              </w:rPr>
            </w:pPr>
          </w:p>
        </w:tc>
        <w:tc>
          <w:tcPr>
            <w:tcW w:w="651" w:type="pct"/>
            <w:vMerge w:val="continue"/>
            <w:tcBorders>
              <w:left w:val="nil"/>
              <w:right w:val="single" w:color="000000" w:sz="8" w:space="0"/>
            </w:tcBorders>
            <w:shd w:val="clear" w:color="auto" w:fill="auto"/>
            <w:vAlign w:val="center"/>
          </w:tcPr>
          <w:p w14:paraId="23F9DC37">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215D015D">
            <w:pPr>
              <w:widowControl/>
              <w:jc w:val="center"/>
              <w:rPr>
                <w:color w:val="auto"/>
                <w:highlight w:val="none"/>
              </w:rPr>
            </w:pPr>
            <w:r>
              <w:rPr>
                <w:rFonts w:hint="eastAsia"/>
                <w:color w:val="auto"/>
                <w:highlight w:val="none"/>
              </w:rPr>
              <w:t>进程反馈</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FAFCA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进程反馈主要用于提醒用户了解任务的运行情况，及时发现问题和异常情况。因个人业务应用要求不同展示不同的维度和内容。</w:t>
            </w:r>
          </w:p>
        </w:tc>
      </w:tr>
      <w:tr w14:paraId="65AFE4F7">
        <w:tblPrEx>
          <w:tblCellMar>
            <w:top w:w="0" w:type="dxa"/>
            <w:left w:w="108" w:type="dxa"/>
            <w:bottom w:w="0" w:type="dxa"/>
            <w:right w:w="108" w:type="dxa"/>
          </w:tblCellMar>
        </w:tblPrEx>
        <w:trPr>
          <w:trHeight w:val="86" w:hRule="atLeast"/>
        </w:trPr>
        <w:tc>
          <w:tcPr>
            <w:tcW w:w="308" w:type="pct"/>
            <w:vMerge w:val="continue"/>
            <w:tcBorders>
              <w:left w:val="single" w:color="000000" w:sz="8" w:space="0"/>
              <w:right w:val="single" w:color="000000" w:sz="8" w:space="0"/>
            </w:tcBorders>
            <w:shd w:val="clear" w:color="auto" w:fill="auto"/>
            <w:vAlign w:val="center"/>
          </w:tcPr>
          <w:p w14:paraId="009FF38C">
            <w:pPr>
              <w:widowControl/>
              <w:jc w:val="center"/>
              <w:rPr>
                <w:color w:val="auto"/>
                <w:highlight w:val="none"/>
              </w:rPr>
            </w:pPr>
          </w:p>
        </w:tc>
        <w:tc>
          <w:tcPr>
            <w:tcW w:w="321" w:type="pct"/>
            <w:vMerge w:val="continue"/>
            <w:tcBorders>
              <w:left w:val="nil"/>
              <w:right w:val="single" w:color="000000" w:sz="8" w:space="0"/>
            </w:tcBorders>
            <w:shd w:val="clear" w:color="auto" w:fill="auto"/>
            <w:vAlign w:val="center"/>
          </w:tcPr>
          <w:p w14:paraId="253F5D0C">
            <w:pPr>
              <w:widowControl/>
              <w:jc w:val="center"/>
              <w:rPr>
                <w:color w:val="auto"/>
                <w:highlight w:val="none"/>
              </w:rPr>
            </w:pPr>
          </w:p>
        </w:tc>
        <w:tc>
          <w:tcPr>
            <w:tcW w:w="651" w:type="pct"/>
            <w:vMerge w:val="continue"/>
            <w:tcBorders>
              <w:left w:val="nil"/>
              <w:right w:val="single" w:color="000000" w:sz="8" w:space="0"/>
            </w:tcBorders>
            <w:shd w:val="clear" w:color="auto" w:fill="auto"/>
            <w:vAlign w:val="center"/>
          </w:tcPr>
          <w:p w14:paraId="7CE2E9C9">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460DE65C">
            <w:pPr>
              <w:widowControl/>
              <w:jc w:val="center"/>
              <w:rPr>
                <w:color w:val="auto"/>
                <w:highlight w:val="none"/>
              </w:rPr>
            </w:pPr>
            <w:r>
              <w:rPr>
                <w:rFonts w:hint="eastAsia"/>
                <w:color w:val="auto"/>
                <w:highlight w:val="none"/>
              </w:rPr>
              <w:t>催办通知</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927F6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催办通知指在任务过程中，为了促进任务的进展和完成，向相关人员发送提醒和催促的通知。催报通知的主要作用是提醒相关人员完成任务的重要性和紧迫性，促进任务的及时完成。</w:t>
            </w:r>
          </w:p>
        </w:tc>
      </w:tr>
      <w:tr w14:paraId="1E8F65D2">
        <w:tblPrEx>
          <w:tblCellMar>
            <w:top w:w="0" w:type="dxa"/>
            <w:left w:w="108" w:type="dxa"/>
            <w:bottom w:w="0" w:type="dxa"/>
            <w:right w:w="108" w:type="dxa"/>
          </w:tblCellMar>
        </w:tblPrEx>
        <w:trPr>
          <w:trHeight w:val="86" w:hRule="atLeast"/>
        </w:trPr>
        <w:tc>
          <w:tcPr>
            <w:tcW w:w="308" w:type="pct"/>
            <w:vMerge w:val="continue"/>
            <w:tcBorders>
              <w:left w:val="single" w:color="000000" w:sz="8" w:space="0"/>
              <w:right w:val="single" w:color="000000" w:sz="8" w:space="0"/>
            </w:tcBorders>
            <w:shd w:val="clear" w:color="auto" w:fill="auto"/>
            <w:vAlign w:val="center"/>
          </w:tcPr>
          <w:p w14:paraId="27632AE7">
            <w:pPr>
              <w:widowControl/>
              <w:jc w:val="center"/>
              <w:rPr>
                <w:color w:val="auto"/>
                <w:highlight w:val="none"/>
              </w:rPr>
            </w:pPr>
          </w:p>
        </w:tc>
        <w:tc>
          <w:tcPr>
            <w:tcW w:w="321" w:type="pct"/>
            <w:vMerge w:val="continue"/>
            <w:tcBorders>
              <w:left w:val="nil"/>
              <w:right w:val="single" w:color="000000" w:sz="8" w:space="0"/>
            </w:tcBorders>
            <w:shd w:val="clear" w:color="auto" w:fill="auto"/>
            <w:vAlign w:val="center"/>
          </w:tcPr>
          <w:p w14:paraId="7AD6A9BE">
            <w:pPr>
              <w:widowControl/>
              <w:jc w:val="center"/>
              <w:rPr>
                <w:color w:val="auto"/>
                <w:highlight w:val="none"/>
              </w:rPr>
            </w:pPr>
          </w:p>
        </w:tc>
        <w:tc>
          <w:tcPr>
            <w:tcW w:w="651" w:type="pct"/>
            <w:vMerge w:val="continue"/>
            <w:tcBorders>
              <w:left w:val="nil"/>
              <w:bottom w:val="single" w:color="000000" w:sz="8" w:space="0"/>
              <w:right w:val="single" w:color="000000" w:sz="8" w:space="0"/>
            </w:tcBorders>
            <w:shd w:val="clear" w:color="auto" w:fill="auto"/>
            <w:vAlign w:val="center"/>
          </w:tcPr>
          <w:p w14:paraId="3689E083">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3F71CF40">
            <w:pPr>
              <w:widowControl/>
              <w:jc w:val="center"/>
              <w:rPr>
                <w:color w:val="auto"/>
                <w:highlight w:val="none"/>
              </w:rPr>
            </w:pPr>
            <w:r>
              <w:rPr>
                <w:rFonts w:hint="eastAsia"/>
                <w:color w:val="auto"/>
                <w:highlight w:val="none"/>
              </w:rPr>
              <w:t>提醒通知</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96822F">
            <w:pPr>
              <w:widowControl/>
              <w:jc w:val="left"/>
              <w:rPr>
                <w:color w:val="auto"/>
                <w:highlight w:val="none"/>
              </w:rPr>
            </w:pPr>
            <w:r>
              <w:rPr>
                <w:rFonts w:hint="eastAsia" w:ascii="宋体" w:hAnsi="宋体" w:eastAsia="宋体" w:cs="宋体"/>
                <w:color w:val="auto"/>
                <w:kern w:val="0"/>
                <w:szCs w:val="21"/>
                <w:highlight w:val="none"/>
              </w:rPr>
              <w:t>通知分类、通知内容设置 、通知发布，支持自动发布和定时发布、查询功能、统计功能</w:t>
            </w:r>
          </w:p>
        </w:tc>
      </w:tr>
      <w:tr w14:paraId="5F4A5ECF">
        <w:tblPrEx>
          <w:tblCellMar>
            <w:top w:w="0" w:type="dxa"/>
            <w:left w:w="108" w:type="dxa"/>
            <w:bottom w:w="0" w:type="dxa"/>
            <w:right w:w="108" w:type="dxa"/>
          </w:tblCellMar>
        </w:tblPrEx>
        <w:trPr>
          <w:trHeight w:val="122" w:hRule="atLeast"/>
        </w:trPr>
        <w:tc>
          <w:tcPr>
            <w:tcW w:w="308" w:type="pct"/>
            <w:vMerge w:val="continue"/>
            <w:tcBorders>
              <w:left w:val="single" w:color="000000" w:sz="8" w:space="0"/>
              <w:right w:val="single" w:color="000000" w:sz="8" w:space="0"/>
            </w:tcBorders>
            <w:shd w:val="clear" w:color="auto" w:fill="auto"/>
            <w:vAlign w:val="center"/>
          </w:tcPr>
          <w:p w14:paraId="3A0EC7FE">
            <w:pPr>
              <w:widowControl/>
              <w:jc w:val="center"/>
              <w:rPr>
                <w:color w:val="auto"/>
                <w:highlight w:val="none"/>
              </w:rPr>
            </w:pPr>
          </w:p>
        </w:tc>
        <w:tc>
          <w:tcPr>
            <w:tcW w:w="321" w:type="pct"/>
            <w:vMerge w:val="continue"/>
            <w:tcBorders>
              <w:left w:val="nil"/>
              <w:right w:val="single" w:color="000000" w:sz="8" w:space="0"/>
            </w:tcBorders>
            <w:shd w:val="clear" w:color="auto" w:fill="auto"/>
            <w:vAlign w:val="center"/>
          </w:tcPr>
          <w:p w14:paraId="5E19A373">
            <w:pPr>
              <w:widowControl/>
              <w:jc w:val="center"/>
              <w:rPr>
                <w:color w:val="auto"/>
                <w:highlight w:val="none"/>
              </w:rPr>
            </w:pPr>
          </w:p>
        </w:tc>
        <w:tc>
          <w:tcPr>
            <w:tcW w:w="1155" w:type="pct"/>
            <w:gridSpan w:val="2"/>
            <w:tcBorders>
              <w:top w:val="nil"/>
              <w:left w:val="nil"/>
              <w:bottom w:val="single" w:color="000000" w:sz="8" w:space="0"/>
              <w:right w:val="single" w:color="000000" w:sz="8" w:space="0"/>
            </w:tcBorders>
            <w:shd w:val="clear" w:color="auto" w:fill="auto"/>
            <w:vAlign w:val="center"/>
          </w:tcPr>
          <w:p w14:paraId="0E72A14C">
            <w:pPr>
              <w:widowControl/>
              <w:jc w:val="center"/>
              <w:rPr>
                <w:color w:val="auto"/>
                <w:highlight w:val="none"/>
              </w:rPr>
            </w:pPr>
            <w:r>
              <w:rPr>
                <w:rFonts w:hint="eastAsia"/>
                <w:color w:val="auto"/>
                <w:highlight w:val="none"/>
              </w:rPr>
              <w:t>消息通知管理</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35D6963">
            <w:pPr>
              <w:widowControl/>
              <w:jc w:val="left"/>
              <w:rPr>
                <w:color w:val="auto"/>
                <w:highlight w:val="none"/>
              </w:rPr>
            </w:pPr>
            <w:r>
              <w:rPr>
                <w:rFonts w:hint="eastAsia" w:ascii="宋体" w:hAnsi="宋体" w:eastAsia="宋体" w:cs="宋体"/>
                <w:color w:val="auto"/>
                <w:kern w:val="0"/>
                <w:szCs w:val="21"/>
                <w:highlight w:val="none"/>
              </w:rPr>
              <w:t>依托鄞州区大数据局建设的消息组件，通过浙政钉给用户发送消息提醒功能。对应接收可分为定向人员推送、定向权限组推送、定向业务场景推送、全系统推送、单位用户推送、特定环节人员推送等。</w:t>
            </w:r>
          </w:p>
        </w:tc>
      </w:tr>
      <w:tr w14:paraId="003BE951">
        <w:tblPrEx>
          <w:tblCellMar>
            <w:top w:w="0" w:type="dxa"/>
            <w:left w:w="108" w:type="dxa"/>
            <w:bottom w:w="0" w:type="dxa"/>
            <w:right w:w="108" w:type="dxa"/>
          </w:tblCellMar>
        </w:tblPrEx>
        <w:trPr>
          <w:trHeight w:val="69" w:hRule="atLeast"/>
        </w:trPr>
        <w:tc>
          <w:tcPr>
            <w:tcW w:w="308" w:type="pct"/>
            <w:vMerge w:val="continue"/>
            <w:tcBorders>
              <w:left w:val="single" w:color="000000" w:sz="8" w:space="0"/>
              <w:right w:val="single" w:color="000000" w:sz="8" w:space="0"/>
            </w:tcBorders>
            <w:shd w:val="clear" w:color="auto" w:fill="auto"/>
            <w:vAlign w:val="center"/>
          </w:tcPr>
          <w:p w14:paraId="37BD8B26">
            <w:pPr>
              <w:widowControl/>
              <w:jc w:val="center"/>
              <w:rPr>
                <w:color w:val="auto"/>
                <w:highlight w:val="none"/>
              </w:rPr>
            </w:pPr>
          </w:p>
        </w:tc>
        <w:tc>
          <w:tcPr>
            <w:tcW w:w="321" w:type="pct"/>
            <w:vMerge w:val="continue"/>
            <w:tcBorders>
              <w:left w:val="nil"/>
              <w:right w:val="single" w:color="000000" w:sz="8" w:space="0"/>
            </w:tcBorders>
            <w:shd w:val="clear" w:color="auto" w:fill="auto"/>
            <w:vAlign w:val="center"/>
          </w:tcPr>
          <w:p w14:paraId="4B986104">
            <w:pPr>
              <w:widowControl/>
              <w:jc w:val="center"/>
              <w:rPr>
                <w:color w:val="auto"/>
                <w:highlight w:val="none"/>
              </w:rPr>
            </w:pPr>
          </w:p>
        </w:tc>
        <w:tc>
          <w:tcPr>
            <w:tcW w:w="651" w:type="pct"/>
            <w:vMerge w:val="restart"/>
            <w:tcBorders>
              <w:top w:val="nil"/>
              <w:left w:val="nil"/>
              <w:right w:val="single" w:color="000000" w:sz="8" w:space="0"/>
            </w:tcBorders>
            <w:shd w:val="clear" w:color="auto" w:fill="auto"/>
            <w:vAlign w:val="center"/>
          </w:tcPr>
          <w:p w14:paraId="5B9C9444">
            <w:pPr>
              <w:widowControl/>
              <w:jc w:val="center"/>
              <w:rPr>
                <w:color w:val="auto"/>
                <w:highlight w:val="none"/>
              </w:rPr>
            </w:pPr>
            <w:r>
              <w:rPr>
                <w:rFonts w:hint="eastAsia"/>
                <w:color w:val="auto"/>
                <w:highlight w:val="none"/>
              </w:rPr>
              <w:t>智能检索</w:t>
            </w:r>
          </w:p>
        </w:tc>
        <w:tc>
          <w:tcPr>
            <w:tcW w:w="503" w:type="pct"/>
            <w:tcBorders>
              <w:top w:val="nil"/>
              <w:left w:val="nil"/>
              <w:bottom w:val="single" w:color="000000" w:sz="8" w:space="0"/>
              <w:right w:val="single" w:color="000000" w:sz="8" w:space="0"/>
            </w:tcBorders>
            <w:shd w:val="clear" w:color="auto" w:fill="auto"/>
            <w:vAlign w:val="center"/>
          </w:tcPr>
          <w:p w14:paraId="509B9E97">
            <w:pPr>
              <w:widowControl/>
              <w:jc w:val="center"/>
              <w:rPr>
                <w:color w:val="auto"/>
                <w:highlight w:val="none"/>
              </w:rPr>
            </w:pPr>
            <w:r>
              <w:rPr>
                <w:rFonts w:hint="eastAsia"/>
                <w:color w:val="auto"/>
                <w:highlight w:val="none"/>
              </w:rPr>
              <w:t>关键词检索</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0A5EF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系统支持输入任务的标题或相应的关键词在选定数据库的全库中进行检索。</w:t>
            </w:r>
          </w:p>
        </w:tc>
      </w:tr>
      <w:tr w14:paraId="31261E69">
        <w:tblPrEx>
          <w:tblCellMar>
            <w:top w:w="0" w:type="dxa"/>
            <w:left w:w="108" w:type="dxa"/>
            <w:bottom w:w="0" w:type="dxa"/>
            <w:right w:w="108" w:type="dxa"/>
          </w:tblCellMar>
        </w:tblPrEx>
        <w:trPr>
          <w:trHeight w:val="69" w:hRule="atLeast"/>
        </w:trPr>
        <w:tc>
          <w:tcPr>
            <w:tcW w:w="308" w:type="pct"/>
            <w:vMerge w:val="continue"/>
            <w:tcBorders>
              <w:left w:val="single" w:color="000000" w:sz="8" w:space="0"/>
              <w:right w:val="single" w:color="000000" w:sz="8" w:space="0"/>
            </w:tcBorders>
            <w:shd w:val="clear" w:color="auto" w:fill="auto"/>
            <w:vAlign w:val="center"/>
          </w:tcPr>
          <w:p w14:paraId="6DB7CCA8">
            <w:pPr>
              <w:widowControl/>
              <w:jc w:val="center"/>
              <w:rPr>
                <w:color w:val="auto"/>
                <w:highlight w:val="none"/>
              </w:rPr>
            </w:pPr>
          </w:p>
        </w:tc>
        <w:tc>
          <w:tcPr>
            <w:tcW w:w="321" w:type="pct"/>
            <w:vMerge w:val="continue"/>
            <w:tcBorders>
              <w:left w:val="nil"/>
              <w:right w:val="single" w:color="000000" w:sz="8" w:space="0"/>
            </w:tcBorders>
            <w:shd w:val="clear" w:color="auto" w:fill="auto"/>
            <w:vAlign w:val="center"/>
          </w:tcPr>
          <w:p w14:paraId="4ED32C91">
            <w:pPr>
              <w:widowControl/>
              <w:jc w:val="center"/>
              <w:rPr>
                <w:color w:val="auto"/>
                <w:highlight w:val="none"/>
              </w:rPr>
            </w:pPr>
          </w:p>
        </w:tc>
        <w:tc>
          <w:tcPr>
            <w:tcW w:w="651" w:type="pct"/>
            <w:vMerge w:val="continue"/>
            <w:tcBorders>
              <w:left w:val="nil"/>
              <w:right w:val="single" w:color="000000" w:sz="8" w:space="0"/>
            </w:tcBorders>
            <w:shd w:val="clear" w:color="auto" w:fill="auto"/>
            <w:vAlign w:val="center"/>
          </w:tcPr>
          <w:p w14:paraId="64833801">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753F0A54">
            <w:pPr>
              <w:widowControl/>
              <w:jc w:val="center"/>
              <w:rPr>
                <w:color w:val="auto"/>
                <w:highlight w:val="none"/>
              </w:rPr>
            </w:pPr>
            <w:r>
              <w:rPr>
                <w:rFonts w:hint="eastAsia"/>
                <w:color w:val="auto"/>
                <w:highlight w:val="none"/>
              </w:rPr>
              <w:t>组合搜索</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43FC0D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系统提供组合搜索功能，允许用户根据更复杂的条件和筛选器进行搜索。</w:t>
            </w:r>
          </w:p>
        </w:tc>
      </w:tr>
      <w:tr w14:paraId="4AE18B10">
        <w:tblPrEx>
          <w:tblCellMar>
            <w:top w:w="0" w:type="dxa"/>
            <w:left w:w="108" w:type="dxa"/>
            <w:bottom w:w="0" w:type="dxa"/>
            <w:right w:w="108" w:type="dxa"/>
          </w:tblCellMar>
        </w:tblPrEx>
        <w:trPr>
          <w:trHeight w:val="69" w:hRule="atLeast"/>
        </w:trPr>
        <w:tc>
          <w:tcPr>
            <w:tcW w:w="308" w:type="pct"/>
            <w:vMerge w:val="continue"/>
            <w:tcBorders>
              <w:left w:val="single" w:color="000000" w:sz="8" w:space="0"/>
              <w:right w:val="single" w:color="000000" w:sz="8" w:space="0"/>
            </w:tcBorders>
            <w:shd w:val="clear" w:color="auto" w:fill="auto"/>
            <w:vAlign w:val="center"/>
          </w:tcPr>
          <w:p w14:paraId="7E5FE70B">
            <w:pPr>
              <w:widowControl/>
              <w:jc w:val="center"/>
              <w:rPr>
                <w:color w:val="auto"/>
                <w:highlight w:val="none"/>
              </w:rPr>
            </w:pPr>
          </w:p>
        </w:tc>
        <w:tc>
          <w:tcPr>
            <w:tcW w:w="321" w:type="pct"/>
            <w:vMerge w:val="continue"/>
            <w:tcBorders>
              <w:left w:val="nil"/>
              <w:right w:val="single" w:color="000000" w:sz="8" w:space="0"/>
            </w:tcBorders>
            <w:shd w:val="clear" w:color="auto" w:fill="auto"/>
            <w:vAlign w:val="center"/>
          </w:tcPr>
          <w:p w14:paraId="7977820C">
            <w:pPr>
              <w:widowControl/>
              <w:jc w:val="center"/>
              <w:rPr>
                <w:color w:val="auto"/>
                <w:highlight w:val="none"/>
              </w:rPr>
            </w:pPr>
          </w:p>
        </w:tc>
        <w:tc>
          <w:tcPr>
            <w:tcW w:w="651" w:type="pct"/>
            <w:vMerge w:val="continue"/>
            <w:tcBorders>
              <w:left w:val="nil"/>
              <w:right w:val="single" w:color="000000" w:sz="8" w:space="0"/>
            </w:tcBorders>
            <w:shd w:val="clear" w:color="auto" w:fill="auto"/>
            <w:vAlign w:val="center"/>
          </w:tcPr>
          <w:p w14:paraId="709C7306">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5A389BDD">
            <w:pPr>
              <w:widowControl/>
              <w:jc w:val="center"/>
              <w:rPr>
                <w:color w:val="auto"/>
                <w:highlight w:val="none"/>
              </w:rPr>
            </w:pPr>
            <w:r>
              <w:rPr>
                <w:rFonts w:hint="eastAsia"/>
                <w:color w:val="auto"/>
                <w:highlight w:val="none"/>
              </w:rPr>
              <w:t>排名和排序</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23B7B4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该组件将根据相关性和指定的排序规则，对检索结果进行排名和排序。</w:t>
            </w:r>
          </w:p>
        </w:tc>
      </w:tr>
      <w:tr w14:paraId="771C208E">
        <w:tblPrEx>
          <w:tblCellMar>
            <w:top w:w="0" w:type="dxa"/>
            <w:left w:w="108" w:type="dxa"/>
            <w:bottom w:w="0" w:type="dxa"/>
            <w:right w:w="108" w:type="dxa"/>
          </w:tblCellMar>
        </w:tblPrEx>
        <w:trPr>
          <w:trHeight w:val="69" w:hRule="atLeast"/>
        </w:trPr>
        <w:tc>
          <w:tcPr>
            <w:tcW w:w="308" w:type="pct"/>
            <w:vMerge w:val="continue"/>
            <w:tcBorders>
              <w:left w:val="single" w:color="000000" w:sz="8" w:space="0"/>
              <w:right w:val="single" w:color="000000" w:sz="8" w:space="0"/>
            </w:tcBorders>
            <w:shd w:val="clear" w:color="auto" w:fill="auto"/>
            <w:vAlign w:val="center"/>
          </w:tcPr>
          <w:p w14:paraId="5A2D76C9">
            <w:pPr>
              <w:widowControl/>
              <w:jc w:val="center"/>
              <w:rPr>
                <w:color w:val="auto"/>
                <w:highlight w:val="none"/>
              </w:rPr>
            </w:pPr>
          </w:p>
        </w:tc>
        <w:tc>
          <w:tcPr>
            <w:tcW w:w="321" w:type="pct"/>
            <w:vMerge w:val="continue"/>
            <w:tcBorders>
              <w:left w:val="nil"/>
              <w:right w:val="single" w:color="000000" w:sz="8" w:space="0"/>
            </w:tcBorders>
            <w:shd w:val="clear" w:color="auto" w:fill="auto"/>
            <w:vAlign w:val="center"/>
          </w:tcPr>
          <w:p w14:paraId="697AF978">
            <w:pPr>
              <w:widowControl/>
              <w:jc w:val="center"/>
              <w:rPr>
                <w:color w:val="auto"/>
                <w:highlight w:val="none"/>
              </w:rPr>
            </w:pPr>
          </w:p>
        </w:tc>
        <w:tc>
          <w:tcPr>
            <w:tcW w:w="651" w:type="pct"/>
            <w:vMerge w:val="continue"/>
            <w:tcBorders>
              <w:left w:val="nil"/>
              <w:right w:val="single" w:color="000000" w:sz="8" w:space="0"/>
            </w:tcBorders>
            <w:shd w:val="clear" w:color="auto" w:fill="auto"/>
            <w:vAlign w:val="center"/>
          </w:tcPr>
          <w:p w14:paraId="501BAB99">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39619833">
            <w:pPr>
              <w:widowControl/>
              <w:jc w:val="center"/>
              <w:rPr>
                <w:color w:val="auto"/>
                <w:highlight w:val="none"/>
              </w:rPr>
            </w:pPr>
            <w:r>
              <w:rPr>
                <w:rFonts w:hint="eastAsia"/>
                <w:color w:val="auto"/>
                <w:highlight w:val="none"/>
              </w:rPr>
              <w:t>检索历史</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3855E5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智能检索组件具备用户检索历史列表展示，提供当前用户检索内容的数据统计，如检索的关键字、检索时间、检索次数等。</w:t>
            </w:r>
          </w:p>
        </w:tc>
      </w:tr>
      <w:tr w14:paraId="7C424054">
        <w:tblPrEx>
          <w:tblCellMar>
            <w:top w:w="0" w:type="dxa"/>
            <w:left w:w="108" w:type="dxa"/>
            <w:bottom w:w="0" w:type="dxa"/>
            <w:right w:w="108" w:type="dxa"/>
          </w:tblCellMar>
        </w:tblPrEx>
        <w:trPr>
          <w:trHeight w:val="69" w:hRule="atLeast"/>
        </w:trPr>
        <w:tc>
          <w:tcPr>
            <w:tcW w:w="308" w:type="pct"/>
            <w:vMerge w:val="continue"/>
            <w:tcBorders>
              <w:left w:val="single" w:color="000000" w:sz="8" w:space="0"/>
              <w:right w:val="single" w:color="000000" w:sz="8" w:space="0"/>
            </w:tcBorders>
            <w:shd w:val="clear" w:color="auto" w:fill="auto"/>
            <w:vAlign w:val="center"/>
          </w:tcPr>
          <w:p w14:paraId="5F06835A">
            <w:pPr>
              <w:widowControl/>
              <w:jc w:val="center"/>
              <w:rPr>
                <w:color w:val="auto"/>
                <w:highlight w:val="none"/>
              </w:rPr>
            </w:pPr>
          </w:p>
        </w:tc>
        <w:tc>
          <w:tcPr>
            <w:tcW w:w="321" w:type="pct"/>
            <w:vMerge w:val="continue"/>
            <w:tcBorders>
              <w:left w:val="nil"/>
              <w:right w:val="single" w:color="000000" w:sz="8" w:space="0"/>
            </w:tcBorders>
            <w:shd w:val="clear" w:color="auto" w:fill="auto"/>
            <w:vAlign w:val="center"/>
          </w:tcPr>
          <w:p w14:paraId="46BD2740">
            <w:pPr>
              <w:widowControl/>
              <w:jc w:val="center"/>
              <w:rPr>
                <w:color w:val="auto"/>
                <w:highlight w:val="none"/>
              </w:rPr>
            </w:pPr>
          </w:p>
        </w:tc>
        <w:tc>
          <w:tcPr>
            <w:tcW w:w="651" w:type="pct"/>
            <w:vMerge w:val="continue"/>
            <w:tcBorders>
              <w:left w:val="nil"/>
              <w:bottom w:val="single" w:color="000000" w:sz="8" w:space="0"/>
              <w:right w:val="single" w:color="000000" w:sz="8" w:space="0"/>
            </w:tcBorders>
            <w:shd w:val="clear" w:color="auto" w:fill="auto"/>
            <w:vAlign w:val="center"/>
          </w:tcPr>
          <w:p w14:paraId="21458AAC">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44F8CD5C">
            <w:pPr>
              <w:widowControl/>
              <w:jc w:val="center"/>
              <w:rPr>
                <w:color w:val="auto"/>
                <w:highlight w:val="none"/>
              </w:rPr>
            </w:pPr>
            <w:r>
              <w:rPr>
                <w:rFonts w:hint="eastAsia"/>
                <w:color w:val="auto"/>
                <w:highlight w:val="none"/>
              </w:rPr>
              <w:t>检索内容高亮显示</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5AA4AA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检索完成后支持对检索内容在检索结果中进行高亮展示，直观地体现检索结果。</w:t>
            </w:r>
          </w:p>
        </w:tc>
      </w:tr>
      <w:tr w14:paraId="36DE3253">
        <w:tblPrEx>
          <w:tblCellMar>
            <w:top w:w="0" w:type="dxa"/>
            <w:left w:w="108" w:type="dxa"/>
            <w:bottom w:w="0" w:type="dxa"/>
            <w:right w:w="108" w:type="dxa"/>
          </w:tblCellMar>
        </w:tblPrEx>
        <w:trPr>
          <w:trHeight w:val="115" w:hRule="atLeast"/>
        </w:trPr>
        <w:tc>
          <w:tcPr>
            <w:tcW w:w="308" w:type="pct"/>
            <w:vMerge w:val="continue"/>
            <w:tcBorders>
              <w:left w:val="single" w:color="000000" w:sz="8" w:space="0"/>
              <w:right w:val="single" w:color="000000" w:sz="8" w:space="0"/>
            </w:tcBorders>
            <w:shd w:val="clear" w:color="auto" w:fill="auto"/>
            <w:vAlign w:val="center"/>
          </w:tcPr>
          <w:p w14:paraId="1B3EE34F">
            <w:pPr>
              <w:widowControl/>
              <w:jc w:val="center"/>
              <w:rPr>
                <w:color w:val="auto"/>
                <w:highlight w:val="none"/>
              </w:rPr>
            </w:pPr>
          </w:p>
        </w:tc>
        <w:tc>
          <w:tcPr>
            <w:tcW w:w="321" w:type="pct"/>
            <w:vMerge w:val="continue"/>
            <w:tcBorders>
              <w:left w:val="nil"/>
              <w:right w:val="single" w:color="000000" w:sz="8" w:space="0"/>
            </w:tcBorders>
            <w:shd w:val="clear" w:color="auto" w:fill="auto"/>
            <w:vAlign w:val="center"/>
          </w:tcPr>
          <w:p w14:paraId="734B380D">
            <w:pPr>
              <w:widowControl/>
              <w:jc w:val="center"/>
              <w:rPr>
                <w:color w:val="auto"/>
                <w:highlight w:val="none"/>
              </w:rPr>
            </w:pPr>
          </w:p>
        </w:tc>
        <w:tc>
          <w:tcPr>
            <w:tcW w:w="651" w:type="pct"/>
            <w:vMerge w:val="restart"/>
            <w:tcBorders>
              <w:top w:val="nil"/>
              <w:left w:val="nil"/>
              <w:right w:val="single" w:color="000000" w:sz="8" w:space="0"/>
            </w:tcBorders>
            <w:shd w:val="clear" w:color="auto" w:fill="auto"/>
            <w:vAlign w:val="center"/>
          </w:tcPr>
          <w:p w14:paraId="44D270C1">
            <w:pPr>
              <w:widowControl/>
              <w:jc w:val="center"/>
              <w:rPr>
                <w:color w:val="auto"/>
                <w:highlight w:val="none"/>
              </w:rPr>
            </w:pPr>
            <w:r>
              <w:rPr>
                <w:rFonts w:hint="eastAsia"/>
                <w:color w:val="auto"/>
                <w:highlight w:val="none"/>
              </w:rPr>
              <w:t>智能监控</w:t>
            </w:r>
          </w:p>
        </w:tc>
        <w:tc>
          <w:tcPr>
            <w:tcW w:w="503" w:type="pct"/>
            <w:tcBorders>
              <w:top w:val="nil"/>
              <w:left w:val="nil"/>
              <w:bottom w:val="single" w:color="000000" w:sz="8" w:space="0"/>
              <w:right w:val="single" w:color="000000" w:sz="8" w:space="0"/>
            </w:tcBorders>
            <w:shd w:val="clear" w:color="auto" w:fill="auto"/>
            <w:vAlign w:val="center"/>
          </w:tcPr>
          <w:p w14:paraId="15F05366">
            <w:pPr>
              <w:widowControl/>
              <w:jc w:val="center"/>
              <w:rPr>
                <w:color w:val="auto"/>
                <w:highlight w:val="none"/>
              </w:rPr>
            </w:pPr>
            <w:r>
              <w:rPr>
                <w:rFonts w:hint="eastAsia"/>
                <w:color w:val="auto"/>
                <w:highlight w:val="none"/>
              </w:rPr>
              <w:t>时效监控</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D9DB4D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时效监控是指对任务执行时间进行实时监控和分析的过程。</w:t>
            </w:r>
          </w:p>
        </w:tc>
      </w:tr>
      <w:tr w14:paraId="78503BFA">
        <w:tblPrEx>
          <w:tblCellMar>
            <w:top w:w="0" w:type="dxa"/>
            <w:left w:w="108" w:type="dxa"/>
            <w:bottom w:w="0" w:type="dxa"/>
            <w:right w:w="108" w:type="dxa"/>
          </w:tblCellMar>
        </w:tblPrEx>
        <w:trPr>
          <w:trHeight w:val="115" w:hRule="atLeast"/>
        </w:trPr>
        <w:tc>
          <w:tcPr>
            <w:tcW w:w="308" w:type="pct"/>
            <w:vMerge w:val="continue"/>
            <w:tcBorders>
              <w:left w:val="single" w:color="000000" w:sz="8" w:space="0"/>
              <w:right w:val="single" w:color="000000" w:sz="8" w:space="0"/>
            </w:tcBorders>
            <w:shd w:val="clear" w:color="auto" w:fill="auto"/>
            <w:vAlign w:val="center"/>
          </w:tcPr>
          <w:p w14:paraId="33771EAF">
            <w:pPr>
              <w:widowControl/>
              <w:jc w:val="center"/>
              <w:rPr>
                <w:color w:val="auto"/>
                <w:highlight w:val="none"/>
              </w:rPr>
            </w:pPr>
          </w:p>
        </w:tc>
        <w:tc>
          <w:tcPr>
            <w:tcW w:w="321" w:type="pct"/>
            <w:vMerge w:val="continue"/>
            <w:tcBorders>
              <w:left w:val="nil"/>
              <w:right w:val="single" w:color="000000" w:sz="8" w:space="0"/>
            </w:tcBorders>
            <w:shd w:val="clear" w:color="auto" w:fill="auto"/>
            <w:vAlign w:val="center"/>
          </w:tcPr>
          <w:p w14:paraId="698CC948">
            <w:pPr>
              <w:widowControl/>
              <w:jc w:val="center"/>
              <w:rPr>
                <w:color w:val="auto"/>
                <w:highlight w:val="none"/>
              </w:rPr>
            </w:pPr>
          </w:p>
        </w:tc>
        <w:tc>
          <w:tcPr>
            <w:tcW w:w="651" w:type="pct"/>
            <w:vMerge w:val="continue"/>
            <w:tcBorders>
              <w:left w:val="nil"/>
              <w:right w:val="single" w:color="000000" w:sz="8" w:space="0"/>
            </w:tcBorders>
            <w:shd w:val="clear" w:color="auto" w:fill="auto"/>
            <w:vAlign w:val="center"/>
          </w:tcPr>
          <w:p w14:paraId="3379F112">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20166D9D">
            <w:pPr>
              <w:widowControl/>
              <w:jc w:val="center"/>
              <w:rPr>
                <w:color w:val="auto"/>
                <w:highlight w:val="none"/>
              </w:rPr>
            </w:pPr>
            <w:r>
              <w:rPr>
                <w:rFonts w:hint="eastAsia"/>
                <w:color w:val="auto"/>
                <w:highlight w:val="none"/>
              </w:rPr>
              <w:t>异常监控</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DA9664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异常控制可以设定预警规则，当任务执行中出现异常或超出预定的阈值时，会自动触发警报或通知。</w:t>
            </w:r>
          </w:p>
        </w:tc>
      </w:tr>
      <w:tr w14:paraId="333BD02C">
        <w:tblPrEx>
          <w:tblCellMar>
            <w:top w:w="0" w:type="dxa"/>
            <w:left w:w="108" w:type="dxa"/>
            <w:bottom w:w="0" w:type="dxa"/>
            <w:right w:w="108" w:type="dxa"/>
          </w:tblCellMar>
        </w:tblPrEx>
        <w:trPr>
          <w:trHeight w:val="115" w:hRule="atLeast"/>
        </w:trPr>
        <w:tc>
          <w:tcPr>
            <w:tcW w:w="308" w:type="pct"/>
            <w:vMerge w:val="continue"/>
            <w:tcBorders>
              <w:left w:val="single" w:color="000000" w:sz="8" w:space="0"/>
              <w:right w:val="single" w:color="000000" w:sz="8" w:space="0"/>
            </w:tcBorders>
            <w:shd w:val="clear" w:color="auto" w:fill="auto"/>
            <w:vAlign w:val="center"/>
          </w:tcPr>
          <w:p w14:paraId="2CE30226">
            <w:pPr>
              <w:widowControl/>
              <w:jc w:val="center"/>
              <w:rPr>
                <w:color w:val="auto"/>
                <w:highlight w:val="none"/>
              </w:rPr>
            </w:pPr>
          </w:p>
        </w:tc>
        <w:tc>
          <w:tcPr>
            <w:tcW w:w="321" w:type="pct"/>
            <w:vMerge w:val="continue"/>
            <w:tcBorders>
              <w:left w:val="nil"/>
              <w:right w:val="single" w:color="000000" w:sz="8" w:space="0"/>
            </w:tcBorders>
            <w:shd w:val="clear" w:color="auto" w:fill="auto"/>
            <w:vAlign w:val="center"/>
          </w:tcPr>
          <w:p w14:paraId="453A9F46">
            <w:pPr>
              <w:widowControl/>
              <w:jc w:val="center"/>
              <w:rPr>
                <w:color w:val="auto"/>
                <w:highlight w:val="none"/>
              </w:rPr>
            </w:pPr>
          </w:p>
        </w:tc>
        <w:tc>
          <w:tcPr>
            <w:tcW w:w="651" w:type="pct"/>
            <w:vMerge w:val="continue"/>
            <w:tcBorders>
              <w:left w:val="nil"/>
              <w:bottom w:val="single" w:color="000000" w:sz="8" w:space="0"/>
              <w:right w:val="single" w:color="000000" w:sz="8" w:space="0"/>
            </w:tcBorders>
            <w:shd w:val="clear" w:color="auto" w:fill="auto"/>
            <w:vAlign w:val="center"/>
          </w:tcPr>
          <w:p w14:paraId="3A316651">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5390DC10">
            <w:pPr>
              <w:widowControl/>
              <w:jc w:val="center"/>
              <w:rPr>
                <w:color w:val="auto"/>
                <w:highlight w:val="none"/>
              </w:rPr>
            </w:pPr>
            <w:r>
              <w:rPr>
                <w:rFonts w:hint="eastAsia"/>
                <w:color w:val="auto"/>
                <w:highlight w:val="none"/>
              </w:rPr>
              <w:t>领导关注监控</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F9FE7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领导关注监控是指对特定领导关注的重要事项或项目进行监控和管理的过程，通常是关键任务、重要决策或紧急事件，需要领导层密切关注和监督，以确保其顺利推进和高质量完成。</w:t>
            </w:r>
          </w:p>
        </w:tc>
      </w:tr>
      <w:tr w14:paraId="28870BB8">
        <w:tblPrEx>
          <w:tblCellMar>
            <w:top w:w="0" w:type="dxa"/>
            <w:left w:w="108" w:type="dxa"/>
            <w:bottom w:w="0" w:type="dxa"/>
            <w:right w:w="108" w:type="dxa"/>
          </w:tblCellMar>
        </w:tblPrEx>
        <w:trPr>
          <w:trHeight w:val="32" w:hRule="atLeast"/>
        </w:trPr>
        <w:tc>
          <w:tcPr>
            <w:tcW w:w="308" w:type="pct"/>
            <w:vMerge w:val="continue"/>
            <w:tcBorders>
              <w:left w:val="single" w:color="000000" w:sz="8" w:space="0"/>
              <w:bottom w:val="single" w:color="000000" w:sz="8" w:space="0"/>
              <w:right w:val="single" w:color="000000" w:sz="8" w:space="0"/>
            </w:tcBorders>
            <w:shd w:val="clear" w:color="auto" w:fill="auto"/>
            <w:vAlign w:val="center"/>
          </w:tcPr>
          <w:p w14:paraId="39ED201D">
            <w:pPr>
              <w:widowControl/>
              <w:jc w:val="center"/>
              <w:rPr>
                <w:color w:val="auto"/>
                <w:highlight w:val="none"/>
              </w:rPr>
            </w:pPr>
          </w:p>
        </w:tc>
        <w:tc>
          <w:tcPr>
            <w:tcW w:w="321" w:type="pct"/>
            <w:vMerge w:val="continue"/>
            <w:tcBorders>
              <w:left w:val="nil"/>
              <w:bottom w:val="single" w:color="000000" w:sz="8" w:space="0"/>
              <w:right w:val="single" w:color="000000" w:sz="8" w:space="0"/>
            </w:tcBorders>
            <w:shd w:val="clear" w:color="auto" w:fill="auto"/>
            <w:vAlign w:val="center"/>
          </w:tcPr>
          <w:p w14:paraId="23C2693A">
            <w:pPr>
              <w:widowControl/>
              <w:jc w:val="center"/>
              <w:rPr>
                <w:color w:val="auto"/>
                <w:highlight w:val="none"/>
              </w:rPr>
            </w:pPr>
          </w:p>
        </w:tc>
        <w:tc>
          <w:tcPr>
            <w:tcW w:w="651" w:type="pct"/>
            <w:vMerge w:val="restart"/>
            <w:tcBorders>
              <w:top w:val="nil"/>
              <w:left w:val="nil"/>
              <w:right w:val="single" w:color="000000" w:sz="8" w:space="0"/>
            </w:tcBorders>
            <w:shd w:val="clear" w:color="auto" w:fill="auto"/>
            <w:vAlign w:val="center"/>
          </w:tcPr>
          <w:p w14:paraId="5AC79C75">
            <w:pPr>
              <w:widowControl/>
              <w:jc w:val="center"/>
              <w:rPr>
                <w:color w:val="auto"/>
                <w:highlight w:val="none"/>
              </w:rPr>
            </w:pPr>
            <w:r>
              <w:rPr>
                <w:rFonts w:hint="eastAsia"/>
                <w:color w:val="auto"/>
                <w:highlight w:val="none"/>
              </w:rPr>
              <w:t>系统管理</w:t>
            </w:r>
          </w:p>
        </w:tc>
        <w:tc>
          <w:tcPr>
            <w:tcW w:w="503" w:type="pct"/>
            <w:tcBorders>
              <w:top w:val="nil"/>
              <w:left w:val="nil"/>
              <w:bottom w:val="single" w:color="000000" w:sz="8" w:space="0"/>
              <w:right w:val="single" w:color="000000" w:sz="8" w:space="0"/>
            </w:tcBorders>
            <w:shd w:val="clear" w:color="auto" w:fill="auto"/>
            <w:vAlign w:val="center"/>
          </w:tcPr>
          <w:p w14:paraId="4A58A2EF">
            <w:pPr>
              <w:widowControl/>
              <w:jc w:val="center"/>
              <w:rPr>
                <w:color w:val="auto"/>
                <w:highlight w:val="none"/>
              </w:rPr>
            </w:pPr>
            <w:r>
              <w:rPr>
                <w:rFonts w:hint="eastAsia"/>
                <w:color w:val="auto"/>
                <w:highlight w:val="none"/>
              </w:rPr>
              <w:t>菜单管理</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435F8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允许系统管理员创建、编辑和删除菜单，包括上级菜单、菜单类型、菜单图标、菜单名称、显示排序、是否外链、路由地址、权限字符、路由参数、菜单标签等。</w:t>
            </w:r>
          </w:p>
        </w:tc>
      </w:tr>
      <w:tr w14:paraId="2D5749EF">
        <w:tblPrEx>
          <w:tblCellMar>
            <w:top w:w="0" w:type="dxa"/>
            <w:left w:w="108" w:type="dxa"/>
            <w:bottom w:w="0" w:type="dxa"/>
            <w:right w:w="108" w:type="dxa"/>
          </w:tblCellMar>
        </w:tblPrEx>
        <w:trPr>
          <w:trHeight w:val="32" w:hRule="atLeast"/>
        </w:trPr>
        <w:tc>
          <w:tcPr>
            <w:tcW w:w="308" w:type="pct"/>
            <w:vMerge w:val="continue"/>
            <w:tcBorders>
              <w:left w:val="single" w:color="000000" w:sz="8" w:space="0"/>
              <w:bottom w:val="single" w:color="000000" w:sz="8" w:space="0"/>
              <w:right w:val="single" w:color="000000" w:sz="8" w:space="0"/>
            </w:tcBorders>
            <w:shd w:val="clear" w:color="auto" w:fill="auto"/>
            <w:vAlign w:val="center"/>
          </w:tcPr>
          <w:p w14:paraId="454EDDE9">
            <w:pPr>
              <w:widowControl/>
              <w:jc w:val="center"/>
              <w:rPr>
                <w:color w:val="auto"/>
                <w:highlight w:val="none"/>
              </w:rPr>
            </w:pPr>
          </w:p>
        </w:tc>
        <w:tc>
          <w:tcPr>
            <w:tcW w:w="321" w:type="pct"/>
            <w:vMerge w:val="continue"/>
            <w:tcBorders>
              <w:left w:val="nil"/>
              <w:bottom w:val="single" w:color="000000" w:sz="8" w:space="0"/>
              <w:right w:val="single" w:color="000000" w:sz="8" w:space="0"/>
            </w:tcBorders>
            <w:shd w:val="clear" w:color="auto" w:fill="auto"/>
            <w:vAlign w:val="center"/>
          </w:tcPr>
          <w:p w14:paraId="01F97CCD">
            <w:pPr>
              <w:widowControl/>
              <w:jc w:val="center"/>
              <w:rPr>
                <w:color w:val="auto"/>
                <w:highlight w:val="none"/>
              </w:rPr>
            </w:pPr>
          </w:p>
        </w:tc>
        <w:tc>
          <w:tcPr>
            <w:tcW w:w="651" w:type="pct"/>
            <w:vMerge w:val="continue"/>
            <w:tcBorders>
              <w:left w:val="nil"/>
              <w:right w:val="single" w:color="000000" w:sz="8" w:space="0"/>
            </w:tcBorders>
            <w:shd w:val="clear" w:color="auto" w:fill="auto"/>
            <w:vAlign w:val="center"/>
          </w:tcPr>
          <w:p w14:paraId="5925BEA9">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0B95B073">
            <w:pPr>
              <w:widowControl/>
              <w:jc w:val="center"/>
              <w:rPr>
                <w:color w:val="auto"/>
                <w:highlight w:val="none"/>
              </w:rPr>
            </w:pPr>
            <w:r>
              <w:rPr>
                <w:rFonts w:hint="eastAsia"/>
                <w:color w:val="auto"/>
                <w:highlight w:val="none"/>
              </w:rPr>
              <w:t>单位管理</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8B524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允许系统管理员创建、编辑和删除组织架构，包括部门全名、组织机构编码、部门名称、显示排序、负责人、联系电话、邮箱、部门状态，部门标签等。</w:t>
            </w:r>
          </w:p>
        </w:tc>
      </w:tr>
      <w:tr w14:paraId="79C235FC">
        <w:tblPrEx>
          <w:tblCellMar>
            <w:top w:w="0" w:type="dxa"/>
            <w:left w:w="108" w:type="dxa"/>
            <w:bottom w:w="0" w:type="dxa"/>
            <w:right w:w="108" w:type="dxa"/>
          </w:tblCellMar>
        </w:tblPrEx>
        <w:trPr>
          <w:trHeight w:val="32" w:hRule="atLeast"/>
        </w:trPr>
        <w:tc>
          <w:tcPr>
            <w:tcW w:w="308" w:type="pct"/>
            <w:vMerge w:val="continue"/>
            <w:tcBorders>
              <w:left w:val="single" w:color="000000" w:sz="8" w:space="0"/>
              <w:bottom w:val="single" w:color="000000" w:sz="8" w:space="0"/>
              <w:right w:val="single" w:color="000000" w:sz="8" w:space="0"/>
            </w:tcBorders>
            <w:shd w:val="clear" w:color="auto" w:fill="auto"/>
            <w:vAlign w:val="center"/>
          </w:tcPr>
          <w:p w14:paraId="4AB4EA38">
            <w:pPr>
              <w:widowControl/>
              <w:jc w:val="center"/>
              <w:rPr>
                <w:color w:val="auto"/>
                <w:highlight w:val="none"/>
              </w:rPr>
            </w:pPr>
          </w:p>
        </w:tc>
        <w:tc>
          <w:tcPr>
            <w:tcW w:w="321" w:type="pct"/>
            <w:vMerge w:val="continue"/>
            <w:tcBorders>
              <w:left w:val="nil"/>
              <w:bottom w:val="single" w:color="000000" w:sz="8" w:space="0"/>
              <w:right w:val="single" w:color="000000" w:sz="8" w:space="0"/>
            </w:tcBorders>
            <w:shd w:val="clear" w:color="auto" w:fill="auto"/>
            <w:vAlign w:val="center"/>
          </w:tcPr>
          <w:p w14:paraId="7731C322">
            <w:pPr>
              <w:widowControl/>
              <w:jc w:val="center"/>
              <w:rPr>
                <w:color w:val="auto"/>
                <w:highlight w:val="none"/>
              </w:rPr>
            </w:pPr>
          </w:p>
        </w:tc>
        <w:tc>
          <w:tcPr>
            <w:tcW w:w="651" w:type="pct"/>
            <w:vMerge w:val="continue"/>
            <w:tcBorders>
              <w:left w:val="nil"/>
              <w:right w:val="single" w:color="000000" w:sz="8" w:space="0"/>
            </w:tcBorders>
            <w:shd w:val="clear" w:color="auto" w:fill="auto"/>
            <w:vAlign w:val="center"/>
          </w:tcPr>
          <w:p w14:paraId="1C4D401C">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7ECA3916">
            <w:pPr>
              <w:widowControl/>
              <w:jc w:val="center"/>
              <w:rPr>
                <w:color w:val="auto"/>
                <w:highlight w:val="none"/>
              </w:rPr>
            </w:pPr>
            <w:r>
              <w:rPr>
                <w:rFonts w:hint="eastAsia"/>
                <w:color w:val="auto"/>
                <w:highlight w:val="none"/>
              </w:rPr>
              <w:t>岗位管理</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8B6EE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允许系统管理员创建、编辑和删除岗位，包括岗位名称、岗位编码、岗位顺序、岗位状态、备注等。</w:t>
            </w:r>
          </w:p>
        </w:tc>
      </w:tr>
      <w:tr w14:paraId="58771221">
        <w:tblPrEx>
          <w:tblCellMar>
            <w:top w:w="0" w:type="dxa"/>
            <w:left w:w="108" w:type="dxa"/>
            <w:bottom w:w="0" w:type="dxa"/>
            <w:right w:w="108" w:type="dxa"/>
          </w:tblCellMar>
        </w:tblPrEx>
        <w:trPr>
          <w:trHeight w:val="32" w:hRule="atLeast"/>
        </w:trPr>
        <w:tc>
          <w:tcPr>
            <w:tcW w:w="308" w:type="pct"/>
            <w:vMerge w:val="continue"/>
            <w:tcBorders>
              <w:left w:val="single" w:color="000000" w:sz="8" w:space="0"/>
              <w:bottom w:val="single" w:color="000000" w:sz="8" w:space="0"/>
              <w:right w:val="single" w:color="000000" w:sz="8" w:space="0"/>
            </w:tcBorders>
            <w:shd w:val="clear" w:color="auto" w:fill="auto"/>
            <w:vAlign w:val="center"/>
          </w:tcPr>
          <w:p w14:paraId="251F2C02">
            <w:pPr>
              <w:widowControl/>
              <w:jc w:val="center"/>
              <w:rPr>
                <w:color w:val="auto"/>
                <w:highlight w:val="none"/>
              </w:rPr>
            </w:pPr>
          </w:p>
        </w:tc>
        <w:tc>
          <w:tcPr>
            <w:tcW w:w="321" w:type="pct"/>
            <w:vMerge w:val="continue"/>
            <w:tcBorders>
              <w:left w:val="nil"/>
              <w:bottom w:val="single" w:color="000000" w:sz="8" w:space="0"/>
              <w:right w:val="single" w:color="000000" w:sz="8" w:space="0"/>
            </w:tcBorders>
            <w:shd w:val="clear" w:color="auto" w:fill="auto"/>
            <w:vAlign w:val="center"/>
          </w:tcPr>
          <w:p w14:paraId="20CD0B32">
            <w:pPr>
              <w:widowControl/>
              <w:jc w:val="center"/>
              <w:rPr>
                <w:color w:val="auto"/>
                <w:highlight w:val="none"/>
              </w:rPr>
            </w:pPr>
          </w:p>
        </w:tc>
        <w:tc>
          <w:tcPr>
            <w:tcW w:w="651" w:type="pct"/>
            <w:vMerge w:val="continue"/>
            <w:tcBorders>
              <w:left w:val="nil"/>
              <w:right w:val="single" w:color="000000" w:sz="8" w:space="0"/>
            </w:tcBorders>
            <w:shd w:val="clear" w:color="auto" w:fill="auto"/>
            <w:vAlign w:val="center"/>
          </w:tcPr>
          <w:p w14:paraId="074DFBD5">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03B2F97C">
            <w:pPr>
              <w:widowControl/>
              <w:jc w:val="center"/>
              <w:rPr>
                <w:color w:val="auto"/>
                <w:highlight w:val="none"/>
              </w:rPr>
            </w:pPr>
            <w:r>
              <w:rPr>
                <w:rFonts w:hint="eastAsia"/>
                <w:color w:val="auto"/>
                <w:highlight w:val="none"/>
              </w:rPr>
              <w:t>字典管理</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5E787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允许系统管理员创建、编辑和删除字典，包括字典名称、字典类型、字典状态、备注等。</w:t>
            </w:r>
          </w:p>
        </w:tc>
      </w:tr>
      <w:tr w14:paraId="000F47E0">
        <w:tblPrEx>
          <w:tblCellMar>
            <w:top w:w="0" w:type="dxa"/>
            <w:left w:w="108" w:type="dxa"/>
            <w:bottom w:w="0" w:type="dxa"/>
            <w:right w:w="108" w:type="dxa"/>
          </w:tblCellMar>
        </w:tblPrEx>
        <w:trPr>
          <w:trHeight w:val="32" w:hRule="atLeast"/>
        </w:trPr>
        <w:tc>
          <w:tcPr>
            <w:tcW w:w="308" w:type="pct"/>
            <w:vMerge w:val="continue"/>
            <w:tcBorders>
              <w:left w:val="single" w:color="000000" w:sz="8" w:space="0"/>
              <w:bottom w:val="single" w:color="000000" w:sz="8" w:space="0"/>
              <w:right w:val="single" w:color="000000" w:sz="8" w:space="0"/>
            </w:tcBorders>
            <w:shd w:val="clear" w:color="auto" w:fill="auto"/>
            <w:vAlign w:val="center"/>
          </w:tcPr>
          <w:p w14:paraId="4BDB6918">
            <w:pPr>
              <w:widowControl/>
              <w:jc w:val="center"/>
              <w:rPr>
                <w:color w:val="auto"/>
                <w:highlight w:val="none"/>
              </w:rPr>
            </w:pPr>
          </w:p>
        </w:tc>
        <w:tc>
          <w:tcPr>
            <w:tcW w:w="321" w:type="pct"/>
            <w:vMerge w:val="continue"/>
            <w:tcBorders>
              <w:left w:val="nil"/>
              <w:bottom w:val="single" w:color="000000" w:sz="8" w:space="0"/>
              <w:right w:val="single" w:color="000000" w:sz="8" w:space="0"/>
            </w:tcBorders>
            <w:shd w:val="clear" w:color="auto" w:fill="auto"/>
            <w:vAlign w:val="center"/>
          </w:tcPr>
          <w:p w14:paraId="57BB66BB">
            <w:pPr>
              <w:widowControl/>
              <w:jc w:val="center"/>
              <w:rPr>
                <w:color w:val="auto"/>
                <w:highlight w:val="none"/>
              </w:rPr>
            </w:pPr>
          </w:p>
        </w:tc>
        <w:tc>
          <w:tcPr>
            <w:tcW w:w="651" w:type="pct"/>
            <w:vMerge w:val="continue"/>
            <w:tcBorders>
              <w:left w:val="nil"/>
              <w:right w:val="single" w:color="000000" w:sz="8" w:space="0"/>
            </w:tcBorders>
            <w:shd w:val="clear" w:color="auto" w:fill="auto"/>
            <w:vAlign w:val="center"/>
          </w:tcPr>
          <w:p w14:paraId="43012632">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4F63D12C">
            <w:pPr>
              <w:widowControl/>
              <w:jc w:val="center"/>
              <w:rPr>
                <w:color w:val="auto"/>
                <w:highlight w:val="none"/>
              </w:rPr>
            </w:pPr>
            <w:r>
              <w:rPr>
                <w:rFonts w:hint="eastAsia"/>
                <w:color w:val="auto"/>
                <w:highlight w:val="none"/>
              </w:rPr>
              <w:t>参数设置</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9CADFE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允许系统管理员创建、编辑和删除参数，包括参数名称、参数键名、参数键值、系统内置、备注等。</w:t>
            </w:r>
          </w:p>
        </w:tc>
      </w:tr>
      <w:tr w14:paraId="2E728668">
        <w:tblPrEx>
          <w:tblCellMar>
            <w:top w:w="0" w:type="dxa"/>
            <w:left w:w="108" w:type="dxa"/>
            <w:bottom w:w="0" w:type="dxa"/>
            <w:right w:w="108" w:type="dxa"/>
          </w:tblCellMar>
        </w:tblPrEx>
        <w:trPr>
          <w:trHeight w:val="32" w:hRule="atLeast"/>
        </w:trPr>
        <w:tc>
          <w:tcPr>
            <w:tcW w:w="308" w:type="pct"/>
            <w:vMerge w:val="continue"/>
            <w:tcBorders>
              <w:left w:val="single" w:color="000000" w:sz="8" w:space="0"/>
              <w:bottom w:val="single" w:color="000000" w:sz="8" w:space="0"/>
              <w:right w:val="single" w:color="000000" w:sz="8" w:space="0"/>
            </w:tcBorders>
            <w:shd w:val="clear" w:color="auto" w:fill="auto"/>
            <w:vAlign w:val="center"/>
          </w:tcPr>
          <w:p w14:paraId="0D6DE83D">
            <w:pPr>
              <w:widowControl/>
              <w:jc w:val="center"/>
              <w:rPr>
                <w:color w:val="auto"/>
                <w:highlight w:val="none"/>
              </w:rPr>
            </w:pPr>
          </w:p>
        </w:tc>
        <w:tc>
          <w:tcPr>
            <w:tcW w:w="321" w:type="pct"/>
            <w:vMerge w:val="continue"/>
            <w:tcBorders>
              <w:left w:val="nil"/>
              <w:bottom w:val="single" w:color="000000" w:sz="8" w:space="0"/>
              <w:right w:val="single" w:color="000000" w:sz="8" w:space="0"/>
            </w:tcBorders>
            <w:shd w:val="clear" w:color="auto" w:fill="auto"/>
            <w:vAlign w:val="center"/>
          </w:tcPr>
          <w:p w14:paraId="209EA828">
            <w:pPr>
              <w:widowControl/>
              <w:jc w:val="center"/>
              <w:rPr>
                <w:color w:val="auto"/>
                <w:highlight w:val="none"/>
              </w:rPr>
            </w:pPr>
          </w:p>
        </w:tc>
        <w:tc>
          <w:tcPr>
            <w:tcW w:w="651" w:type="pct"/>
            <w:vMerge w:val="continue"/>
            <w:tcBorders>
              <w:left w:val="nil"/>
              <w:right w:val="single" w:color="000000" w:sz="8" w:space="0"/>
            </w:tcBorders>
            <w:shd w:val="clear" w:color="auto" w:fill="auto"/>
            <w:vAlign w:val="center"/>
          </w:tcPr>
          <w:p w14:paraId="12C24DBB">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4F4ECD17">
            <w:pPr>
              <w:widowControl/>
              <w:jc w:val="center"/>
              <w:rPr>
                <w:color w:val="auto"/>
                <w:highlight w:val="none"/>
              </w:rPr>
            </w:pPr>
            <w:r>
              <w:rPr>
                <w:rFonts w:hint="eastAsia"/>
                <w:color w:val="auto"/>
                <w:highlight w:val="none"/>
              </w:rPr>
              <w:t>日志管理</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12CCD0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允许系统管理员创建、编辑和删除日志，包括操作模块、请求地址、登录信息、请求方式、操作方法、请求参数、返回参数、操作状态、操作时间等。</w:t>
            </w:r>
          </w:p>
        </w:tc>
      </w:tr>
      <w:tr w14:paraId="1791E928">
        <w:tblPrEx>
          <w:tblCellMar>
            <w:top w:w="0" w:type="dxa"/>
            <w:left w:w="108" w:type="dxa"/>
            <w:bottom w:w="0" w:type="dxa"/>
            <w:right w:w="108" w:type="dxa"/>
          </w:tblCellMar>
        </w:tblPrEx>
        <w:trPr>
          <w:trHeight w:val="32" w:hRule="atLeast"/>
        </w:trPr>
        <w:tc>
          <w:tcPr>
            <w:tcW w:w="308" w:type="pct"/>
            <w:vMerge w:val="continue"/>
            <w:tcBorders>
              <w:left w:val="single" w:color="000000" w:sz="8" w:space="0"/>
              <w:bottom w:val="single" w:color="000000" w:sz="8" w:space="0"/>
              <w:right w:val="single" w:color="000000" w:sz="8" w:space="0"/>
            </w:tcBorders>
            <w:shd w:val="clear" w:color="auto" w:fill="auto"/>
            <w:vAlign w:val="center"/>
          </w:tcPr>
          <w:p w14:paraId="501CCF58">
            <w:pPr>
              <w:widowControl/>
              <w:jc w:val="center"/>
              <w:rPr>
                <w:color w:val="auto"/>
                <w:highlight w:val="none"/>
              </w:rPr>
            </w:pPr>
          </w:p>
        </w:tc>
        <w:tc>
          <w:tcPr>
            <w:tcW w:w="321" w:type="pct"/>
            <w:vMerge w:val="continue"/>
            <w:tcBorders>
              <w:left w:val="nil"/>
              <w:bottom w:val="single" w:color="000000" w:sz="8" w:space="0"/>
              <w:right w:val="single" w:color="000000" w:sz="8" w:space="0"/>
            </w:tcBorders>
            <w:shd w:val="clear" w:color="auto" w:fill="auto"/>
            <w:vAlign w:val="center"/>
          </w:tcPr>
          <w:p w14:paraId="2509D019">
            <w:pPr>
              <w:widowControl/>
              <w:jc w:val="center"/>
              <w:rPr>
                <w:color w:val="auto"/>
                <w:highlight w:val="none"/>
              </w:rPr>
            </w:pPr>
          </w:p>
        </w:tc>
        <w:tc>
          <w:tcPr>
            <w:tcW w:w="651" w:type="pct"/>
            <w:vMerge w:val="continue"/>
            <w:tcBorders>
              <w:left w:val="nil"/>
              <w:right w:val="single" w:color="000000" w:sz="8" w:space="0"/>
            </w:tcBorders>
            <w:shd w:val="clear" w:color="auto" w:fill="auto"/>
            <w:vAlign w:val="center"/>
          </w:tcPr>
          <w:p w14:paraId="7A4F2F1E">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27CC86BA">
            <w:pPr>
              <w:widowControl/>
              <w:jc w:val="center"/>
              <w:rPr>
                <w:color w:val="auto"/>
                <w:highlight w:val="none"/>
              </w:rPr>
            </w:pPr>
            <w:r>
              <w:rPr>
                <w:rFonts w:hint="eastAsia"/>
                <w:color w:val="auto"/>
                <w:highlight w:val="none"/>
              </w:rPr>
              <w:t>标签管理</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A6864C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允许系统管理员创建、编辑和删除标签，包括标签分类、标签名称、标签字符串、显示顺序、备注等。</w:t>
            </w:r>
          </w:p>
        </w:tc>
      </w:tr>
      <w:tr w14:paraId="338CAF8C">
        <w:tblPrEx>
          <w:tblCellMar>
            <w:top w:w="0" w:type="dxa"/>
            <w:left w:w="108" w:type="dxa"/>
            <w:bottom w:w="0" w:type="dxa"/>
            <w:right w:w="108" w:type="dxa"/>
          </w:tblCellMar>
        </w:tblPrEx>
        <w:trPr>
          <w:trHeight w:val="32" w:hRule="atLeast"/>
        </w:trPr>
        <w:tc>
          <w:tcPr>
            <w:tcW w:w="308" w:type="pct"/>
            <w:vMerge w:val="continue"/>
            <w:tcBorders>
              <w:left w:val="single" w:color="000000" w:sz="8" w:space="0"/>
              <w:bottom w:val="single" w:color="000000" w:sz="8" w:space="0"/>
              <w:right w:val="single" w:color="000000" w:sz="8" w:space="0"/>
            </w:tcBorders>
            <w:shd w:val="clear" w:color="auto" w:fill="auto"/>
            <w:vAlign w:val="center"/>
          </w:tcPr>
          <w:p w14:paraId="2F2B8485">
            <w:pPr>
              <w:widowControl/>
              <w:jc w:val="center"/>
              <w:rPr>
                <w:color w:val="auto"/>
                <w:highlight w:val="none"/>
              </w:rPr>
            </w:pPr>
          </w:p>
        </w:tc>
        <w:tc>
          <w:tcPr>
            <w:tcW w:w="321" w:type="pct"/>
            <w:vMerge w:val="continue"/>
            <w:tcBorders>
              <w:left w:val="nil"/>
              <w:bottom w:val="single" w:color="000000" w:sz="8" w:space="0"/>
              <w:right w:val="single" w:color="000000" w:sz="8" w:space="0"/>
            </w:tcBorders>
            <w:shd w:val="clear" w:color="auto" w:fill="auto"/>
            <w:vAlign w:val="center"/>
          </w:tcPr>
          <w:p w14:paraId="09AD2CEF">
            <w:pPr>
              <w:widowControl/>
              <w:jc w:val="center"/>
              <w:rPr>
                <w:color w:val="auto"/>
                <w:highlight w:val="none"/>
              </w:rPr>
            </w:pPr>
          </w:p>
        </w:tc>
        <w:tc>
          <w:tcPr>
            <w:tcW w:w="651" w:type="pct"/>
            <w:vMerge w:val="continue"/>
            <w:tcBorders>
              <w:left w:val="nil"/>
              <w:right w:val="single" w:color="000000" w:sz="8" w:space="0"/>
            </w:tcBorders>
            <w:shd w:val="clear" w:color="auto" w:fill="auto"/>
            <w:vAlign w:val="center"/>
          </w:tcPr>
          <w:p w14:paraId="033BAE86">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4D3EFB27">
            <w:pPr>
              <w:widowControl/>
              <w:jc w:val="center"/>
              <w:rPr>
                <w:color w:val="auto"/>
                <w:highlight w:val="none"/>
              </w:rPr>
            </w:pPr>
            <w:r>
              <w:rPr>
                <w:rFonts w:hint="eastAsia"/>
                <w:color w:val="auto"/>
                <w:highlight w:val="none"/>
              </w:rPr>
              <w:t>在线用户</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6493C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允许系统管理员查看在线用户，包括序号、会话编号、登录名称、主机、登录时间、清退用户等。</w:t>
            </w:r>
          </w:p>
        </w:tc>
      </w:tr>
      <w:tr w14:paraId="4FFBB6B6">
        <w:tblPrEx>
          <w:tblCellMar>
            <w:top w:w="0" w:type="dxa"/>
            <w:left w:w="108" w:type="dxa"/>
            <w:bottom w:w="0" w:type="dxa"/>
            <w:right w:w="108" w:type="dxa"/>
          </w:tblCellMar>
        </w:tblPrEx>
        <w:trPr>
          <w:trHeight w:val="32" w:hRule="atLeast"/>
        </w:trPr>
        <w:tc>
          <w:tcPr>
            <w:tcW w:w="308" w:type="pct"/>
            <w:vMerge w:val="continue"/>
            <w:tcBorders>
              <w:left w:val="single" w:color="000000" w:sz="8" w:space="0"/>
              <w:bottom w:val="single" w:color="000000" w:sz="8" w:space="0"/>
              <w:right w:val="single" w:color="000000" w:sz="8" w:space="0"/>
            </w:tcBorders>
            <w:shd w:val="clear" w:color="auto" w:fill="auto"/>
            <w:vAlign w:val="center"/>
          </w:tcPr>
          <w:p w14:paraId="4FEF2C55">
            <w:pPr>
              <w:widowControl/>
              <w:jc w:val="center"/>
              <w:rPr>
                <w:color w:val="auto"/>
                <w:highlight w:val="none"/>
              </w:rPr>
            </w:pPr>
          </w:p>
        </w:tc>
        <w:tc>
          <w:tcPr>
            <w:tcW w:w="321" w:type="pct"/>
            <w:vMerge w:val="continue"/>
            <w:tcBorders>
              <w:left w:val="nil"/>
              <w:bottom w:val="single" w:color="000000" w:sz="8" w:space="0"/>
              <w:right w:val="single" w:color="000000" w:sz="8" w:space="0"/>
            </w:tcBorders>
            <w:shd w:val="clear" w:color="auto" w:fill="auto"/>
            <w:vAlign w:val="center"/>
          </w:tcPr>
          <w:p w14:paraId="19F6B02D">
            <w:pPr>
              <w:widowControl/>
              <w:jc w:val="center"/>
              <w:rPr>
                <w:color w:val="auto"/>
                <w:highlight w:val="none"/>
              </w:rPr>
            </w:pPr>
          </w:p>
        </w:tc>
        <w:tc>
          <w:tcPr>
            <w:tcW w:w="651" w:type="pct"/>
            <w:vMerge w:val="continue"/>
            <w:tcBorders>
              <w:left w:val="nil"/>
              <w:right w:val="single" w:color="000000" w:sz="8" w:space="0"/>
            </w:tcBorders>
            <w:shd w:val="clear" w:color="auto" w:fill="auto"/>
            <w:vAlign w:val="center"/>
          </w:tcPr>
          <w:p w14:paraId="60F3D232">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380605C3">
            <w:pPr>
              <w:widowControl/>
              <w:jc w:val="center"/>
              <w:rPr>
                <w:color w:val="auto"/>
                <w:highlight w:val="none"/>
              </w:rPr>
            </w:pPr>
            <w:r>
              <w:rPr>
                <w:rFonts w:hint="eastAsia"/>
                <w:color w:val="auto"/>
                <w:highlight w:val="none"/>
              </w:rPr>
              <w:t>异常提醒</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317058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系统能够在发现异常情况时自动发送警报或通知给相关人员，以便及时处理问题。</w:t>
            </w:r>
          </w:p>
        </w:tc>
      </w:tr>
      <w:tr w14:paraId="0E46F31D">
        <w:tblPrEx>
          <w:tblCellMar>
            <w:top w:w="0" w:type="dxa"/>
            <w:left w:w="108" w:type="dxa"/>
            <w:bottom w:w="0" w:type="dxa"/>
            <w:right w:w="108" w:type="dxa"/>
          </w:tblCellMar>
        </w:tblPrEx>
        <w:trPr>
          <w:trHeight w:val="32" w:hRule="atLeast"/>
        </w:trPr>
        <w:tc>
          <w:tcPr>
            <w:tcW w:w="308" w:type="pct"/>
            <w:vMerge w:val="continue"/>
            <w:tcBorders>
              <w:left w:val="single" w:color="000000" w:sz="8" w:space="0"/>
              <w:bottom w:val="single" w:color="000000" w:sz="8" w:space="0"/>
              <w:right w:val="single" w:color="000000" w:sz="8" w:space="0"/>
            </w:tcBorders>
            <w:shd w:val="clear" w:color="auto" w:fill="auto"/>
            <w:vAlign w:val="center"/>
          </w:tcPr>
          <w:p w14:paraId="0ECFD342">
            <w:pPr>
              <w:widowControl/>
              <w:jc w:val="center"/>
              <w:rPr>
                <w:color w:val="auto"/>
                <w:highlight w:val="none"/>
              </w:rPr>
            </w:pPr>
          </w:p>
        </w:tc>
        <w:tc>
          <w:tcPr>
            <w:tcW w:w="321" w:type="pct"/>
            <w:vMerge w:val="continue"/>
            <w:tcBorders>
              <w:left w:val="nil"/>
              <w:bottom w:val="single" w:color="000000" w:sz="8" w:space="0"/>
              <w:right w:val="single" w:color="000000" w:sz="8" w:space="0"/>
            </w:tcBorders>
            <w:shd w:val="clear" w:color="auto" w:fill="auto"/>
            <w:vAlign w:val="center"/>
          </w:tcPr>
          <w:p w14:paraId="54638F3B">
            <w:pPr>
              <w:widowControl/>
              <w:jc w:val="center"/>
              <w:rPr>
                <w:color w:val="auto"/>
                <w:highlight w:val="none"/>
              </w:rPr>
            </w:pPr>
          </w:p>
        </w:tc>
        <w:tc>
          <w:tcPr>
            <w:tcW w:w="651" w:type="pct"/>
            <w:vMerge w:val="continue"/>
            <w:tcBorders>
              <w:left w:val="nil"/>
              <w:bottom w:val="single" w:color="000000" w:sz="8" w:space="0"/>
              <w:right w:val="single" w:color="000000" w:sz="8" w:space="0"/>
            </w:tcBorders>
            <w:shd w:val="clear" w:color="auto" w:fill="auto"/>
            <w:vAlign w:val="center"/>
          </w:tcPr>
          <w:p w14:paraId="75185301">
            <w:pPr>
              <w:widowControl/>
              <w:jc w:val="center"/>
              <w:rPr>
                <w:color w:val="auto"/>
                <w:highlight w:val="none"/>
              </w:rPr>
            </w:pPr>
          </w:p>
        </w:tc>
        <w:tc>
          <w:tcPr>
            <w:tcW w:w="503" w:type="pct"/>
            <w:tcBorders>
              <w:top w:val="nil"/>
              <w:left w:val="nil"/>
              <w:bottom w:val="single" w:color="000000" w:sz="8" w:space="0"/>
              <w:right w:val="single" w:color="000000" w:sz="8" w:space="0"/>
            </w:tcBorders>
            <w:shd w:val="clear" w:color="auto" w:fill="auto"/>
            <w:vAlign w:val="center"/>
          </w:tcPr>
          <w:p w14:paraId="7442B539">
            <w:pPr>
              <w:widowControl/>
              <w:jc w:val="center"/>
              <w:rPr>
                <w:color w:val="auto"/>
                <w:highlight w:val="none"/>
              </w:rPr>
            </w:pPr>
            <w:r>
              <w:rPr>
                <w:rFonts w:hint="eastAsia"/>
                <w:color w:val="auto"/>
                <w:highlight w:val="none"/>
              </w:rPr>
              <w:t>定时任务</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1EA73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允许系统管理员创建、编辑和删除定时任务，包括任务编号、任务名称、任务组名、调用目标字符串、cron执行表达式、执行策略、是否并发、状态等。</w:t>
            </w:r>
          </w:p>
        </w:tc>
      </w:tr>
      <w:tr w14:paraId="50AD18A8">
        <w:tblPrEx>
          <w:tblCellMar>
            <w:top w:w="0" w:type="dxa"/>
            <w:left w:w="108" w:type="dxa"/>
            <w:bottom w:w="0" w:type="dxa"/>
            <w:right w:w="108" w:type="dxa"/>
          </w:tblCellMar>
        </w:tblPrEx>
        <w:trPr>
          <w:trHeight w:val="1225" w:hRule="atLeast"/>
        </w:trPr>
        <w:tc>
          <w:tcPr>
            <w:tcW w:w="3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8BC687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2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9591D8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督考智能辅助分析</w:t>
            </w:r>
          </w:p>
        </w:tc>
        <w:tc>
          <w:tcPr>
            <w:tcW w:w="11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897B31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智能生成督办单</w:t>
            </w:r>
          </w:p>
        </w:tc>
        <w:tc>
          <w:tcPr>
            <w:tcW w:w="3214" w:type="pct"/>
            <w:tcBorders>
              <w:top w:val="single" w:color="000000" w:sz="8" w:space="0"/>
              <w:left w:val="nil"/>
              <w:bottom w:val="single" w:color="000000" w:sz="8" w:space="0"/>
              <w:right w:val="single" w:color="000000" w:sz="8" w:space="0"/>
            </w:tcBorders>
            <w:shd w:val="clear" w:color="auto" w:fill="auto"/>
            <w:vAlign w:val="center"/>
          </w:tcPr>
          <w:p w14:paraId="5BC3625D">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于系统内未及时办理，需要下发督办单的任务，支持一键生成督查催办单的功能，支持催办事项、催办内容、催办单位、催办时间等多维度的信息填写，同时被催办的单位可接收短信和浙政钉多维度的催办提醒。</w:t>
            </w:r>
          </w:p>
        </w:tc>
      </w:tr>
      <w:tr w14:paraId="7CF0673C">
        <w:tblPrEx>
          <w:tblCellMar>
            <w:top w:w="0" w:type="dxa"/>
            <w:left w:w="108" w:type="dxa"/>
            <w:bottom w:w="0" w:type="dxa"/>
            <w:right w:w="108" w:type="dxa"/>
          </w:tblCellMar>
        </w:tblPrEx>
        <w:trPr>
          <w:trHeight w:val="983" w:hRule="atLeast"/>
        </w:trPr>
        <w:tc>
          <w:tcPr>
            <w:tcW w:w="3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991072">
            <w:pPr>
              <w:widowControl/>
              <w:jc w:val="center"/>
              <w:rPr>
                <w:rFonts w:ascii="宋体" w:hAnsi="宋体" w:eastAsia="宋体" w:cs="宋体"/>
                <w:color w:val="auto"/>
                <w:kern w:val="0"/>
                <w:szCs w:val="21"/>
                <w:highlight w:val="none"/>
              </w:rPr>
            </w:pPr>
          </w:p>
        </w:tc>
        <w:tc>
          <w:tcPr>
            <w:tcW w:w="321" w:type="pct"/>
            <w:vMerge w:val="continue"/>
            <w:tcBorders>
              <w:top w:val="single" w:color="000000" w:sz="8" w:space="0"/>
              <w:left w:val="single" w:color="000000" w:sz="8" w:space="0"/>
              <w:bottom w:val="single" w:color="000000" w:sz="8" w:space="0"/>
              <w:right w:val="single" w:color="000000" w:sz="8" w:space="0"/>
            </w:tcBorders>
            <w:vAlign w:val="center"/>
          </w:tcPr>
          <w:p w14:paraId="25031D6E">
            <w:pPr>
              <w:widowControl/>
              <w:jc w:val="center"/>
              <w:rPr>
                <w:rFonts w:ascii="宋体" w:hAnsi="宋体" w:eastAsia="宋体" w:cs="宋体"/>
                <w:color w:val="auto"/>
                <w:kern w:val="0"/>
                <w:szCs w:val="21"/>
                <w:highlight w:val="none"/>
              </w:rPr>
            </w:pPr>
          </w:p>
        </w:tc>
        <w:tc>
          <w:tcPr>
            <w:tcW w:w="11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F7342F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智能报告</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D19FA6">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督查工作的进展情况，为各类责任单位提供督查工作汇总分析报告，包括年度计划总结报告、重点工作完成情况汇总报告等。在使用报告模板时，模板内容自动关联对应数据，输出最终报告，提供报告下载功能。</w:t>
            </w:r>
          </w:p>
        </w:tc>
      </w:tr>
      <w:tr w14:paraId="066D4631">
        <w:tblPrEx>
          <w:tblCellMar>
            <w:top w:w="0" w:type="dxa"/>
            <w:left w:w="108" w:type="dxa"/>
            <w:bottom w:w="0" w:type="dxa"/>
            <w:right w:w="108" w:type="dxa"/>
          </w:tblCellMar>
        </w:tblPrEx>
        <w:trPr>
          <w:trHeight w:val="983" w:hRule="atLeast"/>
        </w:trPr>
        <w:tc>
          <w:tcPr>
            <w:tcW w:w="3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39BC5A">
            <w:pPr>
              <w:widowControl/>
              <w:jc w:val="center"/>
              <w:rPr>
                <w:rFonts w:ascii="宋体" w:hAnsi="宋体" w:eastAsia="宋体" w:cs="宋体"/>
                <w:color w:val="auto"/>
                <w:kern w:val="0"/>
                <w:szCs w:val="21"/>
                <w:highlight w:val="none"/>
              </w:rPr>
            </w:pPr>
          </w:p>
        </w:tc>
        <w:tc>
          <w:tcPr>
            <w:tcW w:w="321" w:type="pct"/>
            <w:vMerge w:val="continue"/>
            <w:tcBorders>
              <w:top w:val="single" w:color="000000" w:sz="8" w:space="0"/>
              <w:left w:val="single" w:color="000000" w:sz="8" w:space="0"/>
              <w:bottom w:val="single" w:color="000000" w:sz="8" w:space="0"/>
              <w:right w:val="single" w:color="000000" w:sz="8" w:space="0"/>
            </w:tcBorders>
            <w:vAlign w:val="center"/>
          </w:tcPr>
          <w:p w14:paraId="598825C5">
            <w:pPr>
              <w:widowControl/>
              <w:jc w:val="center"/>
              <w:rPr>
                <w:rFonts w:ascii="宋体" w:hAnsi="宋体" w:eastAsia="宋体" w:cs="宋体"/>
                <w:color w:val="auto"/>
                <w:kern w:val="0"/>
                <w:szCs w:val="21"/>
                <w:highlight w:val="none"/>
              </w:rPr>
            </w:pPr>
          </w:p>
        </w:tc>
        <w:tc>
          <w:tcPr>
            <w:tcW w:w="11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CBCC90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自定义表单</w:t>
            </w:r>
          </w:p>
        </w:tc>
        <w:tc>
          <w:tcPr>
            <w:tcW w:w="3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C244BB">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督考中心提供自定义表单功能，可根据业务需求自定义配置表头、填写表单字段，支持丰富的数据源、单元格格式设置、报表元素设计、背景设置、数据字典管理、报表打印功能、数据报表生成、图形报表设计、参数配置以及导入导出功能。</w:t>
            </w:r>
          </w:p>
        </w:tc>
      </w:tr>
    </w:tbl>
    <w:p w14:paraId="63893BEB">
      <w:pPr>
        <w:rPr>
          <w:rFonts w:hint="eastAsia" w:ascii="宋体" w:hAnsi="宋体" w:eastAsia="宋体" w:cs="宋体"/>
          <w:b/>
          <w:bCs/>
          <w:color w:val="auto"/>
          <w:sz w:val="24"/>
          <w:szCs w:val="24"/>
          <w:highlight w:val="none"/>
        </w:rPr>
      </w:pPr>
    </w:p>
    <w:p w14:paraId="56E67D8E">
      <w:pPr>
        <w:keepNext w:val="0"/>
        <w:keepLines w:val="0"/>
        <w:pageBreakBefore w:val="0"/>
        <w:widowControl w:val="0"/>
        <w:numPr>
          <w:ilvl w:val="0"/>
          <w:numId w:val="0"/>
        </w:numPr>
        <w:wordWrap/>
        <w:topLinePunct w:val="0"/>
        <w:bidi w:val="0"/>
        <w:adjustRightInd w:val="0"/>
        <w:snapToGrid w:val="0"/>
        <w:spacing w:line="360" w:lineRule="auto"/>
        <w:ind w:left="480" w:left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6.3数据资源建设详细技术要求</w:t>
      </w:r>
    </w:p>
    <w:tbl>
      <w:tblPr>
        <w:tblStyle w:val="65"/>
        <w:tblW w:w="5014"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71"/>
        <w:gridCol w:w="775"/>
        <w:gridCol w:w="1929"/>
        <w:gridCol w:w="6406"/>
      </w:tblGrid>
      <w:tr w14:paraId="32D44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2" w:hRule="atLeast"/>
        </w:trPr>
        <w:tc>
          <w:tcPr>
            <w:tcW w:w="390" w:type="pct"/>
            <w:tcBorders>
              <w:tl2br w:val="nil"/>
              <w:tr2bl w:val="nil"/>
            </w:tcBorders>
            <w:shd w:val="clear" w:color="auto" w:fill="auto"/>
            <w:vAlign w:val="center"/>
          </w:tcPr>
          <w:p w14:paraId="125A51BC">
            <w:pPr>
              <w:widowControl/>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序号</w:t>
            </w:r>
          </w:p>
        </w:tc>
        <w:tc>
          <w:tcPr>
            <w:tcW w:w="1368" w:type="pct"/>
            <w:gridSpan w:val="2"/>
            <w:tcBorders>
              <w:tl2br w:val="nil"/>
              <w:tr2bl w:val="nil"/>
            </w:tcBorders>
            <w:shd w:val="clear" w:color="auto" w:fill="auto"/>
            <w:vAlign w:val="center"/>
          </w:tcPr>
          <w:p w14:paraId="2DFE5E9C">
            <w:pPr>
              <w:widowControl/>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功能模块</w:t>
            </w:r>
          </w:p>
        </w:tc>
        <w:tc>
          <w:tcPr>
            <w:tcW w:w="3241" w:type="pct"/>
            <w:tcBorders>
              <w:tl2br w:val="nil"/>
              <w:tr2bl w:val="nil"/>
            </w:tcBorders>
            <w:shd w:val="clear" w:color="auto" w:fill="auto"/>
            <w:vAlign w:val="center"/>
          </w:tcPr>
          <w:p w14:paraId="27A10E6B">
            <w:pPr>
              <w:widowControl/>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功能描述</w:t>
            </w:r>
          </w:p>
        </w:tc>
      </w:tr>
      <w:tr w14:paraId="0FAD4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2" w:hRule="atLeast"/>
        </w:trPr>
        <w:tc>
          <w:tcPr>
            <w:tcW w:w="390" w:type="pct"/>
            <w:vMerge w:val="restart"/>
            <w:tcBorders>
              <w:tl2br w:val="nil"/>
              <w:tr2bl w:val="nil"/>
            </w:tcBorders>
            <w:shd w:val="clear" w:color="auto" w:fill="auto"/>
            <w:vAlign w:val="center"/>
          </w:tcPr>
          <w:p w14:paraId="65B0704C">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392" w:type="pct"/>
            <w:vMerge w:val="restart"/>
            <w:tcBorders>
              <w:tl2br w:val="nil"/>
              <w:tr2bl w:val="nil"/>
            </w:tcBorders>
            <w:shd w:val="clear" w:color="auto" w:fill="auto"/>
            <w:vAlign w:val="center"/>
          </w:tcPr>
          <w:p w14:paraId="40C02039">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数据采集</w:t>
            </w:r>
          </w:p>
        </w:tc>
        <w:tc>
          <w:tcPr>
            <w:tcW w:w="976" w:type="pct"/>
            <w:tcBorders>
              <w:tl2br w:val="nil"/>
              <w:tr2bl w:val="nil"/>
            </w:tcBorders>
            <w:shd w:val="clear" w:color="auto" w:fill="auto"/>
            <w:vAlign w:val="center"/>
          </w:tcPr>
          <w:p w14:paraId="25A10E70">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浙江省七张问题清单系统数据</w:t>
            </w:r>
          </w:p>
        </w:tc>
        <w:tc>
          <w:tcPr>
            <w:tcW w:w="3241" w:type="pct"/>
            <w:tcBorders>
              <w:tl2br w:val="nil"/>
              <w:tr2bl w:val="nil"/>
            </w:tcBorders>
            <w:shd w:val="clear" w:color="auto" w:fill="auto"/>
            <w:vAlign w:val="center"/>
          </w:tcPr>
          <w:p w14:paraId="040C65B5">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手工采集数据，每月一次，一年12次，涉及</w:t>
            </w:r>
            <w:r>
              <w:rPr>
                <w:rFonts w:hint="eastAsia" w:ascii="宋体" w:hAnsi="宋体" w:eastAsia="宋体" w:cs="仿宋_GB2312"/>
                <w:color w:val="auto"/>
                <w:kern w:val="0"/>
                <w:szCs w:val="18"/>
                <w:highlight w:val="none"/>
                <w:lang w:bidi="ar"/>
              </w:rPr>
              <w:t>七张问题清单数据。包括问题编号、问题来源、所属年度、问题名称、所属清单、清单发布层级、清单主管部门、整改牵头单位、整改协同单位、是否典型案例、状态、清单排名等数据。</w:t>
            </w:r>
          </w:p>
        </w:tc>
      </w:tr>
      <w:tr w14:paraId="036F2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9" w:hRule="atLeast"/>
        </w:trPr>
        <w:tc>
          <w:tcPr>
            <w:tcW w:w="390" w:type="pct"/>
            <w:vMerge w:val="continue"/>
            <w:tcBorders>
              <w:tl2br w:val="nil"/>
              <w:tr2bl w:val="nil"/>
            </w:tcBorders>
            <w:shd w:val="clear" w:color="auto" w:fill="auto"/>
            <w:vAlign w:val="center"/>
          </w:tcPr>
          <w:p w14:paraId="06A1EABE">
            <w:pPr>
              <w:widowControl/>
              <w:jc w:val="center"/>
              <w:rPr>
                <w:rFonts w:ascii="宋体" w:hAnsi="宋体" w:eastAsia="宋体" w:cs="宋体"/>
                <w:color w:val="auto"/>
                <w:kern w:val="0"/>
                <w:szCs w:val="21"/>
                <w:highlight w:val="none"/>
              </w:rPr>
            </w:pPr>
          </w:p>
        </w:tc>
        <w:tc>
          <w:tcPr>
            <w:tcW w:w="392" w:type="pct"/>
            <w:vMerge w:val="continue"/>
            <w:tcBorders>
              <w:tl2br w:val="nil"/>
              <w:tr2bl w:val="nil"/>
            </w:tcBorders>
            <w:vAlign w:val="center"/>
          </w:tcPr>
          <w:p w14:paraId="0CB73DCA">
            <w:pPr>
              <w:widowControl/>
              <w:rPr>
                <w:rFonts w:ascii="宋体" w:hAnsi="宋体" w:eastAsia="宋体" w:cs="宋体"/>
                <w:color w:val="auto"/>
                <w:kern w:val="0"/>
                <w:szCs w:val="21"/>
                <w:highlight w:val="none"/>
              </w:rPr>
            </w:pPr>
          </w:p>
        </w:tc>
        <w:tc>
          <w:tcPr>
            <w:tcW w:w="976" w:type="pct"/>
            <w:tcBorders>
              <w:tl2br w:val="nil"/>
              <w:tr2bl w:val="nil"/>
            </w:tcBorders>
            <w:shd w:val="clear" w:color="auto" w:fill="auto"/>
            <w:vAlign w:val="center"/>
          </w:tcPr>
          <w:p w14:paraId="6CCA1BC9">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鄞州区政务协同办公平台领导批示、决策督查、专项督查数据</w:t>
            </w:r>
          </w:p>
        </w:tc>
        <w:tc>
          <w:tcPr>
            <w:tcW w:w="3241" w:type="pct"/>
            <w:tcBorders>
              <w:tl2br w:val="nil"/>
              <w:tr2bl w:val="nil"/>
            </w:tcBorders>
            <w:shd w:val="clear" w:color="auto" w:fill="auto"/>
            <w:vAlign w:val="center"/>
          </w:tcPr>
          <w:p w14:paraId="63DBBC4F">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数据迁移，通过接口推送，包括</w:t>
            </w:r>
            <w:r>
              <w:rPr>
                <w:rFonts w:hint="eastAsia" w:ascii="宋体" w:hAnsi="宋体" w:eastAsia="宋体" w:cs="仿宋_GB2312"/>
                <w:color w:val="auto"/>
                <w:kern w:val="0"/>
                <w:szCs w:val="18"/>
                <w:highlight w:val="none"/>
                <w:lang w:bidi="ar"/>
              </w:rPr>
              <w:t>领导批示数据、领导批（指）示反馈数据、决策/专项督查数据、决策/专项督查反馈数据。</w:t>
            </w:r>
          </w:p>
        </w:tc>
      </w:tr>
      <w:tr w14:paraId="4FBE8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9" w:hRule="atLeast"/>
        </w:trPr>
        <w:tc>
          <w:tcPr>
            <w:tcW w:w="390" w:type="pct"/>
            <w:vMerge w:val="continue"/>
            <w:tcBorders>
              <w:tl2br w:val="nil"/>
              <w:tr2bl w:val="nil"/>
            </w:tcBorders>
            <w:shd w:val="clear" w:color="auto" w:fill="auto"/>
            <w:vAlign w:val="center"/>
          </w:tcPr>
          <w:p w14:paraId="596864A9">
            <w:pPr>
              <w:widowControl/>
              <w:jc w:val="center"/>
              <w:rPr>
                <w:rFonts w:ascii="宋体" w:hAnsi="宋体" w:eastAsia="宋体" w:cs="宋体"/>
                <w:color w:val="auto"/>
                <w:kern w:val="0"/>
                <w:szCs w:val="21"/>
                <w:highlight w:val="none"/>
              </w:rPr>
            </w:pPr>
          </w:p>
        </w:tc>
        <w:tc>
          <w:tcPr>
            <w:tcW w:w="392" w:type="pct"/>
            <w:vMerge w:val="continue"/>
            <w:tcBorders>
              <w:tl2br w:val="nil"/>
              <w:tr2bl w:val="nil"/>
            </w:tcBorders>
            <w:vAlign w:val="center"/>
          </w:tcPr>
          <w:p w14:paraId="14EA9A30">
            <w:pPr>
              <w:widowControl/>
              <w:rPr>
                <w:rFonts w:ascii="宋体" w:hAnsi="宋体" w:eastAsia="宋体" w:cs="宋体"/>
                <w:color w:val="auto"/>
                <w:kern w:val="0"/>
                <w:szCs w:val="21"/>
                <w:highlight w:val="none"/>
              </w:rPr>
            </w:pPr>
          </w:p>
        </w:tc>
        <w:tc>
          <w:tcPr>
            <w:tcW w:w="976" w:type="pct"/>
            <w:tcBorders>
              <w:tl2br w:val="nil"/>
              <w:tr2bl w:val="nil"/>
            </w:tcBorders>
            <w:shd w:val="clear" w:color="auto" w:fill="auto"/>
            <w:vAlign w:val="center"/>
          </w:tcPr>
          <w:p w14:paraId="0729E168">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鄞州区政务协同办公平台建议提案相关数据</w:t>
            </w:r>
          </w:p>
        </w:tc>
        <w:tc>
          <w:tcPr>
            <w:tcW w:w="3241" w:type="pct"/>
            <w:tcBorders>
              <w:tl2br w:val="nil"/>
              <w:tr2bl w:val="nil"/>
            </w:tcBorders>
            <w:shd w:val="clear" w:color="auto" w:fill="auto"/>
            <w:vAlign w:val="center"/>
          </w:tcPr>
          <w:p w14:paraId="312D9145">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数据接口方式，实时同步，涉及</w:t>
            </w:r>
            <w:r>
              <w:rPr>
                <w:rFonts w:hint="eastAsia" w:ascii="宋体" w:hAnsi="宋体" w:eastAsia="宋体" w:cs="仿宋_GB2312"/>
                <w:color w:val="auto"/>
                <w:kern w:val="0"/>
                <w:szCs w:val="18"/>
                <w:highlight w:val="none"/>
                <w:lang w:bidi="ar"/>
              </w:rPr>
              <w:t>人大建议数据、政协提案数据，涉及和</w:t>
            </w:r>
            <w:r>
              <w:rPr>
                <w:rFonts w:hint="eastAsia" w:ascii="宋体" w:hAnsi="宋体" w:eastAsia="宋体" w:cs="宋体"/>
                <w:color w:val="auto"/>
                <w:kern w:val="0"/>
                <w:szCs w:val="21"/>
                <w:highlight w:val="none"/>
              </w:rPr>
              <w:t>鄞州区政务协同办公平台对接，接口规则制定、开发等。</w:t>
            </w:r>
          </w:p>
        </w:tc>
      </w:tr>
      <w:tr w14:paraId="446C3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0" w:hRule="atLeast"/>
        </w:trPr>
        <w:tc>
          <w:tcPr>
            <w:tcW w:w="390" w:type="pct"/>
            <w:vMerge w:val="continue"/>
            <w:tcBorders>
              <w:tl2br w:val="nil"/>
              <w:tr2bl w:val="nil"/>
            </w:tcBorders>
            <w:shd w:val="clear" w:color="auto" w:fill="auto"/>
            <w:vAlign w:val="center"/>
          </w:tcPr>
          <w:p w14:paraId="5BE46D34">
            <w:pPr>
              <w:widowControl/>
              <w:jc w:val="center"/>
              <w:rPr>
                <w:rFonts w:ascii="宋体" w:hAnsi="宋体" w:eastAsia="宋体" w:cs="宋体"/>
                <w:color w:val="auto"/>
                <w:kern w:val="0"/>
                <w:szCs w:val="21"/>
                <w:highlight w:val="none"/>
              </w:rPr>
            </w:pPr>
          </w:p>
        </w:tc>
        <w:tc>
          <w:tcPr>
            <w:tcW w:w="392" w:type="pct"/>
            <w:vMerge w:val="continue"/>
            <w:tcBorders>
              <w:tl2br w:val="nil"/>
              <w:tr2bl w:val="nil"/>
            </w:tcBorders>
            <w:vAlign w:val="center"/>
          </w:tcPr>
          <w:p w14:paraId="653E4C30">
            <w:pPr>
              <w:widowControl/>
              <w:rPr>
                <w:rFonts w:ascii="宋体" w:hAnsi="宋体" w:eastAsia="宋体" w:cs="宋体"/>
                <w:color w:val="auto"/>
                <w:kern w:val="0"/>
                <w:szCs w:val="21"/>
                <w:highlight w:val="none"/>
              </w:rPr>
            </w:pPr>
          </w:p>
        </w:tc>
        <w:tc>
          <w:tcPr>
            <w:tcW w:w="976" w:type="pct"/>
            <w:tcBorders>
              <w:tl2br w:val="nil"/>
              <w:tr2bl w:val="nil"/>
            </w:tcBorders>
            <w:shd w:val="clear" w:color="auto" w:fill="auto"/>
            <w:vAlign w:val="center"/>
          </w:tcPr>
          <w:p w14:paraId="21FDC7A6">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鄞督查系统数据</w:t>
            </w:r>
          </w:p>
        </w:tc>
        <w:tc>
          <w:tcPr>
            <w:tcW w:w="3241" w:type="pct"/>
            <w:tcBorders>
              <w:tl2br w:val="nil"/>
              <w:tr2bl w:val="nil"/>
            </w:tcBorders>
            <w:shd w:val="clear" w:color="auto" w:fill="auto"/>
            <w:vAlign w:val="center"/>
          </w:tcPr>
          <w:p w14:paraId="5282E011">
            <w:pPr>
              <w:widowControl/>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数据迁移，</w:t>
            </w:r>
            <w:r>
              <w:rPr>
                <w:rFonts w:hint="eastAsia" w:ascii="宋体" w:hAnsi="宋体" w:eastAsia="宋体" w:cs="仿宋_GB2312"/>
                <w:color w:val="auto"/>
                <w:kern w:val="0"/>
                <w:szCs w:val="18"/>
                <w:highlight w:val="none"/>
                <w:lang w:bidi="ar"/>
              </w:rPr>
              <w:t>通过接口方式推送。包括项目名称、来源性质、分管领导、责任单位、进度详情、进度滞后原因、存在的问题详情、签发人信息等；民生实事清单数据：事项类型、事项名称、责任单位、完成情况、月度/季度排名等信息</w:t>
            </w:r>
            <w:r>
              <w:rPr>
                <w:rFonts w:hint="eastAsia" w:ascii="宋体" w:hAnsi="宋体" w:cs="仿宋_GB2312"/>
                <w:color w:val="auto"/>
                <w:kern w:val="0"/>
                <w:szCs w:val="18"/>
                <w:highlight w:val="none"/>
                <w:lang w:eastAsia="zh-CN" w:bidi="ar"/>
              </w:rPr>
              <w:t>。</w:t>
            </w:r>
          </w:p>
        </w:tc>
      </w:tr>
      <w:tr w14:paraId="02152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0" w:hRule="atLeast"/>
        </w:trPr>
        <w:tc>
          <w:tcPr>
            <w:tcW w:w="390" w:type="pct"/>
            <w:vMerge w:val="continue"/>
            <w:tcBorders>
              <w:tl2br w:val="nil"/>
              <w:tr2bl w:val="nil"/>
            </w:tcBorders>
            <w:shd w:val="clear" w:color="auto" w:fill="auto"/>
            <w:vAlign w:val="center"/>
          </w:tcPr>
          <w:p w14:paraId="059807E8">
            <w:pPr>
              <w:widowControl/>
              <w:jc w:val="center"/>
              <w:rPr>
                <w:rFonts w:ascii="宋体" w:hAnsi="宋体" w:eastAsia="宋体" w:cs="宋体"/>
                <w:color w:val="auto"/>
                <w:kern w:val="0"/>
                <w:szCs w:val="21"/>
                <w:highlight w:val="none"/>
              </w:rPr>
            </w:pPr>
          </w:p>
        </w:tc>
        <w:tc>
          <w:tcPr>
            <w:tcW w:w="392" w:type="pct"/>
            <w:vMerge w:val="continue"/>
            <w:tcBorders>
              <w:tl2br w:val="nil"/>
              <w:tr2bl w:val="nil"/>
            </w:tcBorders>
            <w:vAlign w:val="center"/>
          </w:tcPr>
          <w:p w14:paraId="34740FF2">
            <w:pPr>
              <w:widowControl/>
              <w:rPr>
                <w:rFonts w:ascii="宋体" w:hAnsi="宋体" w:eastAsia="宋体" w:cs="宋体"/>
                <w:color w:val="auto"/>
                <w:kern w:val="0"/>
                <w:szCs w:val="21"/>
                <w:highlight w:val="none"/>
              </w:rPr>
            </w:pPr>
          </w:p>
        </w:tc>
        <w:tc>
          <w:tcPr>
            <w:tcW w:w="976" w:type="pct"/>
            <w:tcBorders>
              <w:tl2br w:val="nil"/>
              <w:tr2bl w:val="nil"/>
            </w:tcBorders>
            <w:shd w:val="clear" w:color="auto" w:fill="auto"/>
            <w:vAlign w:val="center"/>
          </w:tcPr>
          <w:p w14:paraId="63948763">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鄞擂台系统数据</w:t>
            </w:r>
          </w:p>
        </w:tc>
        <w:tc>
          <w:tcPr>
            <w:tcW w:w="3241" w:type="pct"/>
            <w:tcBorders>
              <w:tl2br w:val="nil"/>
              <w:tr2bl w:val="nil"/>
            </w:tcBorders>
            <w:shd w:val="clear" w:color="auto" w:fill="auto"/>
            <w:vAlign w:val="center"/>
          </w:tcPr>
          <w:p w14:paraId="06F2FA25">
            <w:pPr>
              <w:widowControl/>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数据接口方式，实时同步，涉及</w:t>
            </w:r>
            <w:r>
              <w:rPr>
                <w:rFonts w:hint="eastAsia" w:ascii="宋体" w:hAnsi="宋体" w:eastAsia="宋体" w:cs="仿宋_GB2312"/>
                <w:color w:val="auto"/>
                <w:kern w:val="0"/>
                <w:szCs w:val="18"/>
                <w:highlight w:val="none"/>
                <w:lang w:bidi="ar"/>
              </w:rPr>
              <w:t>指标数据</w:t>
            </w:r>
            <w:r>
              <w:rPr>
                <w:rFonts w:hint="eastAsia" w:ascii="宋体" w:hAnsi="宋体" w:cs="仿宋_GB2312"/>
                <w:color w:val="auto"/>
                <w:kern w:val="0"/>
                <w:szCs w:val="18"/>
                <w:highlight w:val="none"/>
                <w:lang w:eastAsia="zh-CN" w:bidi="ar"/>
              </w:rPr>
              <w:t>。</w:t>
            </w:r>
          </w:p>
        </w:tc>
      </w:tr>
      <w:tr w14:paraId="1D099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0" w:hRule="atLeast"/>
        </w:trPr>
        <w:tc>
          <w:tcPr>
            <w:tcW w:w="390" w:type="pct"/>
            <w:tcBorders>
              <w:tl2br w:val="nil"/>
              <w:tr2bl w:val="nil"/>
            </w:tcBorders>
            <w:shd w:val="clear" w:color="auto" w:fill="auto"/>
            <w:vAlign w:val="center"/>
          </w:tcPr>
          <w:p w14:paraId="00A42CDB">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p>
        </w:tc>
        <w:tc>
          <w:tcPr>
            <w:tcW w:w="1368" w:type="pct"/>
            <w:gridSpan w:val="2"/>
            <w:tcBorders>
              <w:tl2br w:val="nil"/>
              <w:tr2bl w:val="nil"/>
            </w:tcBorders>
            <w:shd w:val="clear" w:color="auto" w:fill="auto"/>
            <w:vAlign w:val="center"/>
          </w:tcPr>
          <w:p w14:paraId="35597114">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数据治理</w:t>
            </w:r>
          </w:p>
        </w:tc>
        <w:tc>
          <w:tcPr>
            <w:tcW w:w="3241" w:type="pct"/>
            <w:tcBorders>
              <w:tl2br w:val="nil"/>
              <w:tr2bl w:val="nil"/>
            </w:tcBorders>
            <w:shd w:val="clear" w:color="auto" w:fill="auto"/>
            <w:vAlign w:val="center"/>
          </w:tcPr>
          <w:p w14:paraId="03865BB0">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数据清洗、转换、比对等。</w:t>
            </w:r>
          </w:p>
        </w:tc>
      </w:tr>
      <w:tr w14:paraId="34F41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8" w:hRule="atLeast"/>
        </w:trPr>
        <w:tc>
          <w:tcPr>
            <w:tcW w:w="390" w:type="pct"/>
            <w:tcBorders>
              <w:tl2br w:val="nil"/>
              <w:tr2bl w:val="nil"/>
            </w:tcBorders>
            <w:shd w:val="clear" w:color="auto" w:fill="auto"/>
            <w:vAlign w:val="center"/>
          </w:tcPr>
          <w:p w14:paraId="133345C6">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p>
        </w:tc>
        <w:tc>
          <w:tcPr>
            <w:tcW w:w="1368" w:type="pct"/>
            <w:gridSpan w:val="2"/>
            <w:tcBorders>
              <w:tl2br w:val="nil"/>
              <w:tr2bl w:val="nil"/>
            </w:tcBorders>
            <w:shd w:val="clear" w:color="auto" w:fill="auto"/>
            <w:vAlign w:val="center"/>
          </w:tcPr>
          <w:p w14:paraId="310877C0">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数据加密</w:t>
            </w:r>
          </w:p>
        </w:tc>
        <w:tc>
          <w:tcPr>
            <w:tcW w:w="3241" w:type="pct"/>
            <w:tcBorders>
              <w:tl2br w:val="nil"/>
              <w:tr2bl w:val="nil"/>
            </w:tcBorders>
            <w:shd w:val="clear" w:color="auto" w:fill="auto"/>
            <w:vAlign w:val="center"/>
          </w:tcPr>
          <w:p w14:paraId="18045DC5">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数据加密服务，接口具有相应的安全保障机制，保证数据在传输过程中的保密性、完整性和可用性。</w:t>
            </w:r>
          </w:p>
        </w:tc>
      </w:tr>
      <w:tr w14:paraId="57505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9" w:hRule="atLeast"/>
        </w:trPr>
        <w:tc>
          <w:tcPr>
            <w:tcW w:w="390" w:type="pct"/>
            <w:tcBorders>
              <w:tl2br w:val="nil"/>
              <w:tr2bl w:val="nil"/>
            </w:tcBorders>
            <w:shd w:val="clear" w:color="auto" w:fill="auto"/>
            <w:vAlign w:val="center"/>
          </w:tcPr>
          <w:p w14:paraId="1251B07B">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w:t>
            </w:r>
          </w:p>
        </w:tc>
        <w:tc>
          <w:tcPr>
            <w:tcW w:w="1368" w:type="pct"/>
            <w:gridSpan w:val="2"/>
            <w:tcBorders>
              <w:tl2br w:val="nil"/>
              <w:tr2bl w:val="nil"/>
            </w:tcBorders>
            <w:shd w:val="clear" w:color="auto" w:fill="auto"/>
            <w:vAlign w:val="center"/>
          </w:tcPr>
          <w:p w14:paraId="62EC0DE3">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数据脱敏</w:t>
            </w:r>
          </w:p>
        </w:tc>
        <w:tc>
          <w:tcPr>
            <w:tcW w:w="3241" w:type="pct"/>
            <w:tcBorders>
              <w:tl2br w:val="nil"/>
              <w:tr2bl w:val="nil"/>
            </w:tcBorders>
            <w:shd w:val="clear" w:color="auto" w:fill="auto"/>
            <w:vAlign w:val="center"/>
          </w:tcPr>
          <w:p w14:paraId="162DAD24">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本项目涉及督考敏感数据，如综合考核中打分评价的详细数据、报表汇总分数、领导评分、领导批示内容、督办问效的分数等。为保障数据隐私，本项目将对敏感数据资源进行必要的脱敏处理。</w:t>
            </w:r>
          </w:p>
        </w:tc>
      </w:tr>
      <w:tr w14:paraId="2A653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9" w:hRule="atLeast"/>
        </w:trPr>
        <w:tc>
          <w:tcPr>
            <w:tcW w:w="390" w:type="pct"/>
            <w:vMerge w:val="restart"/>
            <w:tcBorders>
              <w:tl2br w:val="nil"/>
              <w:tr2bl w:val="nil"/>
            </w:tcBorders>
            <w:shd w:val="clear" w:color="auto" w:fill="auto"/>
            <w:vAlign w:val="center"/>
          </w:tcPr>
          <w:p w14:paraId="36B1CED5">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392" w:type="pct"/>
            <w:vMerge w:val="restart"/>
            <w:tcBorders>
              <w:tl2br w:val="nil"/>
              <w:tr2bl w:val="nil"/>
            </w:tcBorders>
            <w:shd w:val="clear" w:color="auto" w:fill="auto"/>
            <w:vAlign w:val="center"/>
          </w:tcPr>
          <w:p w14:paraId="2E669DBC">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数据库建设</w:t>
            </w:r>
          </w:p>
        </w:tc>
        <w:tc>
          <w:tcPr>
            <w:tcW w:w="976" w:type="pct"/>
            <w:tcBorders>
              <w:tl2br w:val="nil"/>
              <w:tr2bl w:val="nil"/>
            </w:tcBorders>
            <w:shd w:val="clear" w:color="auto" w:fill="auto"/>
            <w:vAlign w:val="center"/>
          </w:tcPr>
          <w:p w14:paraId="31BE0399">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基础库建设</w:t>
            </w:r>
          </w:p>
        </w:tc>
        <w:tc>
          <w:tcPr>
            <w:tcW w:w="3241" w:type="pct"/>
            <w:tcBorders>
              <w:tl2br w:val="nil"/>
              <w:tr2bl w:val="nil"/>
            </w:tcBorders>
            <w:shd w:val="clear" w:color="auto" w:fill="auto"/>
            <w:vAlign w:val="center"/>
          </w:tcPr>
          <w:p w14:paraId="75B43072">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基础库为人员与部门，权限，角色信息的关联提供基础支撑。包括人员基本信息，部门基本信息，权限编号，权限名称，权限说明，角色，角色名称，角色权限字符串，显示顺序等一系列信息</w:t>
            </w:r>
          </w:p>
        </w:tc>
      </w:tr>
      <w:tr w14:paraId="6D9AE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8" w:hRule="atLeast"/>
        </w:trPr>
        <w:tc>
          <w:tcPr>
            <w:tcW w:w="390" w:type="pct"/>
            <w:vMerge w:val="continue"/>
            <w:tcBorders>
              <w:tl2br w:val="nil"/>
              <w:tr2bl w:val="nil"/>
            </w:tcBorders>
            <w:shd w:val="clear" w:color="auto" w:fill="auto"/>
            <w:vAlign w:val="center"/>
          </w:tcPr>
          <w:p w14:paraId="088E7BE2">
            <w:pPr>
              <w:widowControl/>
              <w:rPr>
                <w:rFonts w:ascii="宋体" w:hAnsi="宋体" w:eastAsia="宋体" w:cs="宋体"/>
                <w:color w:val="auto"/>
                <w:kern w:val="0"/>
                <w:szCs w:val="21"/>
                <w:highlight w:val="none"/>
              </w:rPr>
            </w:pPr>
          </w:p>
        </w:tc>
        <w:tc>
          <w:tcPr>
            <w:tcW w:w="392" w:type="pct"/>
            <w:vMerge w:val="continue"/>
            <w:tcBorders>
              <w:tl2br w:val="nil"/>
              <w:tr2bl w:val="nil"/>
            </w:tcBorders>
            <w:vAlign w:val="center"/>
          </w:tcPr>
          <w:p w14:paraId="5D334EAA">
            <w:pPr>
              <w:widowControl/>
              <w:rPr>
                <w:rFonts w:ascii="宋体" w:hAnsi="宋体" w:eastAsia="宋体" w:cs="宋体"/>
                <w:color w:val="auto"/>
                <w:kern w:val="0"/>
                <w:szCs w:val="21"/>
                <w:highlight w:val="none"/>
              </w:rPr>
            </w:pPr>
          </w:p>
        </w:tc>
        <w:tc>
          <w:tcPr>
            <w:tcW w:w="976" w:type="pct"/>
            <w:tcBorders>
              <w:tl2br w:val="nil"/>
              <w:tr2bl w:val="nil"/>
            </w:tcBorders>
            <w:shd w:val="clear" w:color="auto" w:fill="auto"/>
            <w:vAlign w:val="center"/>
          </w:tcPr>
          <w:p w14:paraId="145DA721">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资源库建设</w:t>
            </w:r>
          </w:p>
        </w:tc>
        <w:tc>
          <w:tcPr>
            <w:tcW w:w="3241" w:type="pct"/>
            <w:tcBorders>
              <w:tl2br w:val="nil"/>
              <w:tr2bl w:val="nil"/>
            </w:tcBorders>
            <w:shd w:val="clear" w:color="auto" w:fill="auto"/>
            <w:vAlign w:val="center"/>
          </w:tcPr>
          <w:p w14:paraId="6CEC906E">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资源库为系统与外部资源的关联提供支撑，为业务应用调用各个场景的附件资源提供索引。</w:t>
            </w:r>
          </w:p>
        </w:tc>
      </w:tr>
      <w:tr w14:paraId="78666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1" w:hRule="atLeast"/>
        </w:trPr>
        <w:tc>
          <w:tcPr>
            <w:tcW w:w="390" w:type="pct"/>
            <w:vMerge w:val="continue"/>
            <w:tcBorders>
              <w:tl2br w:val="nil"/>
              <w:tr2bl w:val="nil"/>
            </w:tcBorders>
            <w:shd w:val="clear" w:color="auto" w:fill="auto"/>
            <w:vAlign w:val="center"/>
          </w:tcPr>
          <w:p w14:paraId="69FFB725">
            <w:pPr>
              <w:widowControl/>
              <w:rPr>
                <w:rFonts w:ascii="宋体" w:hAnsi="宋体" w:eastAsia="宋体" w:cs="宋体"/>
                <w:color w:val="auto"/>
                <w:kern w:val="0"/>
                <w:szCs w:val="21"/>
                <w:highlight w:val="none"/>
              </w:rPr>
            </w:pPr>
          </w:p>
        </w:tc>
        <w:tc>
          <w:tcPr>
            <w:tcW w:w="392" w:type="pct"/>
            <w:vMerge w:val="continue"/>
            <w:tcBorders>
              <w:tl2br w:val="nil"/>
              <w:tr2bl w:val="nil"/>
            </w:tcBorders>
            <w:vAlign w:val="center"/>
          </w:tcPr>
          <w:p w14:paraId="1221F0C5">
            <w:pPr>
              <w:widowControl/>
              <w:rPr>
                <w:rFonts w:ascii="宋体" w:hAnsi="宋体" w:eastAsia="宋体" w:cs="宋体"/>
                <w:color w:val="auto"/>
                <w:kern w:val="0"/>
                <w:szCs w:val="21"/>
                <w:highlight w:val="none"/>
              </w:rPr>
            </w:pPr>
          </w:p>
        </w:tc>
        <w:tc>
          <w:tcPr>
            <w:tcW w:w="976" w:type="pct"/>
            <w:tcBorders>
              <w:tl2br w:val="nil"/>
              <w:tr2bl w:val="nil"/>
            </w:tcBorders>
            <w:shd w:val="clear" w:color="auto" w:fill="auto"/>
            <w:vAlign w:val="center"/>
          </w:tcPr>
          <w:p w14:paraId="3B1E5F61">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配置库建设</w:t>
            </w:r>
          </w:p>
        </w:tc>
        <w:tc>
          <w:tcPr>
            <w:tcW w:w="3241" w:type="pct"/>
            <w:tcBorders>
              <w:tl2br w:val="nil"/>
              <w:tr2bl w:val="nil"/>
            </w:tcBorders>
            <w:shd w:val="clear" w:color="auto" w:fill="auto"/>
            <w:vAlign w:val="center"/>
          </w:tcPr>
          <w:p w14:paraId="783EF713">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配置库为系统与内部配置的关联提供支撑，分为编码库，模型数据库，监测预警库等。</w:t>
            </w:r>
          </w:p>
        </w:tc>
      </w:tr>
      <w:tr w14:paraId="647B4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1" w:hRule="atLeast"/>
        </w:trPr>
        <w:tc>
          <w:tcPr>
            <w:tcW w:w="390" w:type="pct"/>
            <w:vMerge w:val="continue"/>
            <w:tcBorders>
              <w:tl2br w:val="nil"/>
              <w:tr2bl w:val="nil"/>
            </w:tcBorders>
            <w:shd w:val="clear" w:color="auto" w:fill="auto"/>
            <w:vAlign w:val="center"/>
          </w:tcPr>
          <w:p w14:paraId="0B75ED1A">
            <w:pPr>
              <w:widowControl/>
              <w:rPr>
                <w:rFonts w:ascii="宋体" w:hAnsi="宋体" w:eastAsia="宋体" w:cs="宋体"/>
                <w:color w:val="auto"/>
                <w:kern w:val="0"/>
                <w:szCs w:val="21"/>
                <w:highlight w:val="none"/>
              </w:rPr>
            </w:pPr>
          </w:p>
        </w:tc>
        <w:tc>
          <w:tcPr>
            <w:tcW w:w="392" w:type="pct"/>
            <w:vMerge w:val="continue"/>
            <w:tcBorders>
              <w:tl2br w:val="nil"/>
              <w:tr2bl w:val="nil"/>
            </w:tcBorders>
            <w:vAlign w:val="center"/>
          </w:tcPr>
          <w:p w14:paraId="4615BA50">
            <w:pPr>
              <w:widowControl/>
              <w:rPr>
                <w:rFonts w:ascii="宋体" w:hAnsi="宋体" w:eastAsia="宋体" w:cs="宋体"/>
                <w:color w:val="auto"/>
                <w:kern w:val="0"/>
                <w:szCs w:val="21"/>
                <w:highlight w:val="none"/>
              </w:rPr>
            </w:pPr>
          </w:p>
        </w:tc>
        <w:tc>
          <w:tcPr>
            <w:tcW w:w="976" w:type="pct"/>
            <w:tcBorders>
              <w:tl2br w:val="nil"/>
              <w:tr2bl w:val="nil"/>
            </w:tcBorders>
            <w:shd w:val="clear" w:color="auto" w:fill="auto"/>
            <w:vAlign w:val="center"/>
          </w:tcPr>
          <w:p w14:paraId="4A996DEC">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主题库建设</w:t>
            </w:r>
          </w:p>
        </w:tc>
        <w:tc>
          <w:tcPr>
            <w:tcW w:w="3241" w:type="pct"/>
            <w:tcBorders>
              <w:tl2br w:val="nil"/>
              <w:tr2bl w:val="nil"/>
            </w:tcBorders>
            <w:shd w:val="clear" w:color="auto" w:fill="auto"/>
            <w:vAlign w:val="center"/>
          </w:tcPr>
          <w:p w14:paraId="35404203">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主题库为系统与各个主题的关联提供支撑，根据大类可以分为任务库，</w:t>
            </w:r>
            <w:r>
              <w:rPr>
                <w:rFonts w:hint="eastAsia" w:ascii="宋体" w:hAnsi="宋体" w:eastAsia="宋体" w:cs="宋体"/>
                <w:color w:val="auto"/>
                <w:kern w:val="0"/>
                <w:szCs w:val="21"/>
                <w:highlight w:val="none"/>
              </w:rPr>
              <w:t>事项</w:t>
            </w:r>
            <w:r>
              <w:rPr>
                <w:rFonts w:ascii="宋体" w:hAnsi="宋体" w:eastAsia="宋体" w:cs="宋体"/>
                <w:color w:val="auto"/>
                <w:kern w:val="0"/>
                <w:szCs w:val="21"/>
                <w:highlight w:val="none"/>
              </w:rPr>
              <w:t>库。</w:t>
            </w:r>
          </w:p>
        </w:tc>
      </w:tr>
      <w:tr w14:paraId="79C96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9" w:hRule="atLeast"/>
        </w:trPr>
        <w:tc>
          <w:tcPr>
            <w:tcW w:w="390" w:type="pct"/>
            <w:vMerge w:val="continue"/>
            <w:tcBorders>
              <w:tl2br w:val="nil"/>
              <w:tr2bl w:val="nil"/>
            </w:tcBorders>
            <w:shd w:val="clear" w:color="auto" w:fill="auto"/>
            <w:vAlign w:val="center"/>
          </w:tcPr>
          <w:p w14:paraId="677F5333">
            <w:pPr>
              <w:widowControl/>
              <w:rPr>
                <w:rFonts w:ascii="宋体" w:hAnsi="宋体" w:eastAsia="宋体" w:cs="宋体"/>
                <w:color w:val="auto"/>
                <w:kern w:val="0"/>
                <w:szCs w:val="21"/>
                <w:highlight w:val="none"/>
              </w:rPr>
            </w:pPr>
          </w:p>
        </w:tc>
        <w:tc>
          <w:tcPr>
            <w:tcW w:w="392" w:type="pct"/>
            <w:vMerge w:val="continue"/>
            <w:tcBorders>
              <w:tl2br w:val="nil"/>
              <w:tr2bl w:val="nil"/>
            </w:tcBorders>
            <w:vAlign w:val="center"/>
          </w:tcPr>
          <w:p w14:paraId="1AA7CA29">
            <w:pPr>
              <w:widowControl/>
              <w:rPr>
                <w:rFonts w:ascii="宋体" w:hAnsi="宋体" w:eastAsia="宋体" w:cs="宋体"/>
                <w:color w:val="auto"/>
                <w:kern w:val="0"/>
                <w:szCs w:val="21"/>
                <w:highlight w:val="none"/>
              </w:rPr>
            </w:pPr>
          </w:p>
        </w:tc>
        <w:tc>
          <w:tcPr>
            <w:tcW w:w="976" w:type="pct"/>
            <w:tcBorders>
              <w:tl2br w:val="nil"/>
              <w:tr2bl w:val="nil"/>
            </w:tcBorders>
            <w:shd w:val="clear" w:color="auto" w:fill="auto"/>
            <w:vAlign w:val="center"/>
          </w:tcPr>
          <w:p w14:paraId="32033953">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专题库建设</w:t>
            </w:r>
          </w:p>
        </w:tc>
        <w:tc>
          <w:tcPr>
            <w:tcW w:w="3241" w:type="pct"/>
            <w:tcBorders>
              <w:tl2br w:val="nil"/>
              <w:tr2bl w:val="nil"/>
            </w:tcBorders>
            <w:shd w:val="clear" w:color="auto" w:fill="auto"/>
            <w:vAlign w:val="center"/>
          </w:tcPr>
          <w:p w14:paraId="48076817">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包括党政督查专题库、综合考核专题库、综合集成专题库</w:t>
            </w:r>
          </w:p>
        </w:tc>
      </w:tr>
      <w:tr w14:paraId="3D9F6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6" w:hRule="atLeast"/>
        </w:trPr>
        <w:tc>
          <w:tcPr>
            <w:tcW w:w="390" w:type="pct"/>
            <w:vMerge w:val="continue"/>
            <w:tcBorders>
              <w:tl2br w:val="nil"/>
              <w:tr2bl w:val="nil"/>
            </w:tcBorders>
            <w:shd w:val="clear" w:color="auto" w:fill="auto"/>
            <w:vAlign w:val="center"/>
          </w:tcPr>
          <w:p w14:paraId="3EDBD347">
            <w:pPr>
              <w:widowControl/>
              <w:rPr>
                <w:rFonts w:ascii="宋体" w:hAnsi="宋体" w:eastAsia="宋体" w:cs="宋体"/>
                <w:color w:val="auto"/>
                <w:kern w:val="0"/>
                <w:szCs w:val="21"/>
                <w:highlight w:val="none"/>
              </w:rPr>
            </w:pPr>
          </w:p>
        </w:tc>
        <w:tc>
          <w:tcPr>
            <w:tcW w:w="392" w:type="pct"/>
            <w:vMerge w:val="continue"/>
            <w:tcBorders>
              <w:tl2br w:val="nil"/>
              <w:tr2bl w:val="nil"/>
            </w:tcBorders>
            <w:vAlign w:val="center"/>
          </w:tcPr>
          <w:p w14:paraId="12451127">
            <w:pPr>
              <w:widowControl/>
              <w:rPr>
                <w:rFonts w:ascii="宋体" w:hAnsi="宋体" w:eastAsia="宋体" w:cs="宋体"/>
                <w:color w:val="auto"/>
                <w:kern w:val="0"/>
                <w:szCs w:val="21"/>
                <w:highlight w:val="none"/>
              </w:rPr>
            </w:pPr>
          </w:p>
        </w:tc>
        <w:tc>
          <w:tcPr>
            <w:tcW w:w="976" w:type="pct"/>
            <w:tcBorders>
              <w:tl2br w:val="nil"/>
              <w:tr2bl w:val="nil"/>
            </w:tcBorders>
            <w:shd w:val="clear" w:color="auto" w:fill="auto"/>
            <w:vAlign w:val="center"/>
          </w:tcPr>
          <w:p w14:paraId="7EAFCE25">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指标库建设</w:t>
            </w:r>
          </w:p>
        </w:tc>
        <w:tc>
          <w:tcPr>
            <w:tcW w:w="3241" w:type="pct"/>
            <w:tcBorders>
              <w:tl2br w:val="nil"/>
              <w:tr2bl w:val="nil"/>
            </w:tcBorders>
            <w:shd w:val="clear" w:color="auto" w:fill="auto"/>
            <w:vAlign w:val="center"/>
          </w:tcPr>
          <w:p w14:paraId="7CCC4D32">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各级主管部门对鄞州区督考一体化应用项目业务管理需要，结合数字化改革要求，为各级主管部门所使用的综合展示界面个性化设计管理指标，指标需贴合业务管理流程，需具有业务逻辑性，对业务管理和决策具有一定的作用。</w:t>
            </w:r>
          </w:p>
        </w:tc>
      </w:tr>
    </w:tbl>
    <w:p w14:paraId="0B60A862">
      <w:pPr>
        <w:keepNext w:val="0"/>
        <w:keepLines w:val="0"/>
        <w:pageBreakBefore w:val="0"/>
        <w:widowControl w:val="0"/>
        <w:numPr>
          <w:ilvl w:val="0"/>
          <w:numId w:val="0"/>
        </w:numPr>
        <w:wordWrap/>
        <w:topLinePunct w:val="0"/>
        <w:bidi w:val="0"/>
        <w:adjustRightInd w:val="0"/>
        <w:snapToGrid w:val="0"/>
        <w:spacing w:line="360" w:lineRule="auto"/>
        <w:ind w:left="480" w:leftChars="0"/>
        <w:jc w:val="both"/>
        <w:textAlignment w:val="auto"/>
        <w:rPr>
          <w:rFonts w:hint="eastAsia" w:ascii="宋体" w:hAnsi="宋体" w:eastAsia="宋体" w:cs="宋体"/>
          <w:b/>
          <w:bCs/>
          <w:color w:val="auto"/>
          <w:sz w:val="24"/>
          <w:szCs w:val="24"/>
          <w:highlight w:val="none"/>
          <w:lang w:val="en-US" w:eastAsia="zh-CN"/>
        </w:rPr>
      </w:pPr>
    </w:p>
    <w:p w14:paraId="720AB9E3">
      <w:pPr>
        <w:keepNext w:val="0"/>
        <w:keepLines w:val="0"/>
        <w:pageBreakBefore w:val="0"/>
        <w:widowControl w:val="0"/>
        <w:numPr>
          <w:ilvl w:val="0"/>
          <w:numId w:val="0"/>
        </w:numPr>
        <w:wordWrap/>
        <w:topLinePunct w:val="0"/>
        <w:bidi w:val="0"/>
        <w:adjustRightInd w:val="0"/>
        <w:snapToGrid w:val="0"/>
        <w:spacing w:line="360" w:lineRule="auto"/>
        <w:ind w:left="480" w:leftChars="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6.4</w:t>
      </w:r>
      <w:r>
        <w:rPr>
          <w:rFonts w:hint="eastAsia" w:ascii="宋体" w:hAnsi="宋体" w:eastAsia="宋体" w:cs="宋体"/>
          <w:b/>
          <w:bCs/>
          <w:color w:val="auto"/>
          <w:sz w:val="24"/>
          <w:szCs w:val="24"/>
          <w:highlight w:val="none"/>
          <w:lang w:val="en-US" w:eastAsia="zh-CN"/>
        </w:rPr>
        <w:t>基础设施建设详细技术要求</w:t>
      </w:r>
    </w:p>
    <w:tbl>
      <w:tblPr>
        <w:tblStyle w:val="65"/>
        <w:tblW w:w="502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1986"/>
        <w:gridCol w:w="4831"/>
        <w:gridCol w:w="738"/>
        <w:gridCol w:w="728"/>
        <w:gridCol w:w="921"/>
      </w:tblGrid>
      <w:tr w14:paraId="5331F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AB4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rPr>
              <w:t>序号</w:t>
            </w:r>
          </w:p>
        </w:tc>
        <w:tc>
          <w:tcPr>
            <w:tcW w:w="19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89F2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rPr>
              <w:t>名称</w:t>
            </w:r>
          </w:p>
        </w:tc>
        <w:tc>
          <w:tcPr>
            <w:tcW w:w="48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AE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rPr>
              <w:t>用途说明</w:t>
            </w: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35D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rPr>
              <w:t>数量</w:t>
            </w:r>
          </w:p>
        </w:tc>
        <w:tc>
          <w:tcPr>
            <w:tcW w:w="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FDE0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rPr>
              <w:t>单位</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F763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rPr>
              <w:t>备注</w:t>
            </w:r>
          </w:p>
        </w:tc>
      </w:tr>
      <w:tr w14:paraId="1CE5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E6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w:t>
            </w:r>
          </w:p>
        </w:tc>
        <w:tc>
          <w:tcPr>
            <w:tcW w:w="19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05A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国产数据库管理软件</w:t>
            </w:r>
          </w:p>
        </w:tc>
        <w:tc>
          <w:tcPr>
            <w:tcW w:w="48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286D27">
            <w:pPr>
              <w:bidi w:val="0"/>
              <w:rPr>
                <w:rFonts w:hint="eastAsia" w:ascii="宋体" w:hAnsi="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1.支持国产硬件体系，支持飞腾系列、龙芯系列、申威系列、兆芯系列、鲲鹏系列、海光系列等不同CPU架构的服务器；支持国产操作系统平台（UOS、麒麟、凝思磐石、中科方德、深之度、普华等）；</w:t>
            </w:r>
          </w:p>
          <w:p w14:paraId="348B77B0">
            <w:pPr>
              <w:bidi w:val="0"/>
              <w:rPr>
                <w:rFonts w:hint="eastAsia" w:ascii="宋体" w:hAnsi="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2.支持多范围数据类型，支持通过编写简单的查询处理复杂的范围数据;支持lz4算法进行数据压缩实现高压缩比，节省磁盘空间；</w:t>
            </w:r>
          </w:p>
          <w:p w14:paraId="3373AB03">
            <w:pPr>
              <w:bidi w:val="0"/>
              <w:rPr>
                <w:rFonts w:hint="eastAsia"/>
                <w:color w:val="auto"/>
                <w:highlight w:val="none"/>
                <w:lang w:eastAsia="zh-CN"/>
              </w:rPr>
            </w:pPr>
            <w:r>
              <w:rPr>
                <w:rFonts w:hint="eastAsia" w:ascii="宋体" w:hAnsi="宋体" w:cs="宋体"/>
                <w:i w:val="0"/>
                <w:iCs w:val="0"/>
                <w:color w:val="auto"/>
                <w:kern w:val="0"/>
                <w:sz w:val="21"/>
                <w:szCs w:val="21"/>
                <w:highlight w:val="none"/>
                <w:u w:val="none"/>
                <w:lang w:val="en-US" w:eastAsia="zh-CN"/>
              </w:rPr>
              <w:t>3.支持数据文件到表的快速转换功能，提供分区表的大量数据导入及索引的创建，实现数据文件到表的快速转换。</w:t>
            </w: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2584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2</w:t>
            </w:r>
          </w:p>
        </w:tc>
        <w:tc>
          <w:tcPr>
            <w:tcW w:w="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B21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套</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22E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w:t>
            </w:r>
          </w:p>
        </w:tc>
      </w:tr>
      <w:tr w14:paraId="3C465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CEF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rPr>
              <w:t>2</w:t>
            </w:r>
          </w:p>
        </w:tc>
        <w:tc>
          <w:tcPr>
            <w:tcW w:w="19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7EF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国产操作系统</w:t>
            </w:r>
          </w:p>
        </w:tc>
        <w:tc>
          <w:tcPr>
            <w:tcW w:w="48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B38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1、</w:t>
            </w:r>
            <w:r>
              <w:rPr>
                <w:rFonts w:hint="eastAsia" w:ascii="宋体" w:hAnsi="宋体" w:eastAsia="宋体" w:cs="宋体"/>
                <w:i w:val="0"/>
                <w:iCs w:val="0"/>
                <w:color w:val="auto"/>
                <w:kern w:val="0"/>
                <w:sz w:val="21"/>
                <w:szCs w:val="21"/>
                <w:highlight w:val="none"/>
                <w:u w:val="none"/>
                <w:lang w:val="en-US" w:eastAsia="zh-CN"/>
              </w:rPr>
              <w:t>支持六款自主CPU平台(飞腾、鲲鹏、龙芯、申威、海光、兆芯等国产CPU)，所有组件基于同一套源代码构建。</w:t>
            </w:r>
          </w:p>
          <w:p w14:paraId="092EE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2、针对不同自主CPU平台在内核层、RAS特性、I/O性能、虚拟化和国产硬件(桥片、网卡、显卡、Al卡、加速卡等)及驱动支持等方面优化增强，以及工控机支持。</w:t>
            </w:r>
          </w:p>
          <w:p w14:paraId="29448E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3、</w:t>
            </w:r>
            <w:r>
              <w:rPr>
                <w:rFonts w:hint="eastAsia" w:ascii="宋体" w:hAnsi="宋体" w:eastAsia="宋体" w:cs="宋体"/>
                <w:i w:val="0"/>
                <w:iCs w:val="0"/>
                <w:color w:val="auto"/>
                <w:kern w:val="0"/>
                <w:sz w:val="21"/>
                <w:szCs w:val="21"/>
                <w:highlight w:val="none"/>
                <w:u w:val="none"/>
                <w:lang w:val="en-US" w:eastAsia="zh-CN"/>
              </w:rPr>
              <w:t>云原生特性增强，实现QAS、EDT网络带宽分级管控。优化支持KVM、Docker、LXC等虚拟化，以及Ceph、GlusterFS、OpenStack、k8s等原生技术生态，实现对容器、虚拟化、云平台、大数据等云原生应用的良好支持</w:t>
            </w:r>
            <w:r>
              <w:rPr>
                <w:rFonts w:hint="eastAsia" w:ascii="宋体" w:hAnsi="宋体" w:cs="宋体"/>
                <w:i w:val="0"/>
                <w:iCs w:val="0"/>
                <w:color w:val="auto"/>
                <w:kern w:val="0"/>
                <w:sz w:val="21"/>
                <w:szCs w:val="21"/>
                <w:highlight w:val="none"/>
                <w:u w:val="none"/>
                <w:lang w:val="en-US" w:eastAsia="zh-CN"/>
              </w:rPr>
              <w:t>。</w:t>
            </w: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AB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rPr>
              <w:t>6</w:t>
            </w:r>
          </w:p>
        </w:tc>
        <w:tc>
          <w:tcPr>
            <w:tcW w:w="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604E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套</w:t>
            </w:r>
          </w:p>
        </w:tc>
        <w:tc>
          <w:tcPr>
            <w:tcW w:w="9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A23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w:t>
            </w:r>
          </w:p>
        </w:tc>
      </w:tr>
    </w:tbl>
    <w:p w14:paraId="7CFB91CC">
      <w:pPr>
        <w:numPr>
          <w:ilvl w:val="0"/>
          <w:numId w:val="0"/>
        </w:numPr>
        <w:rPr>
          <w:rFonts w:hint="default"/>
          <w:color w:val="auto"/>
          <w:highlight w:val="none"/>
          <w:lang w:val="en-US" w:eastAsia="zh-CN"/>
        </w:rPr>
      </w:pPr>
    </w:p>
    <w:p w14:paraId="0A8488B2">
      <w:pPr>
        <w:keepNext w:val="0"/>
        <w:keepLines w:val="0"/>
        <w:pageBreakBefore w:val="0"/>
        <w:widowControl w:val="0"/>
        <w:numPr>
          <w:ilvl w:val="0"/>
          <w:numId w:val="0"/>
        </w:numPr>
        <w:wordWrap/>
        <w:topLinePunct w:val="0"/>
        <w:bidi w:val="0"/>
        <w:adjustRightInd w:val="0"/>
        <w:snapToGrid w:val="0"/>
        <w:spacing w:line="360" w:lineRule="auto"/>
        <w:ind w:left="480" w:leftChars="0"/>
        <w:jc w:val="both"/>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6.5 安全等级要求</w:t>
      </w:r>
    </w:p>
    <w:p w14:paraId="47747105">
      <w:pPr>
        <w:spacing w:line="50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鄞州区督考一体化应用建设项目</w:t>
      </w:r>
      <w:r>
        <w:rPr>
          <w:rFonts w:hint="eastAsia" w:ascii="宋体" w:hAnsi="宋体" w:eastAsia="宋体"/>
          <w:color w:val="auto"/>
          <w:sz w:val="24"/>
          <w:highlight w:val="none"/>
        </w:rPr>
        <w:t>安全等级将参照《信息安全技术网络安全等级保护定级指南》（GBT22240-2020）进行建设，达到二级等保的相关要求。</w:t>
      </w:r>
      <w:r>
        <w:rPr>
          <w:rFonts w:hint="eastAsia" w:ascii="宋体" w:hAnsi="宋体" w:eastAsia="宋体" w:cs="宋体"/>
          <w:color w:val="auto"/>
          <w:sz w:val="24"/>
          <w:szCs w:val="24"/>
          <w:highlight w:val="none"/>
        </w:rPr>
        <w:t>项目通过信息安全等保二级测评、</w:t>
      </w:r>
      <w:r>
        <w:rPr>
          <w:rFonts w:hint="eastAsia" w:ascii="宋体" w:hAnsi="宋体" w:cs="宋体"/>
          <w:color w:val="auto"/>
          <w:sz w:val="24"/>
          <w:szCs w:val="24"/>
          <w:highlight w:val="none"/>
          <w:lang w:val="en-US" w:eastAsia="zh-CN"/>
        </w:rPr>
        <w:t>系统</w:t>
      </w:r>
      <w:r>
        <w:rPr>
          <w:rFonts w:hint="eastAsia" w:ascii="宋体" w:hAnsi="宋体" w:eastAsia="宋体" w:cs="宋体"/>
          <w:color w:val="auto"/>
          <w:sz w:val="24"/>
          <w:szCs w:val="24"/>
          <w:highlight w:val="none"/>
        </w:rPr>
        <w:t>测评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代码测评</w:t>
      </w:r>
      <w:r>
        <w:rPr>
          <w:rFonts w:hint="eastAsia" w:ascii="宋体" w:hAnsi="宋体" w:eastAsia="宋体" w:cs="宋体"/>
          <w:color w:val="auto"/>
          <w:sz w:val="24"/>
          <w:szCs w:val="24"/>
          <w:highlight w:val="none"/>
        </w:rPr>
        <w:t>，并提供相关报告。</w:t>
      </w:r>
      <w:r>
        <w:rPr>
          <w:rFonts w:hint="eastAsia" w:ascii="宋体" w:hAnsi="宋体" w:cs="宋体"/>
          <w:color w:val="auto"/>
          <w:sz w:val="24"/>
          <w:szCs w:val="24"/>
          <w:highlight w:val="none"/>
          <w:lang w:val="en-US" w:eastAsia="zh-CN"/>
        </w:rPr>
        <w:t>测评</w:t>
      </w:r>
      <w:r>
        <w:rPr>
          <w:rFonts w:hint="eastAsia" w:ascii="宋体" w:hAnsi="宋体" w:eastAsia="宋体" w:cs="宋体"/>
          <w:color w:val="auto"/>
          <w:sz w:val="24"/>
          <w:szCs w:val="24"/>
          <w:highlight w:val="none"/>
        </w:rPr>
        <w:t>费用</w:t>
      </w:r>
      <w:r>
        <w:rPr>
          <w:rFonts w:hint="eastAsia" w:ascii="宋体" w:hAnsi="宋体" w:cs="宋体"/>
          <w:color w:val="auto"/>
          <w:sz w:val="24"/>
          <w:szCs w:val="24"/>
          <w:highlight w:val="none"/>
          <w:lang w:val="en-US" w:eastAsia="zh-CN"/>
        </w:rPr>
        <w:t>包含在本项目中，由中标人承担</w:t>
      </w:r>
      <w:r>
        <w:rPr>
          <w:rFonts w:hint="eastAsia" w:ascii="宋体" w:hAnsi="宋体" w:eastAsia="宋体"/>
          <w:color w:val="auto"/>
          <w:sz w:val="24"/>
          <w:highlight w:val="none"/>
          <w:lang w:val="en-US" w:eastAsia="zh-CN"/>
        </w:rPr>
        <w:t>。</w:t>
      </w:r>
    </w:p>
    <w:p w14:paraId="02AB73C1">
      <w:pPr>
        <w:numPr>
          <w:ilvl w:val="0"/>
          <w:numId w:val="3"/>
        </w:numPr>
        <w:spacing w:line="360" w:lineRule="auto"/>
        <w:ind w:left="0" w:leftChars="0" w:firstLine="482" w:firstLine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项目相关要求</w:t>
      </w:r>
    </w:p>
    <w:p w14:paraId="22EF42CA">
      <w:pPr>
        <w:pStyle w:val="56"/>
        <w:numPr>
          <w:ilvl w:val="0"/>
          <w:numId w:val="4"/>
        </w:numPr>
        <w:spacing w:line="360" w:lineRule="auto"/>
        <w:ind w:left="482"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项目质量要求</w:t>
      </w:r>
    </w:p>
    <w:p w14:paraId="2F5B70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投标产品必须是符合国家技术规范和质量标准的合格产品，满足招标人的使用需求，并具有可靠的售后服务体系，质量可靠、使用安全。</w:t>
      </w:r>
    </w:p>
    <w:p w14:paraId="3809BC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投标人保证其提供的产品中所有预装和为本项目安装的软件均为具有合法版权或使用权的正版软件且无质量瑕疵。</w:t>
      </w:r>
    </w:p>
    <w:p w14:paraId="21C224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highlight w:val="none"/>
        </w:rPr>
        <w:t>免费运维服务期</w:t>
      </w:r>
      <w:r>
        <w:rPr>
          <w:rFonts w:hint="eastAsia" w:ascii="宋体" w:hAnsi="宋体" w:eastAsia="宋体" w:cs="宋体"/>
          <w:color w:val="auto"/>
          <w:sz w:val="24"/>
          <w:szCs w:val="24"/>
          <w:highlight w:val="none"/>
        </w:rPr>
        <w:t>内，如遇软件产品升级、改版，应免费提供更新、升级服务。</w:t>
      </w:r>
    </w:p>
    <w:p w14:paraId="21268DC4">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投标人必须对本项目的完整性负责，根据项目的实际需求，如有实现完善需求方案的配置，而在招标文件中未体现的请</w:t>
      </w:r>
      <w:r>
        <w:rPr>
          <w:rFonts w:hint="eastAsia" w:ascii="宋体" w:hAnsi="宋体" w:eastAsia="宋体" w:cs="宋体"/>
          <w:color w:val="auto"/>
          <w:sz w:val="24"/>
          <w:szCs w:val="24"/>
          <w:highlight w:val="none"/>
          <w:lang w:val="en-US" w:eastAsia="zh-CN"/>
        </w:rPr>
        <w:t>补充</w:t>
      </w:r>
      <w:r>
        <w:rPr>
          <w:rFonts w:hint="eastAsia" w:ascii="宋体" w:hAnsi="宋体" w:eastAsia="宋体" w:cs="宋体"/>
          <w:color w:val="auto"/>
          <w:sz w:val="24"/>
          <w:szCs w:val="24"/>
          <w:highlight w:val="none"/>
        </w:rPr>
        <w:t>。</w:t>
      </w:r>
    </w:p>
    <w:p w14:paraId="423F100B">
      <w:pPr>
        <w:pStyle w:val="56"/>
        <w:numPr>
          <w:ilvl w:val="0"/>
          <w:numId w:val="4"/>
        </w:numPr>
        <w:spacing w:line="360" w:lineRule="auto"/>
        <w:ind w:left="482"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项目实施要求</w:t>
      </w:r>
    </w:p>
    <w:p w14:paraId="7BE77B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1、项目进度要求</w:t>
      </w:r>
    </w:p>
    <w:p w14:paraId="58182A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个月内完成系统的开发、部署及初验工作，初验结束后进入试运行期（</w:t>
      </w:r>
      <w:r>
        <w:rPr>
          <w:rFonts w:hint="eastAsia" w:ascii="宋体" w:hAnsi="宋体" w:cs="宋体"/>
          <w:color w:val="auto"/>
          <w:sz w:val="24"/>
          <w:szCs w:val="24"/>
          <w:highlight w:val="none"/>
          <w:lang w:val="en-US" w:eastAsia="zh-CN"/>
        </w:rPr>
        <w:t>3个月</w:t>
      </w:r>
      <w:r>
        <w:rPr>
          <w:rFonts w:hint="eastAsia" w:ascii="宋体" w:hAnsi="宋体" w:eastAsia="宋体" w:cs="宋体"/>
          <w:color w:val="auto"/>
          <w:sz w:val="24"/>
          <w:szCs w:val="24"/>
          <w:highlight w:val="none"/>
        </w:rPr>
        <w:t>），试运行结束后完成项目最终验收及交付。投标人应按照上述时间安排，制定相应的项目实施详细进度计划，确定每个实施阶段的时间表及工作目标。</w:t>
      </w:r>
    </w:p>
    <w:p w14:paraId="423F97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2、项目组织及实施要求</w:t>
      </w:r>
    </w:p>
    <w:p w14:paraId="1DD32BD5">
      <w:pPr>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为确保项目保质保量及如期完成，要求投标人</w:t>
      </w:r>
      <w:r>
        <w:rPr>
          <w:rFonts w:hint="eastAsia" w:ascii="宋体" w:hAnsi="宋体" w:cs="宋体"/>
          <w:color w:val="auto"/>
          <w:sz w:val="24"/>
          <w:szCs w:val="24"/>
          <w:highlight w:val="none"/>
        </w:rPr>
        <w:t>指定一名专职的项目经理，负责项目协调和调度工作。除项目经理外，项目组须配备专职应用开发团队、培训团队，并提供相应的工作计划，按照项目实施的要求开展相应工作；配置专职的技术负责人，包括项目管理、系统设计、开发、测试、集成、培训、质量保证等人员。投标人应向招标人提供项目团队人员配置情况。</w:t>
      </w:r>
    </w:p>
    <w:p w14:paraId="12B78E1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要求参与此项目的技术人员必须具有承担过相同类型软件开发、培训的经验，能够与用户进行良好的沟通，掌握相关领域的相关基础知识，具备相关应用开发的能力。</w:t>
      </w:r>
    </w:p>
    <w:p w14:paraId="56D433A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投标人在项目合同签订后，需组织相关实施人员在该项目招标需求的基础上进行深入调研，编制需求规格说明书。需求规格说明经招标人、投标人确认后作为项目验收的依据。</w:t>
      </w:r>
    </w:p>
    <w:p w14:paraId="46E239A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要求投标人在各阶段及时提供相应的项目管理文档、开发类文档及实施类文档，以便</w:t>
      </w:r>
      <w:r>
        <w:rPr>
          <w:rFonts w:hint="eastAsia" w:ascii="宋体" w:hAnsi="宋体" w:cs="宋体"/>
          <w:color w:val="auto"/>
          <w:kern w:val="0"/>
          <w:sz w:val="24"/>
          <w:szCs w:val="24"/>
          <w:highlight w:val="none"/>
        </w:rPr>
        <w:t>招标人</w:t>
      </w:r>
      <w:r>
        <w:rPr>
          <w:rFonts w:hint="eastAsia" w:ascii="宋体" w:hAnsi="宋体" w:cs="宋体"/>
          <w:color w:val="auto"/>
          <w:sz w:val="24"/>
          <w:szCs w:val="24"/>
          <w:highlight w:val="none"/>
        </w:rPr>
        <w:t>及时了解项目进展情况。</w:t>
      </w:r>
    </w:p>
    <w:p w14:paraId="2240AE1B">
      <w:pPr>
        <w:pStyle w:val="56"/>
        <w:numPr>
          <w:ilvl w:val="0"/>
          <w:numId w:val="4"/>
        </w:numPr>
        <w:spacing w:line="360" w:lineRule="auto"/>
        <w:ind w:left="482" w:leftChars="0" w:firstLine="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项目验收要求</w:t>
      </w:r>
    </w:p>
    <w:p w14:paraId="645DA2B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投标人</w:t>
      </w:r>
      <w:r>
        <w:rPr>
          <w:rFonts w:hint="eastAsia" w:ascii="宋体" w:hAnsi="宋体"/>
          <w:color w:val="auto"/>
          <w:sz w:val="24"/>
          <w:szCs w:val="24"/>
          <w:highlight w:val="none"/>
        </w:rPr>
        <w:t>应负责在项目用户验收前将系统的全部相关的各阶段开发文档，以及有关产品维护手册、技术文件、资料文档汇集成册交付项目单位。在文档齐全后方可组织验收。</w:t>
      </w:r>
    </w:p>
    <w:p w14:paraId="5B8445A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对整个项目的验收包括检查整个系统是否实现了采购人所要求的功能，是否与采购人提出的解决方案中既定目标功能完全一致。 </w:t>
      </w:r>
    </w:p>
    <w:p w14:paraId="11C84B6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投标人</w:t>
      </w:r>
      <w:r>
        <w:rPr>
          <w:rFonts w:hint="eastAsia" w:ascii="宋体" w:hAnsi="宋体"/>
          <w:color w:val="auto"/>
          <w:sz w:val="24"/>
          <w:szCs w:val="24"/>
          <w:highlight w:val="none"/>
        </w:rPr>
        <w:t>必须根据系统总体设计方案提出验收细则和验收文档清单，采购人将根据验收方案对迁移工作逐一进行验收。</w:t>
      </w:r>
    </w:p>
    <w:p w14:paraId="77F6A605">
      <w:pPr>
        <w:pStyle w:val="56"/>
        <w:numPr>
          <w:ilvl w:val="0"/>
          <w:numId w:val="4"/>
        </w:numPr>
        <w:spacing w:line="360" w:lineRule="auto"/>
        <w:ind w:left="482" w:leftChars="0" w:firstLine="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培训要求</w:t>
      </w:r>
    </w:p>
    <w:p w14:paraId="1E3BEA2D">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color w:val="auto"/>
          <w:sz w:val="24"/>
          <w:szCs w:val="24"/>
          <w:highlight w:val="none"/>
          <w:lang w:val="en-US" w:eastAsia="zh-CN"/>
        </w:rPr>
        <w:t>投标人</w:t>
      </w:r>
      <w:r>
        <w:rPr>
          <w:rFonts w:hint="eastAsia" w:ascii="宋体" w:hAnsi="宋体" w:eastAsia="宋体" w:cs="Times New Roman"/>
          <w:color w:val="auto"/>
          <w:sz w:val="24"/>
          <w:szCs w:val="24"/>
          <w:highlight w:val="none"/>
        </w:rPr>
        <w:t>提供免费的技术培训及相关系统的基础培训，内容包括软件安装调试及初始化、使用等的基本操作培训。</w:t>
      </w:r>
      <w:r>
        <w:rPr>
          <w:rFonts w:hint="eastAsia" w:ascii="宋体" w:hAnsi="宋体"/>
          <w:color w:val="auto"/>
          <w:sz w:val="24"/>
          <w:szCs w:val="24"/>
          <w:highlight w:val="none"/>
          <w:lang w:val="en-US" w:eastAsia="zh-CN"/>
        </w:rPr>
        <w:t>投标人</w:t>
      </w:r>
      <w:r>
        <w:rPr>
          <w:rFonts w:hint="eastAsia" w:ascii="宋体" w:hAnsi="宋体" w:eastAsia="宋体" w:cs="Times New Roman"/>
          <w:color w:val="auto"/>
          <w:sz w:val="24"/>
          <w:szCs w:val="24"/>
          <w:highlight w:val="none"/>
        </w:rPr>
        <w:t>须制定出详细完整的培训方案，包括培训的具体内容、培训方式（现场培训或集中培训）、教师、资料等。应能使采购人相关人员独立操作、维护、管理，确保系统能正常安全运行。在项目培训过程中不能额外收取任何费用。</w:t>
      </w:r>
    </w:p>
    <w:p w14:paraId="4E8E1CEA">
      <w:pPr>
        <w:pStyle w:val="56"/>
        <w:numPr>
          <w:ilvl w:val="0"/>
          <w:numId w:val="4"/>
        </w:numPr>
        <w:spacing w:line="360" w:lineRule="auto"/>
        <w:ind w:left="482" w:leftChars="0" w:firstLine="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运维服务要求</w:t>
      </w:r>
    </w:p>
    <w:p w14:paraId="09A6833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投标人应提供</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年的项目免费运维服务，项目免费运维期</w:t>
      </w:r>
      <w:r>
        <w:rPr>
          <w:rFonts w:hint="eastAsia" w:ascii="宋体" w:hAnsi="宋体" w:cs="宋体"/>
          <w:color w:val="auto"/>
          <w:sz w:val="24"/>
          <w:szCs w:val="24"/>
          <w:highlight w:val="none"/>
        </w:rPr>
        <w:t>自项目终验合格之日起计算</w:t>
      </w:r>
      <w:r>
        <w:rPr>
          <w:rFonts w:ascii="宋体" w:hAnsi="宋体" w:cs="宋体"/>
          <w:color w:val="auto"/>
          <w:sz w:val="24"/>
          <w:szCs w:val="24"/>
          <w:highlight w:val="none"/>
        </w:rPr>
        <w:t>。</w:t>
      </w:r>
      <w:r>
        <w:rPr>
          <w:rFonts w:hint="eastAsia"/>
          <w:color w:val="auto"/>
          <w:sz w:val="24"/>
          <w:szCs w:val="24"/>
          <w:highlight w:val="none"/>
        </w:rPr>
        <w:t>运维期间要求</w:t>
      </w:r>
      <w:r>
        <w:rPr>
          <w:rFonts w:hint="eastAsia"/>
          <w:color w:val="auto"/>
          <w:sz w:val="24"/>
          <w:szCs w:val="24"/>
          <w:highlight w:val="none"/>
          <w:lang w:eastAsia="zh-CN"/>
        </w:rPr>
        <w:t>中标人</w:t>
      </w:r>
      <w:r>
        <w:rPr>
          <w:rFonts w:hint="eastAsia"/>
          <w:color w:val="auto"/>
          <w:sz w:val="24"/>
          <w:szCs w:val="24"/>
          <w:highlight w:val="none"/>
        </w:rPr>
        <w:t>提供系统巡检、系统故障修复、性能调优、系统使用培训等服务。</w:t>
      </w:r>
    </w:p>
    <w:p w14:paraId="47A7047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投标人须按招标人要求建立运维工作机制，在免费运维期内提供</w:t>
      </w:r>
      <w:r>
        <w:rPr>
          <w:rFonts w:ascii="宋体" w:hAnsi="宋体" w:cs="宋体"/>
          <w:color w:val="auto"/>
          <w:sz w:val="24"/>
          <w:szCs w:val="24"/>
          <w:highlight w:val="none"/>
        </w:rPr>
        <w:t>7×24小时技术服务支持，确保系统故障能够得到快速、有效的运维响应；在接到系统故障通知后30分钟内响应，4小时内解决故障；需要现场支撑的应在接到电话后1小时内抵达现场解决问题。</w:t>
      </w:r>
    </w:p>
    <w:p w14:paraId="24238AE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投标人须</w:t>
      </w:r>
      <w:r>
        <w:rPr>
          <w:rFonts w:hint="eastAsia" w:ascii="宋体" w:hAnsi="宋体" w:cs="宋体"/>
          <w:color w:val="auto"/>
          <w:sz w:val="24"/>
          <w:szCs w:val="24"/>
          <w:highlight w:val="none"/>
          <w:lang w:eastAsia="zh-CN"/>
        </w:rPr>
        <w:t>作出</w:t>
      </w:r>
      <w:r>
        <w:rPr>
          <w:rFonts w:hint="eastAsia" w:ascii="宋体" w:hAnsi="宋体" w:cs="宋体"/>
          <w:color w:val="auto"/>
          <w:sz w:val="24"/>
          <w:szCs w:val="24"/>
          <w:highlight w:val="none"/>
        </w:rPr>
        <w:t>无推诿承诺。即投标人应提供特殊措施，无论由于哪一方产生的问题而使系统发生不正常情况时，并在得到招标人通知后，立即派工程师到场，使系统尽快恢复正常。</w:t>
      </w:r>
    </w:p>
    <w:p w14:paraId="2C75B5A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在免费运维期结束前，须由投标人工程师和招标人代表进行一次全面检查，任何缺陷必须由投标人负责修改。在修改之后，投标人应将缺陷原因、修改内容、完成修改及恢复正常的时间和日期等报告给招标人。</w:t>
      </w:r>
    </w:p>
    <w:p w14:paraId="77EC61B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投标人须提供与平台配套的操作手册并及时进行更新。</w:t>
      </w:r>
    </w:p>
    <w:p w14:paraId="10AC5251">
      <w:pPr>
        <w:pStyle w:val="56"/>
        <w:numPr>
          <w:ilvl w:val="0"/>
          <w:numId w:val="4"/>
        </w:numPr>
        <w:spacing w:line="360" w:lineRule="auto"/>
        <w:ind w:left="482" w:leftChars="0" w:firstLine="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知识产权要求</w:t>
      </w:r>
    </w:p>
    <w:p w14:paraId="100A40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保证在中华人民共和国境内使用其提供的产品、技术、服务或其任何一部分时，不会产生因第三方提出侵犯其专利权、商标权或其它知识产权而引起的法律和经济纠纷。如法院裁定招标人侵权成立，则招标人有权向投标人追偿，投标人须无条件承担与此相关的所有责任和经济赔偿。</w:t>
      </w:r>
    </w:p>
    <w:p w14:paraId="0BD8202F">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投标人针对招标人特定需求开发的软件功能模块的知识产权归招标人所有，招标人依据本次招标所获得的知识产权不存在任何瑕疵并且可以不受限制地行使相关权利，包括各项延伸权利。</w:t>
      </w:r>
    </w:p>
    <w:p w14:paraId="26D3CD90">
      <w:pPr>
        <w:numPr>
          <w:ilvl w:val="0"/>
          <w:numId w:val="3"/>
        </w:numPr>
        <w:spacing w:line="360" w:lineRule="auto"/>
        <w:ind w:left="0" w:leftChars="0" w:firstLine="482"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商务需求</w:t>
      </w:r>
    </w:p>
    <w:tbl>
      <w:tblPr>
        <w:tblStyle w:val="65"/>
        <w:tblW w:w="94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8"/>
        <w:gridCol w:w="8661"/>
      </w:tblGrid>
      <w:tr w14:paraId="64A436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jc w:val="center"/>
        </w:trPr>
        <w:tc>
          <w:tcPr>
            <w:tcW w:w="838" w:type="dxa"/>
            <w:tcBorders>
              <w:tl2br w:val="nil"/>
              <w:tr2bl w:val="nil"/>
            </w:tcBorders>
            <w:vAlign w:val="center"/>
          </w:tcPr>
          <w:p w14:paraId="6B138DF7">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8661" w:type="dxa"/>
            <w:tcBorders>
              <w:tl2br w:val="nil"/>
              <w:tr2bl w:val="nil"/>
            </w:tcBorders>
            <w:vAlign w:val="center"/>
          </w:tcPr>
          <w:p w14:paraId="655F9361">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商务条款</w:t>
            </w:r>
          </w:p>
        </w:tc>
      </w:tr>
      <w:tr w14:paraId="154B5F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1" w:hRule="atLeast"/>
          <w:jc w:val="center"/>
        </w:trPr>
        <w:tc>
          <w:tcPr>
            <w:tcW w:w="838" w:type="dxa"/>
            <w:tcBorders>
              <w:tl2br w:val="nil"/>
              <w:tr2bl w:val="nil"/>
            </w:tcBorders>
            <w:vAlign w:val="center"/>
          </w:tcPr>
          <w:p w14:paraId="05284AFA">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661" w:type="dxa"/>
            <w:tcBorders>
              <w:tl2br w:val="nil"/>
              <w:tr2bl w:val="nil"/>
            </w:tcBorders>
            <w:vAlign w:val="center"/>
          </w:tcPr>
          <w:p w14:paraId="5C4AC892">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工期：自合同签订之日起5个月内完成系统的开发、部署及初验工作，初验结束后进入试运行期（3个月），试运行结束后完成项目最终验收及交付。</w:t>
            </w:r>
          </w:p>
        </w:tc>
      </w:tr>
      <w:tr w14:paraId="1F7A13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8" w:hRule="atLeast"/>
          <w:jc w:val="center"/>
        </w:trPr>
        <w:tc>
          <w:tcPr>
            <w:tcW w:w="838" w:type="dxa"/>
            <w:tcBorders>
              <w:tl2br w:val="nil"/>
              <w:tr2bl w:val="nil"/>
            </w:tcBorders>
            <w:vAlign w:val="center"/>
          </w:tcPr>
          <w:p w14:paraId="45F0A5BC">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8661" w:type="dxa"/>
            <w:tcBorders>
              <w:tl2br w:val="nil"/>
              <w:tr2bl w:val="nil"/>
            </w:tcBorders>
            <w:vAlign w:val="center"/>
          </w:tcPr>
          <w:p w14:paraId="3CD61717">
            <w:pPr>
              <w:spacing w:line="400" w:lineRule="exact"/>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项目实施地点：采购人指定地点</w:t>
            </w:r>
          </w:p>
        </w:tc>
      </w:tr>
      <w:tr w14:paraId="195BE3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8" w:type="dxa"/>
            <w:tcBorders>
              <w:tl2br w:val="nil"/>
              <w:tr2bl w:val="nil"/>
            </w:tcBorders>
            <w:vAlign w:val="center"/>
          </w:tcPr>
          <w:p w14:paraId="4BB21797">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8661" w:type="dxa"/>
            <w:tcBorders>
              <w:tl2br w:val="nil"/>
              <w:tr2bl w:val="nil"/>
            </w:tcBorders>
            <w:vAlign w:val="center"/>
          </w:tcPr>
          <w:p w14:paraId="6FEF67F6">
            <w:pPr>
              <w:spacing w:line="40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免费运维服务期：运维服务期1年。自项目终验合格之日起计算。</w:t>
            </w:r>
          </w:p>
        </w:tc>
      </w:tr>
      <w:tr w14:paraId="721C02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838" w:type="dxa"/>
            <w:tcBorders>
              <w:tl2br w:val="nil"/>
              <w:tr2bl w:val="nil"/>
            </w:tcBorders>
            <w:vAlign w:val="center"/>
          </w:tcPr>
          <w:p w14:paraId="0CF36267">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8661" w:type="dxa"/>
            <w:tcBorders>
              <w:tl2br w:val="nil"/>
              <w:tr2bl w:val="nil"/>
            </w:tcBorders>
            <w:vAlign w:val="center"/>
          </w:tcPr>
          <w:p w14:paraId="777C0014">
            <w:pPr>
              <w:spacing w:line="40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付款方式：</w:t>
            </w:r>
          </w:p>
          <w:p w14:paraId="716D9834">
            <w:pPr>
              <w:spacing w:line="40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1）合同签订生效并具备实施条件后7个工作日内支付合同总价的40%；</w:t>
            </w:r>
          </w:p>
          <w:p w14:paraId="4A14CE78">
            <w:pPr>
              <w:spacing w:line="40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2）项目建设通过初步验收后7个工作日内支付合同总价的30%；</w:t>
            </w:r>
          </w:p>
          <w:p w14:paraId="2EEB8B0E">
            <w:pPr>
              <w:spacing w:line="40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3）项目终验通过后7个工作日内支付合同剩余款项。</w:t>
            </w:r>
          </w:p>
          <w:p w14:paraId="05799188">
            <w:pPr>
              <w:spacing w:line="400" w:lineRule="exact"/>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注：中标人在每笔费用结算之前，需提供等额的发票。</w:t>
            </w:r>
          </w:p>
        </w:tc>
      </w:tr>
      <w:tr w14:paraId="2A3603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838" w:type="dxa"/>
            <w:tcBorders>
              <w:tl2br w:val="nil"/>
              <w:tr2bl w:val="nil"/>
            </w:tcBorders>
            <w:vAlign w:val="center"/>
          </w:tcPr>
          <w:p w14:paraId="25B7A17D">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661" w:type="dxa"/>
            <w:tcBorders>
              <w:tl2br w:val="nil"/>
              <w:tr2bl w:val="nil"/>
            </w:tcBorders>
            <w:vAlign w:val="center"/>
          </w:tcPr>
          <w:p w14:paraId="52BD5ECB">
            <w:pPr>
              <w:spacing w:line="400" w:lineRule="exact"/>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履约保证金：本项目不适用</w:t>
            </w:r>
          </w:p>
        </w:tc>
      </w:tr>
    </w:tbl>
    <w:p w14:paraId="0B0EFD7C">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FA4267C">
      <w:pPr>
        <w:pStyle w:val="2"/>
        <w:bidi w:val="0"/>
        <w:rPr>
          <w:rFonts w:hint="eastAsia"/>
          <w:color w:val="auto"/>
          <w:highlight w:val="none"/>
        </w:rPr>
      </w:pPr>
      <w:bookmarkStart w:id="70" w:name="_Toc13536"/>
      <w:r>
        <w:rPr>
          <w:rFonts w:hint="eastAsia"/>
          <w:color w:val="auto"/>
          <w:highlight w:val="none"/>
        </w:rPr>
        <w:t xml:space="preserve">第四部分   </w:t>
      </w:r>
      <w:bookmarkStart w:id="71" w:name="_Toc184312100"/>
      <w:bookmarkEnd w:id="71"/>
      <w:bookmarkStart w:id="72" w:name="_Toc184313245"/>
      <w:bookmarkEnd w:id="72"/>
      <w:bookmarkStart w:id="73" w:name="_Toc184308087"/>
      <w:bookmarkEnd w:id="73"/>
      <w:bookmarkStart w:id="74" w:name="_Toc184313307"/>
      <w:bookmarkEnd w:id="74"/>
      <w:bookmarkStart w:id="75" w:name="_Toc184312101"/>
      <w:bookmarkEnd w:id="75"/>
      <w:bookmarkStart w:id="76" w:name="_Toc184313247"/>
      <w:bookmarkEnd w:id="76"/>
      <w:bookmarkStart w:id="77" w:name="_Toc184314451"/>
      <w:bookmarkEnd w:id="77"/>
      <w:bookmarkStart w:id="78" w:name="_Toc184313306"/>
      <w:bookmarkEnd w:id="78"/>
      <w:bookmarkStart w:id="79" w:name="_Toc184314424"/>
      <w:bookmarkEnd w:id="79"/>
      <w:bookmarkStart w:id="80" w:name="_Toc184308042"/>
      <w:bookmarkEnd w:id="80"/>
      <w:bookmarkStart w:id="81" w:name="_Toc184314471"/>
      <w:bookmarkEnd w:id="81"/>
      <w:bookmarkStart w:id="82" w:name="_Toc184313248"/>
      <w:bookmarkEnd w:id="82"/>
      <w:bookmarkStart w:id="83" w:name="_Toc184314466"/>
      <w:bookmarkEnd w:id="83"/>
      <w:bookmarkStart w:id="84" w:name="_Toc184310280"/>
      <w:bookmarkEnd w:id="84"/>
      <w:bookmarkStart w:id="85" w:name="_Toc184310303"/>
      <w:bookmarkEnd w:id="85"/>
      <w:bookmarkStart w:id="86" w:name="_Toc184313251"/>
      <w:bookmarkEnd w:id="86"/>
      <w:bookmarkStart w:id="87" w:name="_Toc184310335"/>
      <w:bookmarkEnd w:id="87"/>
      <w:bookmarkStart w:id="88" w:name="_Toc184312087"/>
      <w:bookmarkEnd w:id="88"/>
      <w:bookmarkStart w:id="89" w:name="_Toc184308055"/>
      <w:bookmarkEnd w:id="89"/>
      <w:bookmarkStart w:id="90" w:name="_Toc184314430"/>
      <w:bookmarkEnd w:id="90"/>
      <w:bookmarkStart w:id="91" w:name="_Toc184313271"/>
      <w:bookmarkEnd w:id="91"/>
      <w:bookmarkStart w:id="92" w:name="_Toc184312092"/>
      <w:bookmarkEnd w:id="92"/>
      <w:bookmarkStart w:id="93" w:name="_Toc184313269"/>
      <w:bookmarkEnd w:id="93"/>
      <w:bookmarkStart w:id="94" w:name="_Toc184314479"/>
      <w:bookmarkEnd w:id="94"/>
      <w:bookmarkStart w:id="95" w:name="_Toc184312079"/>
      <w:bookmarkEnd w:id="95"/>
      <w:bookmarkStart w:id="96" w:name="_Toc184308045"/>
      <w:bookmarkEnd w:id="96"/>
      <w:bookmarkStart w:id="97" w:name="_Toc184313286"/>
      <w:bookmarkEnd w:id="97"/>
      <w:bookmarkStart w:id="98" w:name="_Toc184312097"/>
      <w:bookmarkEnd w:id="98"/>
      <w:bookmarkStart w:id="99" w:name="_Toc184308064"/>
      <w:bookmarkEnd w:id="99"/>
      <w:bookmarkStart w:id="100" w:name="_Toc184310306"/>
      <w:bookmarkEnd w:id="100"/>
      <w:bookmarkStart w:id="101" w:name="_Toc184313282"/>
      <w:bookmarkEnd w:id="101"/>
      <w:bookmarkStart w:id="102" w:name="_Toc184313254"/>
      <w:bookmarkEnd w:id="102"/>
      <w:bookmarkStart w:id="103" w:name="_Toc184310340"/>
      <w:bookmarkEnd w:id="103"/>
      <w:bookmarkStart w:id="104" w:name="_Toc184313255"/>
      <w:bookmarkEnd w:id="104"/>
      <w:bookmarkStart w:id="105" w:name="_Toc184313267"/>
      <w:bookmarkEnd w:id="105"/>
      <w:bookmarkStart w:id="106" w:name="_Toc184308051"/>
      <w:bookmarkEnd w:id="106"/>
      <w:bookmarkStart w:id="107" w:name="_Toc184312094"/>
      <w:bookmarkEnd w:id="107"/>
      <w:bookmarkStart w:id="108" w:name="_Toc184310304"/>
      <w:bookmarkEnd w:id="108"/>
      <w:bookmarkStart w:id="109" w:name="_Toc184313294"/>
      <w:bookmarkEnd w:id="109"/>
      <w:bookmarkStart w:id="110" w:name="_Toc184312120"/>
      <w:bookmarkEnd w:id="110"/>
      <w:bookmarkStart w:id="111" w:name="_Toc184313301"/>
      <w:bookmarkEnd w:id="111"/>
      <w:bookmarkStart w:id="112" w:name="_Toc184310294"/>
      <w:bookmarkEnd w:id="112"/>
      <w:bookmarkStart w:id="113" w:name="_Toc184308097"/>
      <w:bookmarkEnd w:id="113"/>
      <w:bookmarkStart w:id="114" w:name="_Toc184308076"/>
      <w:bookmarkEnd w:id="114"/>
      <w:bookmarkStart w:id="115" w:name="_Toc184314433"/>
      <w:bookmarkEnd w:id="115"/>
      <w:bookmarkStart w:id="116" w:name="_Toc184314467"/>
      <w:bookmarkEnd w:id="116"/>
      <w:bookmarkStart w:id="117" w:name="_Toc184313304"/>
      <w:bookmarkEnd w:id="117"/>
      <w:bookmarkStart w:id="118" w:name="_Toc184308078"/>
      <w:bookmarkEnd w:id="118"/>
      <w:bookmarkStart w:id="119" w:name="_Toc184308050"/>
      <w:bookmarkEnd w:id="119"/>
      <w:bookmarkStart w:id="120" w:name="_Toc184314414"/>
      <w:bookmarkEnd w:id="120"/>
      <w:bookmarkStart w:id="121" w:name="_Toc184314432"/>
      <w:bookmarkEnd w:id="121"/>
      <w:bookmarkStart w:id="122" w:name="_Toc184313240"/>
      <w:bookmarkEnd w:id="122"/>
      <w:bookmarkStart w:id="123" w:name="_Toc184308062"/>
      <w:bookmarkEnd w:id="123"/>
      <w:bookmarkStart w:id="124" w:name="_Toc184312123"/>
      <w:bookmarkEnd w:id="124"/>
      <w:bookmarkStart w:id="125" w:name="_Toc184312082"/>
      <w:bookmarkEnd w:id="125"/>
      <w:bookmarkStart w:id="126" w:name="_Toc184310288"/>
      <w:bookmarkEnd w:id="126"/>
      <w:bookmarkStart w:id="127" w:name="_Toc184314435"/>
      <w:bookmarkEnd w:id="127"/>
      <w:bookmarkStart w:id="128" w:name="_Toc184313310"/>
      <w:bookmarkEnd w:id="128"/>
      <w:bookmarkStart w:id="129" w:name="_Toc184310319"/>
      <w:bookmarkEnd w:id="129"/>
      <w:bookmarkStart w:id="130" w:name="_Toc184310285"/>
      <w:bookmarkEnd w:id="130"/>
      <w:bookmarkStart w:id="131" w:name="_Toc184313244"/>
      <w:bookmarkEnd w:id="131"/>
      <w:bookmarkStart w:id="132" w:name="_Toc184314410"/>
      <w:bookmarkEnd w:id="132"/>
      <w:bookmarkStart w:id="133" w:name="_Toc184310325"/>
      <w:bookmarkEnd w:id="133"/>
      <w:bookmarkStart w:id="134" w:name="_Toc184312078"/>
      <w:bookmarkEnd w:id="134"/>
      <w:bookmarkStart w:id="135" w:name="_Toc184312070"/>
      <w:bookmarkEnd w:id="135"/>
      <w:bookmarkStart w:id="136" w:name="_Toc184310327"/>
      <w:bookmarkEnd w:id="136"/>
      <w:bookmarkStart w:id="137" w:name="_Toc184312136"/>
      <w:bookmarkEnd w:id="137"/>
      <w:bookmarkStart w:id="138" w:name="_Toc184308106"/>
      <w:bookmarkEnd w:id="138"/>
      <w:bookmarkStart w:id="139" w:name="_Toc184312109"/>
      <w:bookmarkEnd w:id="139"/>
      <w:bookmarkStart w:id="140" w:name="_Toc184308094"/>
      <w:bookmarkEnd w:id="140"/>
      <w:bookmarkStart w:id="141" w:name="_Toc184312074"/>
      <w:bookmarkEnd w:id="141"/>
      <w:bookmarkStart w:id="142" w:name="_Toc184314445"/>
      <w:bookmarkEnd w:id="142"/>
      <w:bookmarkStart w:id="143" w:name="_Toc184308108"/>
      <w:bookmarkEnd w:id="143"/>
      <w:bookmarkStart w:id="144" w:name="_Toc184314417"/>
      <w:bookmarkEnd w:id="144"/>
      <w:bookmarkStart w:id="145" w:name="_Toc184312084"/>
      <w:bookmarkEnd w:id="145"/>
      <w:bookmarkStart w:id="146" w:name="_Toc184312069"/>
      <w:bookmarkEnd w:id="146"/>
      <w:bookmarkStart w:id="147" w:name="_Toc184313275"/>
      <w:bookmarkEnd w:id="147"/>
      <w:bookmarkStart w:id="148" w:name="_Toc184312122"/>
      <w:bookmarkEnd w:id="148"/>
      <w:bookmarkStart w:id="149" w:name="_Toc184312068"/>
      <w:bookmarkEnd w:id="149"/>
      <w:bookmarkStart w:id="150" w:name="_Toc184308043"/>
      <w:bookmarkEnd w:id="150"/>
      <w:bookmarkStart w:id="151" w:name="_Toc184314441"/>
      <w:bookmarkEnd w:id="151"/>
      <w:bookmarkStart w:id="152" w:name="_Toc184314420"/>
      <w:bookmarkEnd w:id="152"/>
      <w:bookmarkStart w:id="153" w:name="_Toc184313242"/>
      <w:bookmarkEnd w:id="153"/>
      <w:bookmarkStart w:id="154" w:name="_Toc184308070"/>
      <w:bookmarkEnd w:id="154"/>
      <w:bookmarkStart w:id="155" w:name="_Toc184313273"/>
      <w:bookmarkEnd w:id="155"/>
      <w:bookmarkStart w:id="156" w:name="_Toc184312071"/>
      <w:bookmarkEnd w:id="156"/>
      <w:bookmarkStart w:id="157" w:name="_Toc184308060"/>
      <w:bookmarkEnd w:id="157"/>
      <w:bookmarkStart w:id="158" w:name="_Toc184308046"/>
      <w:bookmarkEnd w:id="158"/>
      <w:bookmarkStart w:id="159" w:name="_Toc184310291"/>
      <w:bookmarkEnd w:id="159"/>
      <w:bookmarkStart w:id="160" w:name="_Toc184308067"/>
      <w:bookmarkEnd w:id="160"/>
      <w:bookmarkStart w:id="161" w:name="_Toc184313296"/>
      <w:bookmarkEnd w:id="161"/>
      <w:bookmarkStart w:id="162" w:name="_Toc184310281"/>
      <w:bookmarkEnd w:id="162"/>
      <w:bookmarkStart w:id="163" w:name="_Toc184310321"/>
      <w:bookmarkEnd w:id="163"/>
      <w:bookmarkStart w:id="164" w:name="_Toc184308084"/>
      <w:bookmarkEnd w:id="164"/>
      <w:bookmarkStart w:id="165" w:name="_Toc184308103"/>
      <w:bookmarkEnd w:id="165"/>
      <w:bookmarkStart w:id="166" w:name="_Toc184308063"/>
      <w:bookmarkEnd w:id="166"/>
      <w:bookmarkStart w:id="167" w:name="_Toc184313284"/>
      <w:bookmarkEnd w:id="167"/>
      <w:bookmarkStart w:id="168" w:name="_Toc184314418"/>
      <w:bookmarkEnd w:id="168"/>
      <w:bookmarkStart w:id="169" w:name="_Toc184310273"/>
      <w:bookmarkEnd w:id="169"/>
      <w:bookmarkStart w:id="170" w:name="_Toc184310315"/>
      <w:bookmarkEnd w:id="170"/>
      <w:bookmarkStart w:id="171" w:name="_Toc184310309"/>
      <w:bookmarkEnd w:id="171"/>
      <w:bookmarkStart w:id="172" w:name="_Toc184313303"/>
      <w:bookmarkEnd w:id="172"/>
      <w:bookmarkStart w:id="173" w:name="_Toc184310274"/>
      <w:bookmarkEnd w:id="173"/>
      <w:bookmarkStart w:id="174" w:name="_Toc184314456"/>
      <w:bookmarkEnd w:id="174"/>
      <w:bookmarkStart w:id="175" w:name="_Toc184310295"/>
      <w:bookmarkEnd w:id="175"/>
      <w:bookmarkStart w:id="176" w:name="_Toc184308095"/>
      <w:bookmarkEnd w:id="176"/>
      <w:bookmarkStart w:id="177" w:name="_Toc184310312"/>
      <w:bookmarkEnd w:id="177"/>
      <w:bookmarkStart w:id="178" w:name="_Toc184312128"/>
      <w:bookmarkEnd w:id="178"/>
      <w:bookmarkStart w:id="179" w:name="_Toc184313253"/>
      <w:bookmarkEnd w:id="179"/>
      <w:bookmarkStart w:id="180" w:name="_Toc184313279"/>
      <w:bookmarkEnd w:id="180"/>
      <w:bookmarkStart w:id="181" w:name="_Toc184308104"/>
      <w:bookmarkEnd w:id="181"/>
      <w:bookmarkStart w:id="182" w:name="_Toc184314426"/>
      <w:bookmarkEnd w:id="182"/>
      <w:bookmarkStart w:id="183" w:name="_Toc184308105"/>
      <w:bookmarkEnd w:id="183"/>
      <w:bookmarkStart w:id="184" w:name="_Toc184310292"/>
      <w:bookmarkEnd w:id="184"/>
      <w:bookmarkStart w:id="185" w:name="_Toc184314419"/>
      <w:bookmarkEnd w:id="185"/>
      <w:bookmarkStart w:id="186" w:name="_Toc184314412"/>
      <w:bookmarkEnd w:id="186"/>
      <w:bookmarkStart w:id="187" w:name="_Toc184314444"/>
      <w:bookmarkEnd w:id="187"/>
      <w:bookmarkStart w:id="188" w:name="_Toc184314413"/>
      <w:bookmarkEnd w:id="188"/>
      <w:bookmarkStart w:id="189" w:name="_Toc184313293"/>
      <w:bookmarkEnd w:id="189"/>
      <w:bookmarkStart w:id="190" w:name="_Toc184313300"/>
      <w:bookmarkEnd w:id="190"/>
      <w:bookmarkStart w:id="191" w:name="_Toc184314458"/>
      <w:bookmarkEnd w:id="191"/>
      <w:bookmarkStart w:id="192" w:name="_Toc184308096"/>
      <w:bookmarkEnd w:id="192"/>
      <w:bookmarkStart w:id="193" w:name="_Toc184312075"/>
      <w:bookmarkEnd w:id="193"/>
      <w:bookmarkStart w:id="194" w:name="_Toc184312135"/>
      <w:bookmarkEnd w:id="194"/>
      <w:bookmarkStart w:id="195" w:name="_Toc184313291"/>
      <w:bookmarkEnd w:id="195"/>
      <w:bookmarkStart w:id="196" w:name="_Toc184310324"/>
      <w:bookmarkEnd w:id="196"/>
      <w:bookmarkStart w:id="197" w:name="_Toc184310279"/>
      <w:bookmarkEnd w:id="197"/>
      <w:bookmarkStart w:id="198" w:name="_Toc184312088"/>
      <w:bookmarkEnd w:id="198"/>
      <w:bookmarkStart w:id="199" w:name="_Toc184308040"/>
      <w:bookmarkEnd w:id="199"/>
      <w:bookmarkStart w:id="200" w:name="_Toc184314440"/>
      <w:bookmarkEnd w:id="200"/>
      <w:bookmarkStart w:id="201" w:name="_Toc184308079"/>
      <w:bookmarkEnd w:id="201"/>
      <w:bookmarkStart w:id="202" w:name="_Toc184312095"/>
      <w:bookmarkEnd w:id="202"/>
      <w:bookmarkStart w:id="203" w:name="_Toc184314473"/>
      <w:bookmarkEnd w:id="203"/>
      <w:bookmarkStart w:id="204" w:name="_Toc184312132"/>
      <w:bookmarkEnd w:id="204"/>
      <w:bookmarkStart w:id="205" w:name="_Toc184313238"/>
      <w:bookmarkEnd w:id="205"/>
      <w:bookmarkStart w:id="206" w:name="_Toc184310301"/>
      <w:bookmarkEnd w:id="206"/>
      <w:bookmarkStart w:id="207" w:name="_Toc184313241"/>
      <w:bookmarkEnd w:id="207"/>
      <w:bookmarkStart w:id="208" w:name="_Toc184310293"/>
      <w:bookmarkEnd w:id="208"/>
      <w:bookmarkStart w:id="209" w:name="_Toc184310311"/>
      <w:bookmarkEnd w:id="209"/>
      <w:bookmarkStart w:id="210" w:name="_Toc184308081"/>
      <w:bookmarkEnd w:id="210"/>
      <w:bookmarkStart w:id="211" w:name="_Toc184308057"/>
      <w:bookmarkEnd w:id="211"/>
      <w:bookmarkStart w:id="212" w:name="_Toc184312115"/>
      <w:bookmarkEnd w:id="212"/>
      <w:bookmarkStart w:id="213" w:name="_Toc184308038"/>
      <w:bookmarkEnd w:id="213"/>
      <w:bookmarkStart w:id="214" w:name="_Toc184310323"/>
      <w:bookmarkEnd w:id="214"/>
      <w:bookmarkStart w:id="215" w:name="_Toc184312085"/>
      <w:bookmarkEnd w:id="215"/>
      <w:bookmarkStart w:id="216" w:name="_Toc184310275"/>
      <w:bookmarkEnd w:id="216"/>
      <w:bookmarkStart w:id="217" w:name="_Toc184308077"/>
      <w:bookmarkEnd w:id="217"/>
      <w:bookmarkStart w:id="218" w:name="_Toc184314427"/>
      <w:bookmarkEnd w:id="218"/>
      <w:bookmarkStart w:id="219" w:name="_Toc184313292"/>
      <w:bookmarkEnd w:id="219"/>
      <w:bookmarkStart w:id="220" w:name="_Toc184312121"/>
      <w:bookmarkEnd w:id="220"/>
      <w:bookmarkStart w:id="221" w:name="_Toc184314461"/>
      <w:bookmarkEnd w:id="221"/>
      <w:bookmarkStart w:id="222" w:name="_Toc184310343"/>
      <w:bookmarkEnd w:id="222"/>
      <w:bookmarkStart w:id="223" w:name="_Toc184312112"/>
      <w:bookmarkEnd w:id="223"/>
      <w:bookmarkStart w:id="224" w:name="_Toc184313280"/>
      <w:bookmarkEnd w:id="224"/>
      <w:bookmarkStart w:id="225" w:name="_Toc184313281"/>
      <w:bookmarkEnd w:id="225"/>
      <w:bookmarkStart w:id="226" w:name="_Toc184312127"/>
      <w:bookmarkEnd w:id="226"/>
      <w:bookmarkStart w:id="227" w:name="_Toc184312099"/>
      <w:bookmarkEnd w:id="227"/>
      <w:bookmarkStart w:id="228" w:name="_Toc184314415"/>
      <w:bookmarkEnd w:id="228"/>
      <w:bookmarkStart w:id="229" w:name="_Toc184308049"/>
      <w:bookmarkEnd w:id="229"/>
      <w:bookmarkStart w:id="230" w:name="_Toc184314423"/>
      <w:bookmarkEnd w:id="230"/>
      <w:bookmarkStart w:id="231" w:name="_Toc184310322"/>
      <w:bookmarkEnd w:id="231"/>
      <w:bookmarkStart w:id="232" w:name="_Toc184314481"/>
      <w:bookmarkEnd w:id="232"/>
      <w:bookmarkStart w:id="233" w:name="_Toc184312104"/>
      <w:bookmarkEnd w:id="233"/>
      <w:bookmarkStart w:id="234" w:name="_Toc184312067"/>
      <w:bookmarkEnd w:id="234"/>
      <w:bookmarkStart w:id="235" w:name="_Toc184312096"/>
      <w:bookmarkEnd w:id="235"/>
      <w:bookmarkStart w:id="236" w:name="_Toc184313277"/>
      <w:bookmarkEnd w:id="236"/>
      <w:bookmarkStart w:id="237" w:name="_Toc184314460"/>
      <w:bookmarkEnd w:id="237"/>
      <w:bookmarkStart w:id="238" w:name="_Toc184314464"/>
      <w:bookmarkEnd w:id="238"/>
      <w:bookmarkStart w:id="239" w:name="_Toc184312134"/>
      <w:bookmarkEnd w:id="239"/>
      <w:bookmarkStart w:id="240" w:name="_Toc184308039"/>
      <w:bookmarkEnd w:id="240"/>
      <w:bookmarkStart w:id="241" w:name="_Toc184310302"/>
      <w:bookmarkEnd w:id="241"/>
      <w:bookmarkStart w:id="242" w:name="_Toc184310310"/>
      <w:bookmarkEnd w:id="242"/>
      <w:bookmarkStart w:id="243" w:name="_Toc184314476"/>
      <w:bookmarkEnd w:id="243"/>
      <w:bookmarkStart w:id="244" w:name="_Toc184313308"/>
      <w:bookmarkEnd w:id="244"/>
      <w:bookmarkStart w:id="245" w:name="_Toc184308099"/>
      <w:bookmarkEnd w:id="245"/>
      <w:bookmarkStart w:id="246" w:name="_Toc184313272"/>
      <w:bookmarkEnd w:id="246"/>
      <w:bookmarkStart w:id="247" w:name="_Toc184313274"/>
      <w:bookmarkEnd w:id="247"/>
      <w:bookmarkStart w:id="248" w:name="_Toc184308086"/>
      <w:bookmarkEnd w:id="248"/>
      <w:bookmarkStart w:id="249" w:name="_Toc184310342"/>
      <w:bookmarkEnd w:id="249"/>
      <w:bookmarkStart w:id="250" w:name="_Toc184308068"/>
      <w:bookmarkEnd w:id="250"/>
      <w:bookmarkStart w:id="251" w:name="_Toc184310297"/>
      <w:bookmarkEnd w:id="251"/>
      <w:bookmarkStart w:id="252" w:name="_Toc184313239"/>
      <w:bookmarkEnd w:id="252"/>
      <w:bookmarkStart w:id="253" w:name="_Toc184310334"/>
      <w:bookmarkEnd w:id="253"/>
      <w:bookmarkStart w:id="254" w:name="_Toc184313299"/>
      <w:bookmarkEnd w:id="254"/>
      <w:bookmarkStart w:id="255" w:name="_Toc184308072"/>
      <w:bookmarkEnd w:id="255"/>
      <w:bookmarkStart w:id="256" w:name="_Toc184314459"/>
      <w:bookmarkEnd w:id="256"/>
      <w:bookmarkStart w:id="257" w:name="_Toc184312138"/>
      <w:bookmarkEnd w:id="257"/>
      <w:bookmarkStart w:id="258" w:name="_Toc184308093"/>
      <w:bookmarkEnd w:id="258"/>
      <w:bookmarkStart w:id="259" w:name="_Toc184313264"/>
      <w:bookmarkEnd w:id="259"/>
      <w:bookmarkStart w:id="260" w:name="_Toc184308065"/>
      <w:bookmarkEnd w:id="260"/>
      <w:bookmarkStart w:id="261" w:name="_Toc184314469"/>
      <w:bookmarkEnd w:id="261"/>
      <w:bookmarkStart w:id="262" w:name="_Toc184310313"/>
      <w:bookmarkEnd w:id="262"/>
      <w:bookmarkStart w:id="263" w:name="_Toc184308054"/>
      <w:bookmarkEnd w:id="263"/>
      <w:bookmarkStart w:id="264" w:name="_Toc184313258"/>
      <w:bookmarkEnd w:id="264"/>
      <w:bookmarkStart w:id="265" w:name="_Toc184313295"/>
      <w:bookmarkEnd w:id="265"/>
      <w:bookmarkStart w:id="266" w:name="_Toc184308041"/>
      <w:bookmarkEnd w:id="266"/>
      <w:bookmarkStart w:id="267" w:name="_Toc184313298"/>
      <w:bookmarkEnd w:id="267"/>
      <w:bookmarkStart w:id="268" w:name="_Toc184312117"/>
      <w:bookmarkEnd w:id="268"/>
      <w:bookmarkStart w:id="269" w:name="_Toc184314450"/>
      <w:bookmarkEnd w:id="269"/>
      <w:bookmarkStart w:id="270" w:name="_Toc184312130"/>
      <w:bookmarkEnd w:id="270"/>
      <w:bookmarkStart w:id="271" w:name="_Toc184308071"/>
      <w:bookmarkEnd w:id="271"/>
      <w:bookmarkStart w:id="272" w:name="_Toc184308061"/>
      <w:bookmarkEnd w:id="272"/>
      <w:bookmarkStart w:id="273" w:name="_Toc184310341"/>
      <w:bookmarkEnd w:id="273"/>
      <w:bookmarkStart w:id="274" w:name="_Toc184312073"/>
      <w:bookmarkEnd w:id="274"/>
      <w:bookmarkStart w:id="275" w:name="_Toc184308048"/>
      <w:bookmarkEnd w:id="275"/>
      <w:bookmarkStart w:id="276" w:name="_Toc184310326"/>
      <w:bookmarkEnd w:id="276"/>
      <w:bookmarkStart w:id="277" w:name="_Toc184310305"/>
      <w:bookmarkEnd w:id="277"/>
      <w:bookmarkStart w:id="278" w:name="_Toc184308091"/>
      <w:bookmarkEnd w:id="278"/>
      <w:bookmarkStart w:id="279" w:name="_Toc184314428"/>
      <w:bookmarkEnd w:id="279"/>
      <w:bookmarkStart w:id="280" w:name="_Toc184314421"/>
      <w:bookmarkEnd w:id="280"/>
      <w:bookmarkStart w:id="281" w:name="_Toc184310282"/>
      <w:bookmarkEnd w:id="281"/>
      <w:bookmarkStart w:id="282" w:name="_Toc184312106"/>
      <w:bookmarkEnd w:id="282"/>
      <w:bookmarkStart w:id="283" w:name="_Toc184310328"/>
      <w:bookmarkEnd w:id="283"/>
      <w:bookmarkStart w:id="284" w:name="_Toc184314429"/>
      <w:bookmarkEnd w:id="284"/>
      <w:bookmarkStart w:id="285" w:name="_Toc184314449"/>
      <w:bookmarkEnd w:id="285"/>
      <w:bookmarkStart w:id="286" w:name="_Toc184314446"/>
      <w:bookmarkEnd w:id="286"/>
      <w:bookmarkStart w:id="287" w:name="_Toc184314439"/>
      <w:bookmarkEnd w:id="287"/>
      <w:bookmarkStart w:id="288" w:name="_Toc184310317"/>
      <w:bookmarkEnd w:id="288"/>
      <w:bookmarkStart w:id="289" w:name="_Toc184312116"/>
      <w:bookmarkEnd w:id="289"/>
      <w:bookmarkStart w:id="290" w:name="_Toc184310296"/>
      <w:bookmarkEnd w:id="290"/>
      <w:bookmarkStart w:id="291" w:name="_Toc184314416"/>
      <w:bookmarkEnd w:id="291"/>
      <w:bookmarkStart w:id="292" w:name="_Toc184314470"/>
      <w:bookmarkEnd w:id="292"/>
      <w:bookmarkStart w:id="293" w:name="_Toc184312090"/>
      <w:bookmarkEnd w:id="293"/>
      <w:bookmarkStart w:id="294" w:name="_Toc184312124"/>
      <w:bookmarkEnd w:id="294"/>
      <w:bookmarkStart w:id="295" w:name="_Toc184314448"/>
      <w:bookmarkEnd w:id="295"/>
      <w:bookmarkStart w:id="296" w:name="_Toc184314437"/>
      <w:bookmarkEnd w:id="296"/>
      <w:bookmarkStart w:id="297" w:name="_Toc184313265"/>
      <w:bookmarkEnd w:id="297"/>
      <w:bookmarkStart w:id="298" w:name="_Toc184310276"/>
      <w:bookmarkEnd w:id="298"/>
      <w:bookmarkStart w:id="299" w:name="_Toc184310289"/>
      <w:bookmarkEnd w:id="299"/>
      <w:bookmarkStart w:id="300" w:name="_Toc184310283"/>
      <w:bookmarkEnd w:id="300"/>
      <w:bookmarkStart w:id="301" w:name="_Toc184312133"/>
      <w:bookmarkEnd w:id="301"/>
      <w:bookmarkStart w:id="302" w:name="_Toc184308059"/>
      <w:bookmarkEnd w:id="302"/>
      <w:bookmarkStart w:id="303" w:name="_Toc184310307"/>
      <w:bookmarkEnd w:id="303"/>
      <w:bookmarkStart w:id="304" w:name="_Toc184310299"/>
      <w:bookmarkEnd w:id="304"/>
      <w:bookmarkStart w:id="305" w:name="_Toc184308092"/>
      <w:bookmarkEnd w:id="305"/>
      <w:bookmarkStart w:id="306" w:name="_Toc184314452"/>
      <w:bookmarkEnd w:id="306"/>
      <w:bookmarkStart w:id="307" w:name="_Toc184308088"/>
      <w:bookmarkEnd w:id="307"/>
      <w:bookmarkStart w:id="308" w:name="_Toc184313250"/>
      <w:bookmarkEnd w:id="308"/>
      <w:bookmarkStart w:id="309" w:name="_Toc184310331"/>
      <w:bookmarkEnd w:id="309"/>
      <w:bookmarkStart w:id="310" w:name="_Toc184314431"/>
      <w:bookmarkEnd w:id="310"/>
      <w:bookmarkStart w:id="311" w:name="_Toc184314453"/>
      <w:bookmarkEnd w:id="311"/>
      <w:bookmarkStart w:id="312" w:name="_Toc184312137"/>
      <w:bookmarkEnd w:id="312"/>
      <w:bookmarkStart w:id="313" w:name="_Toc184312119"/>
      <w:bookmarkEnd w:id="313"/>
      <w:bookmarkStart w:id="314" w:name="_Toc184314411"/>
      <w:bookmarkEnd w:id="314"/>
      <w:bookmarkStart w:id="315" w:name="_Toc184314434"/>
      <w:bookmarkEnd w:id="315"/>
      <w:bookmarkStart w:id="316" w:name="_Toc184314477"/>
      <w:bookmarkEnd w:id="316"/>
      <w:bookmarkStart w:id="317" w:name="_Toc184310287"/>
      <w:bookmarkEnd w:id="317"/>
      <w:bookmarkStart w:id="318" w:name="_Toc184312105"/>
      <w:bookmarkEnd w:id="318"/>
      <w:bookmarkStart w:id="319" w:name="_Toc184314442"/>
      <w:bookmarkEnd w:id="319"/>
      <w:bookmarkStart w:id="320" w:name="_Toc184313283"/>
      <w:bookmarkEnd w:id="320"/>
      <w:bookmarkStart w:id="321" w:name="_Toc184313305"/>
      <w:bookmarkEnd w:id="321"/>
      <w:bookmarkStart w:id="322" w:name="_Toc184308090"/>
      <w:bookmarkEnd w:id="322"/>
      <w:bookmarkStart w:id="323" w:name="_Toc184313262"/>
      <w:bookmarkEnd w:id="323"/>
      <w:bookmarkStart w:id="324" w:name="_Toc184313309"/>
      <w:bookmarkEnd w:id="324"/>
      <w:bookmarkStart w:id="325" w:name="_Toc184308075"/>
      <w:bookmarkEnd w:id="325"/>
      <w:bookmarkStart w:id="326" w:name="_Toc184314438"/>
      <w:bookmarkEnd w:id="326"/>
      <w:bookmarkStart w:id="327" w:name="_Toc184314474"/>
      <w:bookmarkEnd w:id="327"/>
      <w:bookmarkStart w:id="328" w:name="_Toc184310330"/>
      <w:bookmarkEnd w:id="328"/>
      <w:bookmarkStart w:id="329" w:name="_Toc184313263"/>
      <w:bookmarkEnd w:id="329"/>
      <w:bookmarkStart w:id="330" w:name="_Toc184308098"/>
      <w:bookmarkEnd w:id="330"/>
      <w:bookmarkStart w:id="331" w:name="_Toc184313266"/>
      <w:bookmarkEnd w:id="331"/>
      <w:bookmarkStart w:id="332" w:name="_Toc184313290"/>
      <w:bookmarkEnd w:id="332"/>
      <w:bookmarkStart w:id="333" w:name="_Toc184308101"/>
      <w:bookmarkEnd w:id="333"/>
      <w:bookmarkStart w:id="334" w:name="_Toc184314447"/>
      <w:bookmarkEnd w:id="334"/>
      <w:bookmarkStart w:id="335" w:name="_Toc184314425"/>
      <w:bookmarkEnd w:id="335"/>
      <w:bookmarkStart w:id="336" w:name="_Toc184312118"/>
      <w:bookmarkEnd w:id="336"/>
      <w:bookmarkStart w:id="337" w:name="_Toc184308085"/>
      <w:bookmarkEnd w:id="337"/>
      <w:bookmarkStart w:id="338" w:name="_Toc184313252"/>
      <w:bookmarkEnd w:id="338"/>
      <w:bookmarkStart w:id="339" w:name="_Toc184310337"/>
      <w:bookmarkEnd w:id="339"/>
      <w:bookmarkStart w:id="340" w:name="_Toc184314463"/>
      <w:bookmarkEnd w:id="340"/>
      <w:bookmarkStart w:id="341" w:name="_Toc184310314"/>
      <w:bookmarkEnd w:id="341"/>
      <w:bookmarkStart w:id="342" w:name="_Toc184312129"/>
      <w:bookmarkEnd w:id="342"/>
      <w:bookmarkStart w:id="343" w:name="_Toc184310298"/>
      <w:bookmarkEnd w:id="343"/>
      <w:bookmarkStart w:id="344" w:name="_Toc184313285"/>
      <w:bookmarkEnd w:id="344"/>
      <w:bookmarkStart w:id="345" w:name="_Toc184310278"/>
      <w:bookmarkEnd w:id="345"/>
      <w:bookmarkStart w:id="346" w:name="_Toc184314422"/>
      <w:bookmarkEnd w:id="346"/>
      <w:bookmarkStart w:id="347" w:name="_Toc184314475"/>
      <w:bookmarkEnd w:id="347"/>
      <w:bookmarkStart w:id="348" w:name="_Toc184314443"/>
      <w:bookmarkEnd w:id="348"/>
      <w:bookmarkStart w:id="349" w:name="_Toc184312126"/>
      <w:bookmarkEnd w:id="349"/>
      <w:bookmarkStart w:id="350" w:name="_Toc184310284"/>
      <w:bookmarkEnd w:id="350"/>
      <w:bookmarkStart w:id="351" w:name="_Toc184310339"/>
      <w:bookmarkEnd w:id="351"/>
      <w:bookmarkStart w:id="352" w:name="_Toc184308069"/>
      <w:bookmarkEnd w:id="352"/>
      <w:bookmarkStart w:id="353" w:name="_Toc184314468"/>
      <w:bookmarkEnd w:id="353"/>
      <w:bookmarkStart w:id="354" w:name="_Toc184313302"/>
      <w:bookmarkEnd w:id="354"/>
      <w:bookmarkStart w:id="355" w:name="_Toc184312091"/>
      <w:bookmarkEnd w:id="355"/>
      <w:bookmarkStart w:id="356" w:name="_Toc184312076"/>
      <w:bookmarkEnd w:id="356"/>
      <w:bookmarkStart w:id="357" w:name="_Toc184308047"/>
      <w:bookmarkEnd w:id="357"/>
      <w:bookmarkStart w:id="358" w:name="_Toc184313270"/>
      <w:bookmarkEnd w:id="358"/>
      <w:bookmarkStart w:id="359" w:name="_Toc184313289"/>
      <w:bookmarkEnd w:id="359"/>
      <w:bookmarkStart w:id="360" w:name="_Toc184312131"/>
      <w:bookmarkEnd w:id="360"/>
      <w:bookmarkStart w:id="361" w:name="_Toc184310344"/>
      <w:bookmarkEnd w:id="361"/>
      <w:bookmarkStart w:id="362" w:name="_Toc184308074"/>
      <w:bookmarkEnd w:id="362"/>
      <w:bookmarkStart w:id="363" w:name="_Toc184310308"/>
      <w:bookmarkEnd w:id="363"/>
      <w:bookmarkStart w:id="364" w:name="_Toc184310332"/>
      <w:bookmarkEnd w:id="364"/>
      <w:bookmarkStart w:id="365" w:name="_Toc184313256"/>
      <w:bookmarkEnd w:id="365"/>
      <w:bookmarkStart w:id="366" w:name="_Toc184314482"/>
      <w:bookmarkEnd w:id="366"/>
      <w:bookmarkStart w:id="367" w:name="_Toc184310286"/>
      <w:bookmarkEnd w:id="367"/>
      <w:bookmarkStart w:id="368" w:name="_Toc184308037"/>
      <w:bookmarkEnd w:id="368"/>
      <w:bookmarkStart w:id="369" w:name="_Toc184310272"/>
      <w:bookmarkEnd w:id="369"/>
      <w:bookmarkStart w:id="370" w:name="_Toc184312102"/>
      <w:bookmarkEnd w:id="370"/>
      <w:bookmarkStart w:id="371" w:name="_Toc184310329"/>
      <w:bookmarkEnd w:id="371"/>
      <w:bookmarkStart w:id="372" w:name="_Toc184314465"/>
      <w:bookmarkEnd w:id="372"/>
      <w:bookmarkStart w:id="373" w:name="_Toc184313268"/>
      <w:bookmarkEnd w:id="373"/>
      <w:bookmarkStart w:id="374" w:name="_Toc184310318"/>
      <w:bookmarkEnd w:id="374"/>
      <w:bookmarkStart w:id="375" w:name="_Toc184310290"/>
      <w:bookmarkEnd w:id="375"/>
      <w:bookmarkStart w:id="376" w:name="_Toc184308080"/>
      <w:bookmarkEnd w:id="376"/>
      <w:bookmarkStart w:id="377" w:name="_Toc184312110"/>
      <w:bookmarkEnd w:id="377"/>
      <w:bookmarkStart w:id="378" w:name="_Toc184310336"/>
      <w:bookmarkEnd w:id="378"/>
      <w:bookmarkStart w:id="379" w:name="_Toc184312089"/>
      <w:bookmarkEnd w:id="379"/>
      <w:bookmarkStart w:id="380" w:name="_Toc184308082"/>
      <w:bookmarkEnd w:id="380"/>
      <w:bookmarkStart w:id="381" w:name="_Toc184310333"/>
      <w:bookmarkEnd w:id="381"/>
      <w:bookmarkStart w:id="382" w:name="_Toc184313249"/>
      <w:bookmarkEnd w:id="382"/>
      <w:bookmarkStart w:id="383" w:name="_Toc184314454"/>
      <w:bookmarkEnd w:id="383"/>
      <w:bookmarkStart w:id="384" w:name="_Toc184308083"/>
      <w:bookmarkEnd w:id="384"/>
      <w:bookmarkStart w:id="385" w:name="_Toc184308089"/>
      <w:bookmarkEnd w:id="385"/>
      <w:bookmarkStart w:id="386" w:name="_Toc184310300"/>
      <w:bookmarkEnd w:id="386"/>
      <w:bookmarkStart w:id="387" w:name="_Toc184313260"/>
      <w:bookmarkEnd w:id="387"/>
      <w:bookmarkStart w:id="388" w:name="_Toc184314457"/>
      <w:bookmarkEnd w:id="388"/>
      <w:bookmarkStart w:id="389" w:name="_Toc184312113"/>
      <w:bookmarkEnd w:id="389"/>
      <w:bookmarkStart w:id="390" w:name="_Toc184313287"/>
      <w:bookmarkEnd w:id="390"/>
      <w:bookmarkStart w:id="391" w:name="_Toc184313278"/>
      <w:bookmarkEnd w:id="391"/>
      <w:bookmarkStart w:id="392" w:name="_Toc184313261"/>
      <w:bookmarkEnd w:id="392"/>
      <w:bookmarkStart w:id="393" w:name="_Toc184308036"/>
      <w:bookmarkEnd w:id="393"/>
      <w:bookmarkStart w:id="394" w:name="_Toc184308102"/>
      <w:bookmarkEnd w:id="394"/>
      <w:bookmarkStart w:id="395" w:name="_Toc184308044"/>
      <w:bookmarkEnd w:id="395"/>
      <w:bookmarkStart w:id="396" w:name="_Toc184314455"/>
      <w:bookmarkEnd w:id="396"/>
      <w:bookmarkStart w:id="397" w:name="_Toc184310316"/>
      <w:bookmarkEnd w:id="397"/>
      <w:bookmarkStart w:id="398" w:name="_Toc184310320"/>
      <w:bookmarkEnd w:id="398"/>
      <w:bookmarkStart w:id="399" w:name="_Toc184313257"/>
      <w:bookmarkEnd w:id="399"/>
      <w:bookmarkStart w:id="400" w:name="_Toc184312108"/>
      <w:bookmarkEnd w:id="400"/>
      <w:bookmarkStart w:id="401" w:name="_Toc184308058"/>
      <w:bookmarkEnd w:id="401"/>
      <w:bookmarkStart w:id="402" w:name="_Toc184312093"/>
      <w:bookmarkEnd w:id="402"/>
      <w:bookmarkStart w:id="403" w:name="_Toc184308053"/>
      <w:bookmarkEnd w:id="403"/>
      <w:bookmarkStart w:id="404" w:name="_Toc184308066"/>
      <w:bookmarkEnd w:id="404"/>
      <w:bookmarkStart w:id="405" w:name="_Toc184312114"/>
      <w:bookmarkEnd w:id="405"/>
      <w:bookmarkStart w:id="406" w:name="_Toc184312103"/>
      <w:bookmarkEnd w:id="406"/>
      <w:bookmarkStart w:id="407" w:name="_Toc184308100"/>
      <w:bookmarkEnd w:id="407"/>
      <w:bookmarkStart w:id="408" w:name="_Toc184308073"/>
      <w:bookmarkEnd w:id="408"/>
      <w:bookmarkStart w:id="409" w:name="_Toc184310277"/>
      <w:bookmarkEnd w:id="409"/>
      <w:bookmarkStart w:id="410" w:name="_Toc184310338"/>
      <w:bookmarkEnd w:id="410"/>
      <w:bookmarkStart w:id="411" w:name="_Toc184314480"/>
      <w:bookmarkEnd w:id="411"/>
      <w:bookmarkStart w:id="412" w:name="_Toc184314472"/>
      <w:bookmarkEnd w:id="412"/>
      <w:bookmarkStart w:id="413" w:name="_Toc184314478"/>
      <w:bookmarkEnd w:id="413"/>
      <w:bookmarkStart w:id="414" w:name="_Toc184312139"/>
      <w:bookmarkEnd w:id="414"/>
      <w:bookmarkStart w:id="415" w:name="_Toc184312072"/>
      <w:bookmarkEnd w:id="415"/>
      <w:bookmarkStart w:id="416" w:name="_Toc184313288"/>
      <w:bookmarkEnd w:id="416"/>
      <w:bookmarkStart w:id="417" w:name="_Toc184313259"/>
      <w:bookmarkEnd w:id="417"/>
      <w:bookmarkStart w:id="418" w:name="_Toc184312098"/>
      <w:bookmarkEnd w:id="418"/>
      <w:bookmarkStart w:id="419" w:name="_Toc184312083"/>
      <w:bookmarkEnd w:id="419"/>
      <w:bookmarkStart w:id="420" w:name="_Toc184312086"/>
      <w:bookmarkEnd w:id="420"/>
      <w:bookmarkStart w:id="421" w:name="_Toc184314436"/>
      <w:bookmarkEnd w:id="421"/>
      <w:bookmarkStart w:id="422" w:name="_Toc184312077"/>
      <w:bookmarkEnd w:id="422"/>
      <w:bookmarkStart w:id="423" w:name="_Toc184313276"/>
      <w:bookmarkEnd w:id="423"/>
      <w:bookmarkStart w:id="424" w:name="_Toc184308107"/>
      <w:bookmarkEnd w:id="424"/>
      <w:bookmarkStart w:id="425" w:name="_Toc184313243"/>
      <w:bookmarkEnd w:id="425"/>
      <w:bookmarkStart w:id="426" w:name="_Toc184312080"/>
      <w:bookmarkEnd w:id="426"/>
      <w:bookmarkStart w:id="427" w:name="_Toc184308052"/>
      <w:bookmarkEnd w:id="427"/>
      <w:bookmarkStart w:id="428" w:name="_Toc184313246"/>
      <w:bookmarkEnd w:id="428"/>
      <w:bookmarkStart w:id="429" w:name="_Toc184312125"/>
      <w:bookmarkEnd w:id="429"/>
      <w:bookmarkStart w:id="430" w:name="_Toc184314462"/>
      <w:bookmarkEnd w:id="430"/>
      <w:bookmarkStart w:id="431" w:name="_Toc184312107"/>
      <w:bookmarkEnd w:id="431"/>
      <w:bookmarkStart w:id="432" w:name="_Toc184308056"/>
      <w:bookmarkEnd w:id="432"/>
      <w:bookmarkStart w:id="433" w:name="_Toc184312111"/>
      <w:bookmarkEnd w:id="433"/>
      <w:bookmarkStart w:id="434" w:name="_Toc184312081"/>
      <w:bookmarkEnd w:id="434"/>
      <w:bookmarkStart w:id="435" w:name="_Toc184313297"/>
      <w:bookmarkEnd w:id="435"/>
      <w:r>
        <w:rPr>
          <w:rFonts w:hint="eastAsia"/>
          <w:color w:val="auto"/>
          <w:highlight w:val="none"/>
        </w:rPr>
        <w:t>评标办法</w:t>
      </w:r>
      <w:bookmarkEnd w:id="68"/>
      <w:bookmarkEnd w:id="69"/>
      <w:bookmarkEnd w:id="70"/>
    </w:p>
    <w:p w14:paraId="5C66163A">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评标办法前附表</w:t>
      </w:r>
    </w:p>
    <w:tbl>
      <w:tblPr>
        <w:tblStyle w:val="65"/>
        <w:tblW w:w="10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160"/>
        <w:gridCol w:w="5964"/>
        <w:gridCol w:w="975"/>
        <w:gridCol w:w="1229"/>
      </w:tblGrid>
      <w:tr w14:paraId="6B28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39" w:type="dxa"/>
            <w:gridSpan w:val="3"/>
            <w:vAlign w:val="center"/>
          </w:tcPr>
          <w:p w14:paraId="002C5D4A">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975" w:type="dxa"/>
            <w:vAlign w:val="center"/>
          </w:tcPr>
          <w:p w14:paraId="17A166D4">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1229" w:type="dxa"/>
            <w:vAlign w:val="center"/>
          </w:tcPr>
          <w:p w14:paraId="00C9AF01">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评审类型</w:t>
            </w:r>
          </w:p>
        </w:tc>
      </w:tr>
      <w:tr w14:paraId="6FA1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vAlign w:val="center"/>
          </w:tcPr>
          <w:p w14:paraId="4698E67E">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w:t>
            </w:r>
          </w:p>
          <w:p w14:paraId="7E7C741D">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tc>
        <w:tc>
          <w:tcPr>
            <w:tcW w:w="7124" w:type="dxa"/>
            <w:gridSpan w:val="2"/>
            <w:vAlign w:val="center"/>
          </w:tcPr>
          <w:p w14:paraId="7E2B58EA">
            <w:pPr>
              <w:tabs>
                <w:tab w:val="left" w:pos="0"/>
              </w:tabs>
              <w:spacing w:line="360" w:lineRule="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有效投标报价的最低价作为评标基准价；按［投标报价得分=（评标基准价/投标报价）×</w:t>
            </w:r>
            <w:r>
              <w:rPr>
                <w:rFonts w:hint="eastAsia" w:ascii="宋体" w:hAnsi="宋体" w:cs="宋体"/>
                <w:bCs/>
                <w:color w:val="auto"/>
                <w:sz w:val="24"/>
                <w:szCs w:val="24"/>
                <w:highlight w:val="none"/>
                <w:shd w:val="clear" w:color="auto" w:fill="auto"/>
                <w:lang w:val="en-US" w:eastAsia="zh-CN"/>
              </w:rPr>
              <w:t>10</w:t>
            </w:r>
            <w:r>
              <w:rPr>
                <w:rFonts w:hint="eastAsia" w:ascii="宋体" w:hAnsi="宋体" w:eastAsia="宋体" w:cs="宋体"/>
                <w:bCs/>
                <w:color w:val="auto"/>
                <w:sz w:val="24"/>
                <w:szCs w:val="24"/>
                <w:highlight w:val="none"/>
                <w:shd w:val="clear" w:color="auto" w:fill="auto"/>
              </w:rPr>
              <w:t>］的计算公式计算。</w:t>
            </w:r>
          </w:p>
          <w:p w14:paraId="05AD086F">
            <w:pPr>
              <w:keepNext w:val="0"/>
              <w:keepLines w:val="0"/>
              <w:pageBreakBefore w:val="0"/>
              <w:tabs>
                <w:tab w:val="left" w:pos="0"/>
              </w:tabs>
              <w:kinsoku/>
              <w:wordWrap/>
              <w:overflowPunct/>
              <w:topLinePunct w:val="0"/>
              <w:autoSpaceDE/>
              <w:autoSpaceDN/>
              <w:bidi w:val="0"/>
              <w:adjustRightInd w:val="0"/>
              <w:spacing w:line="312"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注：1、投标报价超过对应最高限价的作无效标处理。</w:t>
            </w:r>
          </w:p>
          <w:p w14:paraId="0617C795">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2、价格得分小数点后保留2位小数，第3位小数四舍五入。</w:t>
            </w:r>
          </w:p>
        </w:tc>
        <w:tc>
          <w:tcPr>
            <w:tcW w:w="975" w:type="dxa"/>
            <w:vAlign w:val="center"/>
          </w:tcPr>
          <w:p w14:paraId="690ABBAE">
            <w:pPr>
              <w:keepNext w:val="0"/>
              <w:keepLines w:val="0"/>
              <w:pageBreakBefore w:val="0"/>
              <w:kinsoku/>
              <w:wordWrap/>
              <w:overflowPunct/>
              <w:topLinePunct w:val="0"/>
              <w:autoSpaceDE/>
              <w:autoSpaceDN/>
              <w:bidi w:val="0"/>
              <w:adjustRightInd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229" w:type="dxa"/>
            <w:vAlign w:val="center"/>
          </w:tcPr>
          <w:p w14:paraId="58F084BA">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客观分</w:t>
            </w:r>
          </w:p>
        </w:tc>
      </w:tr>
      <w:tr w14:paraId="6E09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15" w:type="dxa"/>
            <w:vMerge w:val="restart"/>
            <w:vAlign w:val="center"/>
          </w:tcPr>
          <w:p w14:paraId="24785838">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商务资信分</w:t>
            </w:r>
          </w:p>
          <w:p w14:paraId="6BDD9F07">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分）</w:t>
            </w:r>
          </w:p>
        </w:tc>
        <w:tc>
          <w:tcPr>
            <w:tcW w:w="1160" w:type="dxa"/>
            <w:vAlign w:val="center"/>
          </w:tcPr>
          <w:p w14:paraId="60A762F9">
            <w:pPr>
              <w:keepNext w:val="0"/>
              <w:keepLines w:val="0"/>
              <w:pageBreakBefore w:val="0"/>
              <w:widowControl/>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业绩分</w:t>
            </w:r>
          </w:p>
          <w:p w14:paraId="6262F3B4">
            <w:pPr>
              <w:keepNext w:val="0"/>
              <w:keepLines w:val="0"/>
              <w:pageBreakBefore w:val="0"/>
              <w:widowControl/>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分）</w:t>
            </w:r>
          </w:p>
        </w:tc>
        <w:tc>
          <w:tcPr>
            <w:tcW w:w="5964" w:type="dxa"/>
            <w:vAlign w:val="center"/>
          </w:tcPr>
          <w:p w14:paraId="4CB27858">
            <w:pPr>
              <w:keepNext w:val="0"/>
              <w:keepLines w:val="0"/>
              <w:pageBreakBefore w:val="0"/>
              <w:widowControl/>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年1月1日至今（以合同签订之日为准），投标人承担过</w:t>
            </w:r>
            <w:r>
              <w:rPr>
                <w:rFonts w:hint="eastAsia" w:ascii="宋体" w:hAnsi="宋体" w:eastAsia="宋体" w:cs="宋体"/>
                <w:color w:val="auto"/>
                <w:kern w:val="0"/>
                <w:sz w:val="24"/>
                <w:szCs w:val="24"/>
                <w:highlight w:val="none"/>
                <w:lang w:val="en-US" w:eastAsia="zh-CN"/>
              </w:rPr>
              <w:t>同类服务</w:t>
            </w:r>
            <w:r>
              <w:rPr>
                <w:rFonts w:hint="eastAsia" w:ascii="宋体" w:hAnsi="宋体" w:eastAsia="宋体" w:cs="宋体"/>
                <w:color w:val="auto"/>
                <w:kern w:val="0"/>
                <w:sz w:val="24"/>
                <w:szCs w:val="24"/>
                <w:highlight w:val="none"/>
                <w:lang w:eastAsia="zh-CN"/>
              </w:rPr>
              <w:t>项目业绩，每个合同得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eastAsia="zh-CN"/>
              </w:rPr>
              <w:t>分，最高得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w:t>
            </w:r>
          </w:p>
          <w:p w14:paraId="2BC113D7">
            <w:pPr>
              <w:keepNext w:val="0"/>
              <w:keepLines w:val="0"/>
              <w:pageBreakBefore w:val="0"/>
              <w:widowControl/>
              <w:kinsoku/>
              <w:wordWrap/>
              <w:overflowPunct/>
              <w:topLinePunct w:val="0"/>
              <w:autoSpaceDE/>
              <w:autoSpaceDN/>
              <w:bidi w:val="0"/>
              <w:adjustRightInd w:val="0"/>
              <w:spacing w:line="312" w:lineRule="auto"/>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注：投标文件中需提供合同复印件加盖公章，未提供不得分。</w:t>
            </w:r>
          </w:p>
        </w:tc>
        <w:tc>
          <w:tcPr>
            <w:tcW w:w="975" w:type="dxa"/>
            <w:vAlign w:val="center"/>
          </w:tcPr>
          <w:p w14:paraId="6EA50B72">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229" w:type="dxa"/>
            <w:vAlign w:val="center"/>
          </w:tcPr>
          <w:p w14:paraId="629F7EE3">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1920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15" w:type="dxa"/>
            <w:vMerge w:val="continue"/>
            <w:vAlign w:val="center"/>
          </w:tcPr>
          <w:p w14:paraId="6C5A3FBA">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p>
        </w:tc>
        <w:tc>
          <w:tcPr>
            <w:tcW w:w="1160" w:type="dxa"/>
            <w:vMerge w:val="restart"/>
            <w:vAlign w:val="center"/>
          </w:tcPr>
          <w:p w14:paraId="7D1C9E1D">
            <w:pPr>
              <w:keepNext w:val="0"/>
              <w:keepLines w:val="0"/>
              <w:pageBreakBefore w:val="0"/>
              <w:widowControl/>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综合实力（6分）</w:t>
            </w:r>
          </w:p>
        </w:tc>
        <w:tc>
          <w:tcPr>
            <w:tcW w:w="5964" w:type="dxa"/>
            <w:vAlign w:val="center"/>
          </w:tcPr>
          <w:p w14:paraId="69F96A32">
            <w:pPr>
              <w:keepNext w:val="0"/>
              <w:keepLines w:val="0"/>
              <w:pageBreakBefore w:val="0"/>
              <w:widowControl/>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投标人具有质量管理体系认证证书、环境管理体系认证证书、职业健康安全管理体系认证证书</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信息安全管理体系认证证书</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信息技术服务管理体系认证证书的</w:t>
            </w:r>
            <w:r>
              <w:rPr>
                <w:rFonts w:hint="eastAsia" w:ascii="宋体" w:hAnsi="宋体" w:eastAsia="宋体" w:cs="宋体"/>
                <w:color w:val="auto"/>
                <w:kern w:val="0"/>
                <w:sz w:val="24"/>
                <w:szCs w:val="24"/>
                <w:highlight w:val="none"/>
                <w:lang w:val="en-US" w:eastAsia="zh-CN"/>
              </w:rPr>
              <w:t>每具有一项</w:t>
            </w:r>
            <w:r>
              <w:rPr>
                <w:rFonts w:hint="eastAsia" w:ascii="宋体" w:hAnsi="宋体" w:eastAsia="宋体" w:cs="宋体"/>
                <w:color w:val="auto"/>
                <w:kern w:val="0"/>
                <w:sz w:val="24"/>
                <w:szCs w:val="24"/>
                <w:highlight w:val="none"/>
                <w:lang w:eastAsia="zh-CN"/>
              </w:rPr>
              <w:t>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w:t>
            </w:r>
            <w:r>
              <w:rPr>
                <w:rFonts w:hint="eastAsia" w:ascii="宋体" w:hAnsi="宋体" w:eastAsia="宋体" w:cs="宋体"/>
                <w:color w:val="auto"/>
                <w:kern w:val="0"/>
                <w:sz w:val="24"/>
                <w:szCs w:val="24"/>
                <w:highlight w:val="none"/>
                <w:lang w:val="en-US" w:eastAsia="zh-CN"/>
              </w:rPr>
              <w:t>满分</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p w14:paraId="790B8F48">
            <w:pPr>
              <w:keepNext w:val="0"/>
              <w:keepLines w:val="0"/>
              <w:pageBreakBefore w:val="0"/>
              <w:widowControl/>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注：投标文件中提供有效期内的认证证书复印件并加盖公章，不提供的不得分。</w:t>
            </w:r>
            <w:r>
              <w:rPr>
                <w:rFonts w:hint="eastAsia" w:ascii="宋体" w:hAnsi="宋体" w:cs="宋体"/>
                <w:color w:val="auto"/>
                <w:kern w:val="0"/>
                <w:sz w:val="24"/>
                <w:szCs w:val="24"/>
                <w:highlight w:val="none"/>
                <w:lang w:val="en-US" w:eastAsia="zh-CN"/>
              </w:rPr>
              <w:t>若为联合体投标的，由联合体牵头人提供。</w:t>
            </w:r>
          </w:p>
        </w:tc>
        <w:tc>
          <w:tcPr>
            <w:tcW w:w="975" w:type="dxa"/>
            <w:vAlign w:val="center"/>
          </w:tcPr>
          <w:p w14:paraId="74D4A6E1">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229" w:type="dxa"/>
            <w:vAlign w:val="center"/>
          </w:tcPr>
          <w:p w14:paraId="170BEAB5">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r>
      <w:tr w14:paraId="2FD7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15" w:type="dxa"/>
            <w:vMerge w:val="continue"/>
            <w:vAlign w:val="center"/>
          </w:tcPr>
          <w:p w14:paraId="29418DA8">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p>
        </w:tc>
        <w:tc>
          <w:tcPr>
            <w:tcW w:w="1160" w:type="dxa"/>
            <w:vMerge w:val="continue"/>
            <w:vAlign w:val="center"/>
          </w:tcPr>
          <w:p w14:paraId="08E5B002">
            <w:pPr>
              <w:keepNext w:val="0"/>
              <w:keepLines w:val="0"/>
              <w:pageBreakBefore w:val="0"/>
              <w:widowControl/>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kern w:val="0"/>
                <w:sz w:val="24"/>
                <w:szCs w:val="24"/>
                <w:highlight w:val="none"/>
              </w:rPr>
            </w:pPr>
          </w:p>
        </w:tc>
        <w:tc>
          <w:tcPr>
            <w:tcW w:w="5964" w:type="dxa"/>
            <w:vAlign w:val="center"/>
          </w:tcPr>
          <w:p w14:paraId="792133D2">
            <w:pPr>
              <w:keepNext w:val="0"/>
              <w:keepLines w:val="0"/>
              <w:pageBreakBefore w:val="0"/>
              <w:widowControl/>
              <w:kinsoku/>
              <w:wordWrap/>
              <w:overflowPunct/>
              <w:topLinePunct w:val="0"/>
              <w:autoSpaceDE/>
              <w:autoSpaceDN/>
              <w:bidi w:val="0"/>
              <w:adjustRightInd w:val="0"/>
              <w:spacing w:line="312" w:lineRule="auto"/>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投标人</w:t>
            </w:r>
            <w:r>
              <w:rPr>
                <w:rFonts w:hint="eastAsia" w:ascii="宋体" w:hAnsi="宋体" w:cs="宋体"/>
                <w:color w:val="auto"/>
                <w:kern w:val="0"/>
                <w:sz w:val="24"/>
                <w:szCs w:val="24"/>
                <w:highlight w:val="none"/>
                <w:lang w:eastAsia="zh-CN"/>
              </w:rPr>
              <w:t>具有软件能力成熟度模型（CMMI）叁级及以上资质的</w:t>
            </w:r>
            <w:r>
              <w:rPr>
                <w:rFonts w:hint="eastAsia" w:ascii="宋体" w:hAnsi="宋体" w:eastAsia="宋体" w:cs="宋体"/>
                <w:color w:val="auto"/>
                <w:kern w:val="0"/>
                <w:sz w:val="24"/>
                <w:szCs w:val="24"/>
                <w:highlight w:val="none"/>
              </w:rPr>
              <w:t>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满分1分。</w:t>
            </w:r>
          </w:p>
          <w:p w14:paraId="3E9CDF4D">
            <w:pPr>
              <w:keepNext w:val="0"/>
              <w:keepLines w:val="0"/>
              <w:pageBreakBefore w:val="0"/>
              <w:widowControl/>
              <w:kinsoku/>
              <w:wordWrap/>
              <w:overflowPunct/>
              <w:topLinePunct w:val="0"/>
              <w:autoSpaceDE/>
              <w:autoSpaceDN/>
              <w:bidi w:val="0"/>
              <w:adjustRightInd w:val="0"/>
              <w:spacing w:line="312" w:lineRule="auto"/>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注：投标文件中提供有效期内的认证证书复印件并加盖公章，不提供的不得分。</w:t>
            </w:r>
            <w:r>
              <w:rPr>
                <w:rFonts w:hint="eastAsia" w:ascii="宋体" w:hAnsi="宋体" w:cs="宋体"/>
                <w:color w:val="auto"/>
                <w:kern w:val="0"/>
                <w:sz w:val="24"/>
                <w:szCs w:val="24"/>
                <w:highlight w:val="none"/>
                <w:lang w:val="en-US" w:eastAsia="zh-CN"/>
              </w:rPr>
              <w:t>若为联合体投标的，由联合体牵头人提供。</w:t>
            </w:r>
          </w:p>
        </w:tc>
        <w:tc>
          <w:tcPr>
            <w:tcW w:w="975" w:type="dxa"/>
            <w:vAlign w:val="center"/>
          </w:tcPr>
          <w:p w14:paraId="6E939A11">
            <w:pPr>
              <w:keepNext w:val="0"/>
              <w:keepLines w:val="0"/>
              <w:pageBreakBefore w:val="0"/>
              <w:kinsoku/>
              <w:wordWrap/>
              <w:overflowPunct/>
              <w:topLinePunct w:val="0"/>
              <w:autoSpaceDE/>
              <w:autoSpaceDN/>
              <w:bidi w:val="0"/>
              <w:adjustRightInd w:val="0"/>
              <w:spacing w:line="312"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229" w:type="dxa"/>
            <w:vAlign w:val="center"/>
          </w:tcPr>
          <w:p w14:paraId="54D4EEC2">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31E5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vMerge w:val="continue"/>
            <w:vAlign w:val="center"/>
          </w:tcPr>
          <w:p w14:paraId="73F0C42E">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szCs w:val="24"/>
                <w:highlight w:val="none"/>
              </w:rPr>
            </w:pPr>
          </w:p>
        </w:tc>
        <w:tc>
          <w:tcPr>
            <w:tcW w:w="1160" w:type="dxa"/>
            <w:vMerge w:val="restart"/>
            <w:vAlign w:val="center"/>
          </w:tcPr>
          <w:p w14:paraId="1E04EE3C">
            <w:pPr>
              <w:keepNext w:val="0"/>
              <w:keepLines w:val="0"/>
              <w:pageBreakBefore w:val="0"/>
              <w:widowControl/>
              <w:kinsoku/>
              <w:wordWrap/>
              <w:overflowPunct/>
              <w:topLinePunct w:val="0"/>
              <w:autoSpaceDE/>
              <w:autoSpaceDN/>
              <w:bidi w:val="0"/>
              <w:adjustRightInd w:val="0"/>
              <w:spacing w:line="312" w:lineRule="auto"/>
              <w:jc w:val="center"/>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项目实施团队</w:t>
            </w:r>
          </w:p>
          <w:p w14:paraId="597DBD93">
            <w:pPr>
              <w:keepNext w:val="0"/>
              <w:keepLines w:val="0"/>
              <w:pageBreakBefore w:val="0"/>
              <w:widowControl/>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（6分）</w:t>
            </w:r>
          </w:p>
        </w:tc>
        <w:tc>
          <w:tcPr>
            <w:tcW w:w="5964" w:type="dxa"/>
            <w:vAlign w:val="center"/>
          </w:tcPr>
          <w:p w14:paraId="106FDAB7">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拟派项目经理具有</w:t>
            </w:r>
            <w:r>
              <w:rPr>
                <w:rFonts w:hint="eastAsia" w:ascii="宋体" w:hAnsi="宋体" w:cs="宋体"/>
                <w:color w:val="auto"/>
                <w:sz w:val="24"/>
                <w:szCs w:val="24"/>
                <w:highlight w:val="none"/>
                <w:lang w:val="en-US" w:eastAsia="zh-CN"/>
              </w:rPr>
              <w:t>信息系统项目管理师（高级）证书得2分，没有不得分</w:t>
            </w:r>
            <w:r>
              <w:rPr>
                <w:rFonts w:hint="eastAsia" w:ascii="宋体" w:hAnsi="宋体" w:eastAsia="宋体" w:cs="宋体"/>
                <w:color w:val="auto"/>
                <w:sz w:val="24"/>
                <w:szCs w:val="24"/>
                <w:highlight w:val="none"/>
              </w:rPr>
              <w:t>。</w:t>
            </w:r>
          </w:p>
          <w:p w14:paraId="12E6BFD6">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注：投标文件中提供证书复印件加盖公章、由投标人为其缴纳的距开标日前三个月内任意一月社保缴纳证明。</w:t>
            </w:r>
            <w:r>
              <w:rPr>
                <w:rFonts w:hint="eastAsia" w:ascii="宋体" w:hAnsi="宋体" w:cs="宋体"/>
                <w:color w:val="auto"/>
                <w:kern w:val="0"/>
                <w:sz w:val="24"/>
                <w:szCs w:val="24"/>
                <w:highlight w:val="none"/>
                <w:lang w:val="en-US" w:eastAsia="zh-CN"/>
              </w:rPr>
              <w:t>若为联合体投标的，项目经理</w:t>
            </w:r>
            <w:r>
              <w:rPr>
                <w:rFonts w:hint="eastAsia" w:ascii="宋体" w:hAnsi="宋体" w:cs="宋体"/>
                <w:color w:val="auto"/>
                <w:sz w:val="24"/>
                <w:szCs w:val="24"/>
                <w:highlight w:val="none"/>
                <w:lang w:val="en-US" w:eastAsia="zh-CN"/>
              </w:rPr>
              <w:t>需</w:t>
            </w:r>
            <w:r>
              <w:rPr>
                <w:rFonts w:hint="eastAsia" w:ascii="宋体" w:hAnsi="宋体" w:cs="宋体"/>
                <w:color w:val="auto"/>
                <w:kern w:val="0"/>
                <w:sz w:val="24"/>
                <w:szCs w:val="24"/>
                <w:highlight w:val="none"/>
                <w:lang w:val="en-US" w:eastAsia="zh-CN"/>
              </w:rPr>
              <w:t>为联合体牵头人单位员工，由联合体牵头人提供。</w:t>
            </w:r>
          </w:p>
        </w:tc>
        <w:tc>
          <w:tcPr>
            <w:tcW w:w="975" w:type="dxa"/>
            <w:vAlign w:val="center"/>
          </w:tcPr>
          <w:p w14:paraId="1CE772CA">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2</w:t>
            </w:r>
          </w:p>
        </w:tc>
        <w:tc>
          <w:tcPr>
            <w:tcW w:w="1229" w:type="dxa"/>
            <w:vAlign w:val="center"/>
          </w:tcPr>
          <w:p w14:paraId="2099C0B6">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077C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15" w:type="dxa"/>
            <w:vMerge w:val="continue"/>
            <w:vAlign w:val="center"/>
          </w:tcPr>
          <w:p w14:paraId="6D62C616">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szCs w:val="24"/>
                <w:highlight w:val="none"/>
              </w:rPr>
            </w:pPr>
          </w:p>
        </w:tc>
        <w:tc>
          <w:tcPr>
            <w:tcW w:w="1160" w:type="dxa"/>
            <w:vMerge w:val="continue"/>
            <w:vAlign w:val="center"/>
          </w:tcPr>
          <w:p w14:paraId="46DFEBDF">
            <w:pPr>
              <w:keepNext w:val="0"/>
              <w:keepLines w:val="0"/>
              <w:pageBreakBefore w:val="0"/>
              <w:widowControl/>
              <w:kinsoku/>
              <w:wordWrap/>
              <w:overflowPunct/>
              <w:topLinePunct w:val="0"/>
              <w:autoSpaceDE/>
              <w:autoSpaceDN/>
              <w:bidi w:val="0"/>
              <w:adjustRightInd w:val="0"/>
              <w:spacing w:line="312" w:lineRule="auto"/>
              <w:textAlignment w:val="auto"/>
              <w:rPr>
                <w:rFonts w:hint="eastAsia" w:ascii="宋体" w:hAnsi="宋体" w:eastAsia="宋体" w:cs="宋体"/>
                <w:b/>
                <w:bCs/>
                <w:color w:val="auto"/>
                <w:kern w:val="0"/>
                <w:sz w:val="24"/>
                <w:szCs w:val="24"/>
                <w:highlight w:val="none"/>
              </w:rPr>
            </w:pPr>
          </w:p>
        </w:tc>
        <w:tc>
          <w:tcPr>
            <w:tcW w:w="5964" w:type="dxa"/>
            <w:vAlign w:val="center"/>
          </w:tcPr>
          <w:p w14:paraId="0F6F9B92">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拟派项目组人员（除项目经理外）：</w:t>
            </w:r>
          </w:p>
          <w:p w14:paraId="58F6EB54">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w:t>
            </w:r>
            <w:r>
              <w:rPr>
                <w:rFonts w:hint="eastAsia" w:ascii="宋体" w:hAnsi="宋体" w:cs="宋体"/>
                <w:color w:val="auto"/>
                <w:sz w:val="24"/>
                <w:szCs w:val="24"/>
                <w:highlight w:val="none"/>
                <w:lang w:val="en-US" w:eastAsia="zh-CN"/>
              </w:rPr>
              <w:t>系统架构设计</w:t>
            </w:r>
            <w:r>
              <w:rPr>
                <w:rFonts w:hint="eastAsia" w:ascii="宋体" w:hAnsi="宋体" w:eastAsia="宋体" w:cs="宋体"/>
                <w:color w:val="auto"/>
                <w:sz w:val="24"/>
                <w:szCs w:val="24"/>
                <w:highlight w:val="none"/>
              </w:rPr>
              <w:t>师（高级）</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系统集成项目管理师（中级）或信息系统项目管理师（</w:t>
            </w:r>
            <w:r>
              <w:rPr>
                <w:rFonts w:hint="eastAsia" w:ascii="宋体" w:hAnsi="宋体" w:eastAsia="宋体" w:cs="宋体"/>
                <w:color w:val="auto"/>
                <w:sz w:val="24"/>
                <w:szCs w:val="24"/>
                <w:highlight w:val="none"/>
              </w:rPr>
              <w:t>高级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、软件设计师（中级）</w:t>
            </w:r>
            <w:r>
              <w:rPr>
                <w:rFonts w:hint="eastAsia" w:ascii="宋体" w:hAnsi="宋体" w:cs="宋体"/>
                <w:color w:val="auto"/>
                <w:sz w:val="24"/>
                <w:szCs w:val="24"/>
                <w:highlight w:val="none"/>
                <w:lang w:val="en-US" w:eastAsia="zh-CN"/>
              </w:rPr>
              <w:t>或系统分析师（</w:t>
            </w:r>
            <w:r>
              <w:rPr>
                <w:rFonts w:hint="eastAsia" w:ascii="宋体" w:hAnsi="宋体" w:eastAsia="宋体" w:cs="宋体"/>
                <w:color w:val="auto"/>
                <w:sz w:val="24"/>
                <w:szCs w:val="24"/>
                <w:highlight w:val="none"/>
              </w:rPr>
              <w:t>高级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、软件测评师（中级）</w:t>
            </w:r>
            <w:r>
              <w:rPr>
                <w:rFonts w:hint="eastAsia" w:ascii="宋体" w:hAnsi="宋体" w:eastAsia="宋体" w:cs="宋体"/>
                <w:color w:val="auto"/>
                <w:sz w:val="24"/>
                <w:szCs w:val="24"/>
                <w:highlight w:val="none"/>
              </w:rPr>
              <w:t>，每提供1</w:t>
            </w:r>
            <w:r>
              <w:rPr>
                <w:rFonts w:hint="eastAsia" w:ascii="宋体" w:hAnsi="宋体" w:cs="宋体"/>
                <w:color w:val="auto"/>
                <w:sz w:val="24"/>
                <w:szCs w:val="24"/>
                <w:highlight w:val="none"/>
                <w:lang w:val="en-US" w:eastAsia="zh-CN"/>
              </w:rPr>
              <w:t>类</w:t>
            </w:r>
            <w:r>
              <w:rPr>
                <w:rFonts w:hint="eastAsia" w:ascii="宋体" w:hAnsi="宋体" w:eastAsia="宋体" w:cs="宋体"/>
                <w:color w:val="auto"/>
                <w:sz w:val="24"/>
                <w:szCs w:val="24"/>
                <w:highlight w:val="none"/>
              </w:rPr>
              <w:t>证书得1分，最多得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3A34CB3D">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注：1人多本证书只计1分，投标文件中提供证书复印件加盖公章、由投标人为其缴纳的距开标日前三个月内任意一月社保缴纳证明。</w:t>
            </w:r>
            <w:r>
              <w:rPr>
                <w:rFonts w:hint="eastAsia" w:ascii="宋体" w:hAnsi="宋体" w:cs="宋体"/>
                <w:color w:val="auto"/>
                <w:kern w:val="0"/>
                <w:sz w:val="24"/>
                <w:szCs w:val="24"/>
                <w:highlight w:val="none"/>
                <w:lang w:val="en-US" w:eastAsia="zh-CN"/>
              </w:rPr>
              <w:t>若为联合体投标的，</w:t>
            </w:r>
            <w:r>
              <w:rPr>
                <w:rFonts w:hint="eastAsia" w:ascii="宋体" w:hAnsi="宋体" w:eastAsia="宋体" w:cs="宋体"/>
                <w:color w:val="auto"/>
                <w:sz w:val="24"/>
                <w:szCs w:val="24"/>
                <w:highlight w:val="none"/>
              </w:rPr>
              <w:t>拟派项目组人员</w:t>
            </w:r>
            <w:r>
              <w:rPr>
                <w:rFonts w:hint="eastAsia" w:ascii="宋体" w:hAnsi="宋体" w:cs="宋体"/>
                <w:color w:val="auto"/>
                <w:sz w:val="24"/>
                <w:szCs w:val="24"/>
                <w:highlight w:val="none"/>
                <w:lang w:val="en-US" w:eastAsia="zh-CN"/>
              </w:rPr>
              <w:t>需为</w:t>
            </w:r>
            <w:r>
              <w:rPr>
                <w:rFonts w:hint="eastAsia" w:ascii="宋体" w:hAnsi="宋体" w:cs="宋体"/>
                <w:color w:val="auto"/>
                <w:kern w:val="0"/>
                <w:sz w:val="24"/>
                <w:szCs w:val="24"/>
                <w:highlight w:val="none"/>
                <w:lang w:val="en-US" w:eastAsia="zh-CN"/>
              </w:rPr>
              <w:t>联合体牵头人单位员工，由联合体牵头人提供。</w:t>
            </w:r>
          </w:p>
        </w:tc>
        <w:tc>
          <w:tcPr>
            <w:tcW w:w="975" w:type="dxa"/>
            <w:vAlign w:val="center"/>
          </w:tcPr>
          <w:p w14:paraId="107B7C4C">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229" w:type="dxa"/>
            <w:vAlign w:val="center"/>
          </w:tcPr>
          <w:p w14:paraId="1F6BC097">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231A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115" w:type="dxa"/>
            <w:vMerge w:val="restart"/>
            <w:vAlign w:val="center"/>
          </w:tcPr>
          <w:p w14:paraId="78AC2111">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p>
          <w:p w14:paraId="1023D2F3">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77</w:t>
            </w:r>
            <w:r>
              <w:rPr>
                <w:rFonts w:hint="eastAsia" w:ascii="宋体" w:hAnsi="宋体" w:eastAsia="宋体" w:cs="宋体"/>
                <w:b/>
                <w:bCs/>
                <w:color w:val="auto"/>
                <w:sz w:val="24"/>
                <w:szCs w:val="24"/>
                <w:highlight w:val="none"/>
              </w:rPr>
              <w:t>分）</w:t>
            </w:r>
          </w:p>
        </w:tc>
        <w:tc>
          <w:tcPr>
            <w:tcW w:w="1160" w:type="dxa"/>
            <w:vMerge w:val="restart"/>
            <w:vAlign w:val="center"/>
          </w:tcPr>
          <w:p w14:paraId="700816FF">
            <w:pPr>
              <w:keepNext w:val="0"/>
              <w:keepLines w:val="0"/>
              <w:pageBreakBefore w:val="0"/>
              <w:widowControl/>
              <w:kinsoku/>
              <w:wordWrap/>
              <w:overflowPunct/>
              <w:topLinePunct w:val="0"/>
              <w:autoSpaceDE/>
              <w:autoSpaceDN/>
              <w:bidi w:val="0"/>
              <w:adjustRightInd w:val="0"/>
              <w:spacing w:line="312" w:lineRule="auto"/>
              <w:jc w:val="center"/>
              <w:textAlignment w:val="auto"/>
              <w:rPr>
                <w:rFonts w:hint="eastAsia" w:ascii="宋体" w:hAnsi="宋体" w:cs="宋体"/>
                <w:b/>
                <w:bCs/>
                <w:color w:val="auto"/>
                <w:kern w:val="0"/>
                <w:sz w:val="24"/>
                <w:szCs w:val="24"/>
                <w:highlight w:val="none"/>
                <w:lang w:val="zh-CN" w:eastAsia="zh-CN"/>
              </w:rPr>
            </w:pPr>
            <w:r>
              <w:rPr>
                <w:rFonts w:hint="eastAsia" w:ascii="宋体" w:hAnsi="宋体" w:cs="宋体"/>
                <w:b/>
                <w:bCs/>
                <w:color w:val="auto"/>
                <w:kern w:val="0"/>
                <w:sz w:val="24"/>
                <w:szCs w:val="24"/>
                <w:highlight w:val="none"/>
                <w:lang w:val="zh-CN" w:eastAsia="zh-CN"/>
              </w:rPr>
              <w:t>系统设计方案</w:t>
            </w:r>
          </w:p>
          <w:p w14:paraId="1E546B3D">
            <w:pPr>
              <w:keepNext w:val="0"/>
              <w:keepLines w:val="0"/>
              <w:pageBreakBefore w:val="0"/>
              <w:widowControl/>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（40分）</w:t>
            </w:r>
          </w:p>
        </w:tc>
        <w:tc>
          <w:tcPr>
            <w:tcW w:w="5964" w:type="dxa"/>
            <w:vAlign w:val="center"/>
          </w:tcPr>
          <w:p w14:paraId="2F48A97E">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1.根据</w:t>
            </w:r>
            <w:r>
              <w:rPr>
                <w:rFonts w:hint="eastAsia" w:ascii="宋体" w:hAnsi="宋体" w:eastAsia="宋体" w:cs="宋体"/>
                <w:bCs/>
                <w:color w:val="auto"/>
                <w:sz w:val="24"/>
                <w:szCs w:val="24"/>
                <w:highlight w:val="none"/>
              </w:rPr>
              <w:t>投标人针对本项目</w:t>
            </w:r>
            <w:r>
              <w:rPr>
                <w:rFonts w:hint="eastAsia" w:ascii="宋体" w:hAnsi="宋体" w:cs="宋体"/>
                <w:bCs/>
                <w:color w:val="auto"/>
                <w:sz w:val="24"/>
                <w:szCs w:val="24"/>
                <w:highlight w:val="none"/>
                <w:lang w:val="en-US" w:eastAsia="zh-CN"/>
              </w:rPr>
              <w:t>提供的</w:t>
            </w:r>
            <w:r>
              <w:rPr>
                <w:rFonts w:hint="eastAsia" w:ascii="宋体" w:hAnsi="宋体" w:eastAsia="宋体" w:cs="宋体"/>
                <w:bCs/>
                <w:color w:val="auto"/>
                <w:sz w:val="24"/>
                <w:szCs w:val="24"/>
                <w:highlight w:val="none"/>
              </w:rPr>
              <w:t>总体系统架构设计进行评审：</w:t>
            </w:r>
            <w:r>
              <w:rPr>
                <w:rFonts w:hint="eastAsia" w:ascii="宋体" w:hAnsi="宋体" w:cs="宋体"/>
                <w:bCs/>
                <w:color w:val="auto"/>
                <w:sz w:val="24"/>
                <w:szCs w:val="24"/>
                <w:highlight w:val="none"/>
                <w:lang w:val="en-US" w:eastAsia="zh-CN"/>
              </w:rPr>
              <w:t>总体架构设计</w:t>
            </w:r>
            <w:r>
              <w:rPr>
                <w:rFonts w:hint="eastAsia" w:ascii="宋体" w:hAnsi="宋体" w:eastAsia="宋体" w:cs="宋体"/>
                <w:bCs/>
                <w:color w:val="auto"/>
                <w:sz w:val="24"/>
                <w:szCs w:val="24"/>
                <w:highlight w:val="none"/>
              </w:rPr>
              <w:t>思路清晰，针对性较强，</w:t>
            </w:r>
            <w:r>
              <w:rPr>
                <w:rFonts w:hint="eastAsia" w:ascii="宋体" w:hAnsi="宋体" w:cs="宋体"/>
                <w:bCs/>
                <w:color w:val="auto"/>
                <w:sz w:val="24"/>
                <w:szCs w:val="24"/>
                <w:highlight w:val="none"/>
                <w:lang w:val="en-US" w:eastAsia="zh-CN"/>
              </w:rPr>
              <w:t>描述详实</w:t>
            </w:r>
            <w:r>
              <w:rPr>
                <w:rFonts w:hint="eastAsia" w:ascii="宋体" w:hAnsi="宋体" w:eastAsia="宋体" w:cs="宋体"/>
                <w:bCs/>
                <w:color w:val="auto"/>
                <w:sz w:val="24"/>
                <w:szCs w:val="24"/>
                <w:highlight w:val="none"/>
              </w:rPr>
              <w:t>，且符合采购人需求的得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分；方案基本合理可行，基本符合采购人需求的得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分；方案有缺陷，不能完全满足采购人需求的得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分；未提供的得0分。</w:t>
            </w:r>
          </w:p>
        </w:tc>
        <w:tc>
          <w:tcPr>
            <w:tcW w:w="975" w:type="dxa"/>
            <w:vAlign w:val="center"/>
          </w:tcPr>
          <w:p w14:paraId="3D146673">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29" w:type="dxa"/>
            <w:vAlign w:val="center"/>
          </w:tcPr>
          <w:p w14:paraId="735C40C7">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5D03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vMerge w:val="continue"/>
            <w:vAlign w:val="center"/>
          </w:tcPr>
          <w:p w14:paraId="708D91E9">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p>
        </w:tc>
        <w:tc>
          <w:tcPr>
            <w:tcW w:w="1160" w:type="dxa"/>
            <w:vMerge w:val="continue"/>
            <w:vAlign w:val="center"/>
          </w:tcPr>
          <w:p w14:paraId="420C5A44">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kern w:val="0"/>
                <w:sz w:val="24"/>
                <w:szCs w:val="24"/>
                <w:highlight w:val="none"/>
              </w:rPr>
            </w:pPr>
          </w:p>
        </w:tc>
        <w:tc>
          <w:tcPr>
            <w:tcW w:w="5964" w:type="dxa"/>
            <w:vAlign w:val="center"/>
          </w:tcPr>
          <w:p w14:paraId="4DBFD401">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2.根据</w:t>
            </w:r>
            <w:r>
              <w:rPr>
                <w:rFonts w:hint="eastAsia" w:ascii="宋体" w:hAnsi="宋体" w:eastAsia="宋体" w:cs="宋体"/>
                <w:bCs/>
                <w:color w:val="auto"/>
                <w:sz w:val="24"/>
                <w:szCs w:val="24"/>
                <w:highlight w:val="none"/>
              </w:rPr>
              <w:t>投标人针对本项目</w:t>
            </w:r>
            <w:r>
              <w:rPr>
                <w:rFonts w:hint="eastAsia" w:ascii="宋体" w:hAnsi="宋体" w:cs="宋体"/>
                <w:bCs/>
                <w:color w:val="auto"/>
                <w:sz w:val="24"/>
                <w:szCs w:val="24"/>
                <w:highlight w:val="none"/>
                <w:lang w:val="en-US" w:eastAsia="zh-CN"/>
              </w:rPr>
              <w:t>提供的业务</w:t>
            </w:r>
            <w:r>
              <w:rPr>
                <w:rFonts w:hint="eastAsia" w:ascii="宋体" w:hAnsi="宋体" w:eastAsia="宋体" w:cs="宋体"/>
                <w:bCs/>
                <w:color w:val="auto"/>
                <w:sz w:val="24"/>
                <w:szCs w:val="24"/>
                <w:highlight w:val="none"/>
              </w:rPr>
              <w:t>应用</w:t>
            </w:r>
            <w:r>
              <w:rPr>
                <w:rFonts w:hint="eastAsia" w:ascii="宋体" w:hAnsi="宋体" w:eastAsia="宋体" w:cs="宋体"/>
                <w:bCs/>
                <w:color w:val="auto"/>
                <w:sz w:val="24"/>
                <w:szCs w:val="24"/>
                <w:highlight w:val="none"/>
                <w:lang w:val="en-US" w:eastAsia="zh-CN"/>
              </w:rPr>
              <w:t>层</w:t>
            </w:r>
            <w:r>
              <w:rPr>
                <w:rFonts w:hint="eastAsia" w:ascii="宋体" w:hAnsi="宋体" w:cs="宋体"/>
                <w:bCs/>
                <w:color w:val="auto"/>
                <w:sz w:val="24"/>
                <w:szCs w:val="24"/>
                <w:highlight w:val="none"/>
                <w:lang w:val="en-US" w:eastAsia="zh-CN"/>
              </w:rPr>
              <w:t>中</w:t>
            </w:r>
            <w:r>
              <w:rPr>
                <w:rFonts w:hint="eastAsia" w:ascii="宋体" w:hAnsi="宋体" w:eastAsia="宋体"/>
                <w:color w:val="auto"/>
                <w:sz w:val="24"/>
                <w:highlight w:val="none"/>
              </w:rPr>
              <w:t>督考一体化综合集成</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督考一体化综合展示</w:t>
            </w:r>
            <w:r>
              <w:rPr>
                <w:rFonts w:hint="eastAsia" w:ascii="宋体" w:hAnsi="宋体" w:cs="宋体"/>
                <w:bCs/>
                <w:color w:val="auto"/>
                <w:sz w:val="24"/>
                <w:szCs w:val="24"/>
                <w:highlight w:val="none"/>
                <w:lang w:val="en-US" w:eastAsia="zh-CN"/>
              </w:rPr>
              <w:t>设计</w:t>
            </w:r>
            <w:r>
              <w:rPr>
                <w:rFonts w:hint="eastAsia" w:ascii="宋体" w:hAnsi="宋体" w:eastAsia="宋体" w:cs="宋体"/>
                <w:bCs/>
                <w:color w:val="auto"/>
                <w:sz w:val="24"/>
                <w:szCs w:val="24"/>
                <w:highlight w:val="none"/>
              </w:rPr>
              <w:t>进行评审：</w:t>
            </w:r>
            <w:r>
              <w:rPr>
                <w:rFonts w:hint="eastAsia" w:ascii="宋体" w:hAnsi="宋体" w:cs="宋体"/>
                <w:bCs/>
                <w:color w:val="auto"/>
                <w:sz w:val="24"/>
                <w:szCs w:val="24"/>
                <w:highlight w:val="none"/>
                <w:lang w:val="en-US" w:eastAsia="zh-CN"/>
              </w:rPr>
              <w:t>功能</w:t>
            </w:r>
            <w:r>
              <w:rPr>
                <w:rFonts w:hint="eastAsia" w:ascii="宋体" w:hAnsi="宋体" w:eastAsia="宋体" w:cs="宋体"/>
                <w:bCs/>
                <w:color w:val="auto"/>
                <w:sz w:val="24"/>
                <w:szCs w:val="24"/>
                <w:highlight w:val="none"/>
              </w:rPr>
              <w:t>设计方案成熟、完整、具有扩展性、易操作，且符合采购人需求的得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分；方案基本合理可行，基本符合采购人需求的得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分；方案有缺陷，不能完全满足采购人需求的得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分；未提供的得0分。</w:t>
            </w:r>
          </w:p>
        </w:tc>
        <w:tc>
          <w:tcPr>
            <w:tcW w:w="975" w:type="dxa"/>
            <w:vAlign w:val="center"/>
          </w:tcPr>
          <w:p w14:paraId="37E26679">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29" w:type="dxa"/>
            <w:vAlign w:val="center"/>
          </w:tcPr>
          <w:p w14:paraId="708D82BD">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92A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vMerge w:val="continue"/>
            <w:vAlign w:val="center"/>
          </w:tcPr>
          <w:p w14:paraId="5953B971">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p>
        </w:tc>
        <w:tc>
          <w:tcPr>
            <w:tcW w:w="1160" w:type="dxa"/>
            <w:vMerge w:val="continue"/>
            <w:vAlign w:val="center"/>
          </w:tcPr>
          <w:p w14:paraId="206570E1">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kern w:val="0"/>
                <w:sz w:val="24"/>
                <w:szCs w:val="24"/>
                <w:highlight w:val="none"/>
              </w:rPr>
            </w:pPr>
          </w:p>
        </w:tc>
        <w:tc>
          <w:tcPr>
            <w:tcW w:w="5964" w:type="dxa"/>
            <w:vAlign w:val="center"/>
          </w:tcPr>
          <w:p w14:paraId="518A62CD">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3.根据</w:t>
            </w:r>
            <w:r>
              <w:rPr>
                <w:rFonts w:hint="eastAsia" w:ascii="宋体" w:hAnsi="宋体" w:eastAsia="宋体" w:cs="宋体"/>
                <w:bCs/>
                <w:color w:val="auto"/>
                <w:sz w:val="24"/>
                <w:szCs w:val="24"/>
                <w:highlight w:val="none"/>
              </w:rPr>
              <w:t>投标人针对本项目</w:t>
            </w:r>
            <w:r>
              <w:rPr>
                <w:rFonts w:hint="eastAsia" w:ascii="宋体" w:hAnsi="宋体" w:cs="宋体"/>
                <w:bCs/>
                <w:color w:val="auto"/>
                <w:sz w:val="24"/>
                <w:szCs w:val="24"/>
                <w:highlight w:val="none"/>
                <w:lang w:val="en-US" w:eastAsia="zh-CN"/>
              </w:rPr>
              <w:t>提供的业务</w:t>
            </w:r>
            <w:r>
              <w:rPr>
                <w:rFonts w:hint="eastAsia" w:ascii="宋体" w:hAnsi="宋体" w:eastAsia="宋体" w:cs="宋体"/>
                <w:bCs/>
                <w:color w:val="auto"/>
                <w:sz w:val="24"/>
                <w:szCs w:val="24"/>
                <w:highlight w:val="none"/>
              </w:rPr>
              <w:t>应用</w:t>
            </w:r>
            <w:r>
              <w:rPr>
                <w:rFonts w:hint="eastAsia" w:ascii="宋体" w:hAnsi="宋体" w:eastAsia="宋体" w:cs="宋体"/>
                <w:bCs/>
                <w:color w:val="auto"/>
                <w:sz w:val="24"/>
                <w:szCs w:val="24"/>
                <w:highlight w:val="none"/>
                <w:lang w:val="en-US" w:eastAsia="zh-CN"/>
              </w:rPr>
              <w:t>层中</w:t>
            </w:r>
            <w:r>
              <w:rPr>
                <w:rFonts w:hint="eastAsia" w:ascii="宋体" w:hAnsi="宋体" w:cs="宋体"/>
                <w:bCs/>
                <w:color w:val="auto"/>
                <w:sz w:val="24"/>
                <w:szCs w:val="24"/>
                <w:highlight w:val="none"/>
                <w:lang w:val="en-US" w:eastAsia="zh-CN"/>
              </w:rPr>
              <w:t>业务应用及浙政钉移动端设计</w:t>
            </w:r>
            <w:r>
              <w:rPr>
                <w:rFonts w:hint="eastAsia" w:ascii="宋体" w:hAnsi="宋体" w:eastAsia="宋体" w:cs="宋体"/>
                <w:bCs/>
                <w:color w:val="auto"/>
                <w:sz w:val="24"/>
                <w:szCs w:val="24"/>
                <w:highlight w:val="none"/>
              </w:rPr>
              <w:t>进行评审：</w:t>
            </w:r>
            <w:r>
              <w:rPr>
                <w:rFonts w:hint="eastAsia" w:ascii="宋体" w:hAnsi="宋体" w:cs="宋体"/>
                <w:bCs/>
                <w:color w:val="auto"/>
                <w:sz w:val="24"/>
                <w:szCs w:val="24"/>
                <w:highlight w:val="none"/>
                <w:lang w:val="en-US" w:eastAsia="zh-CN"/>
              </w:rPr>
              <w:t>功能</w:t>
            </w:r>
            <w:r>
              <w:rPr>
                <w:rFonts w:hint="eastAsia" w:ascii="宋体" w:hAnsi="宋体" w:eastAsia="宋体" w:cs="宋体"/>
                <w:bCs/>
                <w:color w:val="auto"/>
                <w:sz w:val="24"/>
                <w:szCs w:val="24"/>
                <w:highlight w:val="none"/>
              </w:rPr>
              <w:t>设计方案成熟、完整、具有扩展性、易操作，且符合采购人需求的得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分；方案基本合理可行，基本符合采购人需求的得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分；方案有缺陷，不能完全满足采购人需求的得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分；未提供的得0分。</w:t>
            </w:r>
          </w:p>
        </w:tc>
        <w:tc>
          <w:tcPr>
            <w:tcW w:w="975" w:type="dxa"/>
            <w:vAlign w:val="center"/>
          </w:tcPr>
          <w:p w14:paraId="7C11EB3C">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29" w:type="dxa"/>
            <w:vAlign w:val="center"/>
          </w:tcPr>
          <w:p w14:paraId="2C08375B">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78EB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vMerge w:val="continue"/>
            <w:vAlign w:val="center"/>
          </w:tcPr>
          <w:p w14:paraId="31AA5C53">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p>
        </w:tc>
        <w:tc>
          <w:tcPr>
            <w:tcW w:w="1160" w:type="dxa"/>
            <w:vMerge w:val="continue"/>
            <w:vAlign w:val="center"/>
          </w:tcPr>
          <w:p w14:paraId="73412D77">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kern w:val="0"/>
                <w:sz w:val="24"/>
                <w:szCs w:val="24"/>
                <w:highlight w:val="none"/>
              </w:rPr>
            </w:pPr>
          </w:p>
        </w:tc>
        <w:tc>
          <w:tcPr>
            <w:tcW w:w="5964" w:type="dxa"/>
            <w:vAlign w:val="center"/>
          </w:tcPr>
          <w:p w14:paraId="6790AE03">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4.根据</w:t>
            </w:r>
            <w:r>
              <w:rPr>
                <w:rFonts w:hint="eastAsia" w:ascii="宋体" w:hAnsi="宋体" w:eastAsia="宋体" w:cs="宋体"/>
                <w:bCs/>
                <w:color w:val="auto"/>
                <w:sz w:val="24"/>
                <w:szCs w:val="24"/>
                <w:highlight w:val="none"/>
              </w:rPr>
              <w:t>投标人针对本项目</w:t>
            </w:r>
            <w:r>
              <w:rPr>
                <w:rFonts w:hint="eastAsia" w:ascii="宋体" w:hAnsi="宋体" w:cs="宋体"/>
                <w:bCs/>
                <w:color w:val="auto"/>
                <w:sz w:val="24"/>
                <w:szCs w:val="24"/>
                <w:highlight w:val="none"/>
                <w:lang w:val="en-US" w:eastAsia="zh-CN"/>
              </w:rPr>
              <w:t>提供的应用支撑层</w:t>
            </w:r>
            <w:r>
              <w:rPr>
                <w:rFonts w:hint="eastAsia" w:ascii="宋体" w:hAnsi="宋体" w:eastAsia="宋体" w:cs="宋体"/>
                <w:bCs/>
                <w:color w:val="auto"/>
                <w:sz w:val="24"/>
                <w:szCs w:val="24"/>
                <w:highlight w:val="none"/>
              </w:rPr>
              <w:t>设计</w:t>
            </w:r>
            <w:r>
              <w:rPr>
                <w:rFonts w:hint="eastAsia" w:ascii="宋体" w:hAnsi="宋体" w:cs="宋体"/>
                <w:bCs/>
                <w:color w:val="auto"/>
                <w:sz w:val="24"/>
                <w:szCs w:val="24"/>
                <w:highlight w:val="none"/>
                <w:lang w:val="en-US" w:eastAsia="zh-CN"/>
              </w:rPr>
              <w:t>方案</w:t>
            </w:r>
            <w:r>
              <w:rPr>
                <w:rFonts w:hint="eastAsia" w:ascii="宋体" w:hAnsi="宋体" w:eastAsia="宋体" w:cs="宋体"/>
                <w:bCs/>
                <w:color w:val="auto"/>
                <w:sz w:val="24"/>
                <w:szCs w:val="24"/>
                <w:highlight w:val="none"/>
              </w:rPr>
              <w:t>进行评审：</w:t>
            </w:r>
            <w:r>
              <w:rPr>
                <w:rFonts w:hint="eastAsia" w:ascii="宋体" w:hAnsi="宋体" w:cs="宋体"/>
                <w:bCs/>
                <w:color w:val="auto"/>
                <w:sz w:val="24"/>
                <w:szCs w:val="24"/>
                <w:highlight w:val="none"/>
                <w:lang w:val="en-US" w:eastAsia="zh-CN"/>
              </w:rPr>
              <w:t>功能</w:t>
            </w:r>
            <w:r>
              <w:rPr>
                <w:rFonts w:hint="eastAsia" w:ascii="宋体" w:hAnsi="宋体" w:eastAsia="宋体" w:cs="宋体"/>
                <w:bCs/>
                <w:color w:val="auto"/>
                <w:sz w:val="24"/>
                <w:szCs w:val="24"/>
                <w:highlight w:val="none"/>
              </w:rPr>
              <w:t>设计方案成熟、完整、具有扩展性、易操作，且符合采购人需求的得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分；方案基本合理可行，基本符合采购人需求的得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分；方案有缺陷，不能完全满足采购人需求的得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分；未提供的得0分。</w:t>
            </w:r>
          </w:p>
        </w:tc>
        <w:tc>
          <w:tcPr>
            <w:tcW w:w="975" w:type="dxa"/>
            <w:vAlign w:val="center"/>
          </w:tcPr>
          <w:p w14:paraId="09534366">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29" w:type="dxa"/>
            <w:vAlign w:val="center"/>
          </w:tcPr>
          <w:p w14:paraId="2522F4A4">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7D7B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vMerge w:val="continue"/>
            <w:vAlign w:val="center"/>
          </w:tcPr>
          <w:p w14:paraId="099C243C">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p>
        </w:tc>
        <w:tc>
          <w:tcPr>
            <w:tcW w:w="1160" w:type="dxa"/>
            <w:vMerge w:val="continue"/>
            <w:vAlign w:val="center"/>
          </w:tcPr>
          <w:p w14:paraId="3620DA1C">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kern w:val="0"/>
                <w:sz w:val="24"/>
                <w:szCs w:val="24"/>
                <w:highlight w:val="none"/>
              </w:rPr>
            </w:pPr>
          </w:p>
        </w:tc>
        <w:tc>
          <w:tcPr>
            <w:tcW w:w="5964" w:type="dxa"/>
            <w:vAlign w:val="center"/>
          </w:tcPr>
          <w:p w14:paraId="3AADAD7B">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5.根据</w:t>
            </w:r>
            <w:r>
              <w:rPr>
                <w:rFonts w:hint="eastAsia" w:ascii="宋体" w:hAnsi="宋体" w:eastAsia="宋体" w:cs="宋体"/>
                <w:bCs/>
                <w:color w:val="auto"/>
                <w:sz w:val="24"/>
                <w:szCs w:val="24"/>
                <w:highlight w:val="none"/>
              </w:rPr>
              <w:t>投标人针对本项目</w:t>
            </w:r>
            <w:r>
              <w:rPr>
                <w:rFonts w:hint="eastAsia" w:ascii="宋体" w:hAnsi="宋体" w:cs="宋体"/>
                <w:bCs/>
                <w:color w:val="auto"/>
                <w:sz w:val="24"/>
                <w:szCs w:val="24"/>
                <w:highlight w:val="none"/>
                <w:lang w:val="en-US" w:eastAsia="zh-CN"/>
              </w:rPr>
              <w:t>提供的数据资源层中</w:t>
            </w:r>
            <w:r>
              <w:rPr>
                <w:rFonts w:hint="eastAsia" w:ascii="宋体" w:hAnsi="宋体" w:eastAsia="宋体" w:cs="宋体"/>
                <w:bCs/>
                <w:color w:val="auto"/>
                <w:sz w:val="24"/>
                <w:szCs w:val="24"/>
                <w:highlight w:val="none"/>
              </w:rPr>
              <w:t>数据</w:t>
            </w:r>
            <w:r>
              <w:rPr>
                <w:rFonts w:hint="eastAsia" w:ascii="宋体" w:hAnsi="宋体" w:cs="宋体"/>
                <w:bCs/>
                <w:color w:val="auto"/>
                <w:sz w:val="24"/>
                <w:szCs w:val="24"/>
                <w:highlight w:val="none"/>
                <w:lang w:val="en-US" w:eastAsia="zh-CN"/>
              </w:rPr>
              <w:t>采集治理方案</w:t>
            </w:r>
            <w:r>
              <w:rPr>
                <w:rFonts w:hint="eastAsia" w:ascii="宋体" w:hAnsi="宋体" w:eastAsia="宋体" w:cs="宋体"/>
                <w:bCs/>
                <w:color w:val="auto"/>
                <w:sz w:val="24"/>
                <w:szCs w:val="24"/>
                <w:highlight w:val="none"/>
              </w:rPr>
              <w:t>进行评审：</w:t>
            </w:r>
            <w:r>
              <w:rPr>
                <w:rFonts w:hint="eastAsia" w:ascii="宋体" w:hAnsi="宋体" w:cs="宋体"/>
                <w:bCs/>
                <w:color w:val="auto"/>
                <w:sz w:val="24"/>
                <w:szCs w:val="24"/>
                <w:highlight w:val="none"/>
                <w:lang w:val="en-US" w:eastAsia="zh-CN"/>
              </w:rPr>
              <w:t>对方案描述具体详细，与服务需求相符的得5分；对方案描述较为具体详细，较符合本项目服务需求的得3分；对方案描述笼统，未针对本项目服务需求的得1分；未提供的得0分。</w:t>
            </w:r>
          </w:p>
        </w:tc>
        <w:tc>
          <w:tcPr>
            <w:tcW w:w="975" w:type="dxa"/>
            <w:vAlign w:val="center"/>
          </w:tcPr>
          <w:p w14:paraId="47DFDF32">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29" w:type="dxa"/>
            <w:vAlign w:val="center"/>
          </w:tcPr>
          <w:p w14:paraId="104A4F48">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73BC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vMerge w:val="continue"/>
            <w:vAlign w:val="center"/>
          </w:tcPr>
          <w:p w14:paraId="28DE3B9C">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p>
        </w:tc>
        <w:tc>
          <w:tcPr>
            <w:tcW w:w="1160" w:type="dxa"/>
            <w:vMerge w:val="continue"/>
            <w:vAlign w:val="center"/>
          </w:tcPr>
          <w:p w14:paraId="334507AF">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kern w:val="0"/>
                <w:sz w:val="24"/>
                <w:szCs w:val="24"/>
                <w:highlight w:val="none"/>
              </w:rPr>
            </w:pPr>
          </w:p>
        </w:tc>
        <w:tc>
          <w:tcPr>
            <w:tcW w:w="5964" w:type="dxa"/>
            <w:vAlign w:val="center"/>
          </w:tcPr>
          <w:p w14:paraId="12D93047">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6.根据</w:t>
            </w:r>
            <w:r>
              <w:rPr>
                <w:rFonts w:hint="eastAsia" w:ascii="宋体" w:hAnsi="宋体" w:eastAsia="宋体" w:cs="宋体"/>
                <w:bCs/>
                <w:color w:val="auto"/>
                <w:sz w:val="24"/>
                <w:szCs w:val="24"/>
                <w:highlight w:val="none"/>
              </w:rPr>
              <w:t>投标人针对本项目</w:t>
            </w:r>
            <w:r>
              <w:rPr>
                <w:rFonts w:hint="eastAsia" w:ascii="宋体" w:hAnsi="宋体" w:cs="宋体"/>
                <w:bCs/>
                <w:color w:val="auto"/>
                <w:sz w:val="24"/>
                <w:szCs w:val="24"/>
                <w:highlight w:val="none"/>
                <w:lang w:val="en-US" w:eastAsia="zh-CN"/>
              </w:rPr>
              <w:t>提供的数据资源层中</w:t>
            </w:r>
            <w:r>
              <w:rPr>
                <w:rFonts w:hint="eastAsia" w:ascii="宋体" w:hAnsi="宋体" w:eastAsia="宋体" w:cs="宋体"/>
                <w:bCs/>
                <w:color w:val="auto"/>
                <w:sz w:val="24"/>
                <w:szCs w:val="24"/>
                <w:highlight w:val="none"/>
              </w:rPr>
              <w:t>数据</w:t>
            </w:r>
            <w:r>
              <w:rPr>
                <w:rFonts w:hint="eastAsia" w:ascii="宋体" w:hAnsi="宋体" w:cs="宋体"/>
                <w:bCs/>
                <w:color w:val="auto"/>
                <w:sz w:val="24"/>
                <w:szCs w:val="24"/>
                <w:highlight w:val="none"/>
                <w:lang w:val="en-US" w:eastAsia="zh-CN"/>
              </w:rPr>
              <w:t>库建设方案</w:t>
            </w:r>
            <w:r>
              <w:rPr>
                <w:rFonts w:hint="eastAsia" w:ascii="宋体" w:hAnsi="宋体" w:eastAsia="宋体" w:cs="宋体"/>
                <w:bCs/>
                <w:color w:val="auto"/>
                <w:sz w:val="24"/>
                <w:szCs w:val="24"/>
                <w:highlight w:val="none"/>
              </w:rPr>
              <w:t>进行评审：</w:t>
            </w:r>
            <w:r>
              <w:rPr>
                <w:rFonts w:hint="eastAsia" w:ascii="宋体" w:hAnsi="宋体" w:cs="宋体"/>
                <w:bCs/>
                <w:color w:val="auto"/>
                <w:sz w:val="24"/>
                <w:szCs w:val="24"/>
                <w:highlight w:val="none"/>
                <w:lang w:val="en-US" w:eastAsia="zh-CN"/>
              </w:rPr>
              <w:t>对方案描述具体详细，与服务需求相符的得5分；对方案描述较为具体详细，较符合本项目服务需求的得3分；对方案描述笼统，未针对本项目服务需求的得1分；未提供的得0分。</w:t>
            </w:r>
          </w:p>
        </w:tc>
        <w:tc>
          <w:tcPr>
            <w:tcW w:w="975" w:type="dxa"/>
            <w:vAlign w:val="center"/>
          </w:tcPr>
          <w:p w14:paraId="4816D383">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29" w:type="dxa"/>
            <w:vAlign w:val="center"/>
          </w:tcPr>
          <w:p w14:paraId="7AD39CFC">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6B62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vMerge w:val="continue"/>
            <w:vAlign w:val="center"/>
          </w:tcPr>
          <w:p w14:paraId="020C36AD">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p>
        </w:tc>
        <w:tc>
          <w:tcPr>
            <w:tcW w:w="1160" w:type="dxa"/>
            <w:vMerge w:val="continue"/>
            <w:vAlign w:val="center"/>
          </w:tcPr>
          <w:p w14:paraId="570A73D8">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kern w:val="0"/>
                <w:sz w:val="24"/>
                <w:szCs w:val="24"/>
                <w:highlight w:val="none"/>
              </w:rPr>
            </w:pPr>
          </w:p>
        </w:tc>
        <w:tc>
          <w:tcPr>
            <w:tcW w:w="5964" w:type="dxa"/>
            <w:vAlign w:val="center"/>
          </w:tcPr>
          <w:p w14:paraId="16C0684A">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7.根据</w:t>
            </w:r>
            <w:r>
              <w:rPr>
                <w:rFonts w:hint="eastAsia" w:ascii="宋体" w:hAnsi="宋体" w:eastAsia="宋体" w:cs="宋体"/>
                <w:bCs/>
                <w:color w:val="auto"/>
                <w:sz w:val="24"/>
                <w:szCs w:val="24"/>
                <w:highlight w:val="none"/>
              </w:rPr>
              <w:t>投标人针对本项目</w:t>
            </w:r>
            <w:r>
              <w:rPr>
                <w:rFonts w:hint="eastAsia" w:ascii="宋体" w:hAnsi="宋体" w:eastAsia="宋体" w:cs="宋体"/>
                <w:bCs/>
                <w:color w:val="auto"/>
                <w:sz w:val="24"/>
                <w:szCs w:val="24"/>
                <w:highlight w:val="none"/>
                <w:lang w:val="en-US" w:eastAsia="zh-CN"/>
              </w:rPr>
              <w:t>提供的基础设施层中</w:t>
            </w:r>
            <w:r>
              <w:rPr>
                <w:rFonts w:hint="eastAsia" w:ascii="宋体" w:hAnsi="宋体" w:eastAsia="宋体"/>
                <w:color w:val="auto"/>
                <w:sz w:val="24"/>
                <w:highlight w:val="none"/>
                <w:lang w:eastAsia="zh-Hans"/>
              </w:rPr>
              <w:t>国产数据库管理软件</w:t>
            </w:r>
            <w:r>
              <w:rPr>
                <w:rFonts w:hint="eastAsia" w:ascii="宋体" w:hAnsi="宋体"/>
                <w:color w:val="auto"/>
                <w:sz w:val="24"/>
                <w:highlight w:val="none"/>
                <w:lang w:val="en-US" w:eastAsia="zh-CN"/>
              </w:rPr>
              <w:t>及</w:t>
            </w:r>
            <w:r>
              <w:rPr>
                <w:rFonts w:hint="eastAsia" w:ascii="宋体" w:hAnsi="宋体" w:eastAsia="宋体"/>
                <w:color w:val="auto"/>
                <w:sz w:val="24"/>
                <w:highlight w:val="none"/>
                <w:lang w:eastAsia="zh-Hans"/>
              </w:rPr>
              <w:t>国产操作系统</w:t>
            </w:r>
            <w:r>
              <w:rPr>
                <w:rFonts w:hint="eastAsia" w:ascii="宋体" w:hAnsi="宋体" w:eastAsia="宋体" w:cs="宋体"/>
                <w:bCs/>
                <w:color w:val="auto"/>
                <w:sz w:val="24"/>
                <w:szCs w:val="24"/>
                <w:highlight w:val="none"/>
                <w:lang w:eastAsia="zh-Hans"/>
              </w:rPr>
              <w:t>配置</w:t>
            </w:r>
            <w:r>
              <w:rPr>
                <w:rFonts w:hint="eastAsia" w:ascii="宋体" w:hAnsi="宋体" w:cs="宋体"/>
                <w:bCs/>
                <w:color w:val="auto"/>
                <w:sz w:val="24"/>
                <w:szCs w:val="24"/>
                <w:highlight w:val="none"/>
                <w:lang w:val="en-US" w:eastAsia="zh-CN"/>
              </w:rPr>
              <w:t>方案</w:t>
            </w:r>
            <w:r>
              <w:rPr>
                <w:rFonts w:hint="eastAsia" w:ascii="宋体" w:hAnsi="宋体" w:eastAsia="宋体" w:cs="宋体"/>
                <w:bCs/>
                <w:color w:val="auto"/>
                <w:sz w:val="24"/>
                <w:szCs w:val="24"/>
                <w:highlight w:val="none"/>
              </w:rPr>
              <w:t>进行评审：</w:t>
            </w:r>
            <w:r>
              <w:rPr>
                <w:rFonts w:hint="eastAsia" w:ascii="宋体" w:hAnsi="宋体" w:eastAsia="宋体" w:cs="宋体"/>
                <w:bCs/>
                <w:color w:val="auto"/>
                <w:sz w:val="24"/>
                <w:szCs w:val="24"/>
                <w:highlight w:val="none"/>
                <w:lang w:val="en-US" w:eastAsia="zh-CN"/>
              </w:rPr>
              <w:t>对方案描述具体详细，与服务需求相符的得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分；对方案描述较为具体详细，较符合本项目服务需求的得3分；对方案描述笼统，未针对本项目服务需求的得1分；未提供的得0分。</w:t>
            </w:r>
          </w:p>
        </w:tc>
        <w:tc>
          <w:tcPr>
            <w:tcW w:w="975" w:type="dxa"/>
            <w:vAlign w:val="center"/>
          </w:tcPr>
          <w:p w14:paraId="0BC4E0BB">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29" w:type="dxa"/>
            <w:vAlign w:val="center"/>
          </w:tcPr>
          <w:p w14:paraId="1853D859">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09BD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vMerge w:val="continue"/>
            <w:vAlign w:val="center"/>
          </w:tcPr>
          <w:p w14:paraId="43E39241">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p>
        </w:tc>
        <w:tc>
          <w:tcPr>
            <w:tcW w:w="1160" w:type="dxa"/>
            <w:vMerge w:val="continue"/>
            <w:vAlign w:val="center"/>
          </w:tcPr>
          <w:p w14:paraId="15F80782">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kern w:val="0"/>
                <w:sz w:val="24"/>
                <w:szCs w:val="24"/>
                <w:highlight w:val="none"/>
              </w:rPr>
            </w:pPr>
          </w:p>
        </w:tc>
        <w:tc>
          <w:tcPr>
            <w:tcW w:w="5964" w:type="dxa"/>
            <w:vAlign w:val="center"/>
          </w:tcPr>
          <w:p w14:paraId="6F8319C5">
            <w:pPr>
              <w:keepNext w:val="0"/>
              <w:keepLines w:val="0"/>
              <w:pageBreakBefore w:val="0"/>
              <w:kinsoku/>
              <w:wordWrap/>
              <w:overflowPunct/>
              <w:topLinePunct w:val="0"/>
              <w:autoSpaceDE/>
              <w:autoSpaceDN/>
              <w:bidi w:val="0"/>
              <w:adjustRightInd w:val="0"/>
              <w:spacing w:line="312" w:lineRule="auto"/>
              <w:textAlignment w:val="auto"/>
              <w:rPr>
                <w:rFonts w:hint="default"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8.根据投标人针对本项目提供的信息安全保障体系设计进行评审：</w:t>
            </w:r>
            <w:r>
              <w:rPr>
                <w:rFonts w:hint="eastAsia" w:ascii="宋体" w:hAnsi="宋体" w:cs="宋体"/>
                <w:bCs/>
                <w:color w:val="auto"/>
                <w:sz w:val="24"/>
                <w:szCs w:val="24"/>
                <w:highlight w:val="none"/>
                <w:lang w:val="en-US" w:eastAsia="zh-CN"/>
              </w:rPr>
              <w:t>对方案描述具体详细，与服务需求相符的得5分；对方案描述较为具体详细，较符合本项目服务需求的得3分；对方案描述笼统，未针对本项目服务需求的得1分；未提供的得0分。</w:t>
            </w:r>
          </w:p>
        </w:tc>
        <w:tc>
          <w:tcPr>
            <w:tcW w:w="975" w:type="dxa"/>
            <w:vAlign w:val="center"/>
          </w:tcPr>
          <w:p w14:paraId="2772EA20">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29" w:type="dxa"/>
            <w:vAlign w:val="center"/>
          </w:tcPr>
          <w:p w14:paraId="37F3AB11">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5614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15" w:type="dxa"/>
            <w:vMerge w:val="continue"/>
            <w:vAlign w:val="center"/>
          </w:tcPr>
          <w:p w14:paraId="1F3D2703">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p>
        </w:tc>
        <w:tc>
          <w:tcPr>
            <w:tcW w:w="1160" w:type="dxa"/>
            <w:vMerge w:val="restart"/>
            <w:vAlign w:val="center"/>
          </w:tcPr>
          <w:p w14:paraId="5A93015B">
            <w:pPr>
              <w:keepNext w:val="0"/>
              <w:keepLines w:val="0"/>
              <w:pageBreakBefore w:val="0"/>
              <w:widowControl/>
              <w:kinsoku/>
              <w:wordWrap/>
              <w:overflowPunct/>
              <w:topLinePunct w:val="0"/>
              <w:autoSpaceDE/>
              <w:autoSpaceDN/>
              <w:bidi w:val="0"/>
              <w:adjustRightInd w:val="0"/>
              <w:spacing w:line="312" w:lineRule="auto"/>
              <w:jc w:val="center"/>
              <w:textAlignment w:val="auto"/>
              <w:rPr>
                <w:rFonts w:hint="eastAsia" w:ascii="宋体" w:hAnsi="宋体" w:cs="宋体"/>
                <w:b/>
                <w:bCs/>
                <w:color w:val="auto"/>
                <w:kern w:val="0"/>
                <w:sz w:val="24"/>
                <w:szCs w:val="24"/>
                <w:highlight w:val="none"/>
                <w:lang w:val="zh-CN" w:eastAsia="zh-CN"/>
              </w:rPr>
            </w:pPr>
            <w:r>
              <w:rPr>
                <w:rFonts w:hint="eastAsia" w:ascii="宋体" w:hAnsi="宋体" w:cs="宋体"/>
                <w:b/>
                <w:bCs/>
                <w:color w:val="auto"/>
                <w:kern w:val="0"/>
                <w:sz w:val="24"/>
                <w:szCs w:val="24"/>
                <w:highlight w:val="none"/>
                <w:lang w:val="zh-CN" w:eastAsia="zh-CN"/>
              </w:rPr>
              <w:t>项目实施方案</w:t>
            </w:r>
          </w:p>
          <w:p w14:paraId="1A330DA3">
            <w:pPr>
              <w:keepNext w:val="0"/>
              <w:keepLines w:val="0"/>
              <w:pageBreakBefore w:val="0"/>
              <w:widowControl/>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zh-CN" w:eastAsia="zh-CN"/>
              </w:rPr>
              <w:t>（</w:t>
            </w:r>
            <w:r>
              <w:rPr>
                <w:rFonts w:hint="eastAsia" w:ascii="宋体" w:hAnsi="宋体" w:cs="宋体"/>
                <w:b/>
                <w:bCs/>
                <w:color w:val="auto"/>
                <w:kern w:val="0"/>
                <w:sz w:val="24"/>
                <w:szCs w:val="24"/>
                <w:highlight w:val="none"/>
                <w:lang w:val="en-US" w:eastAsia="zh-CN"/>
              </w:rPr>
              <w:t>15</w:t>
            </w:r>
            <w:r>
              <w:rPr>
                <w:rFonts w:hint="eastAsia" w:ascii="宋体" w:hAnsi="宋体" w:cs="宋体"/>
                <w:b/>
                <w:bCs/>
                <w:color w:val="auto"/>
                <w:kern w:val="0"/>
                <w:sz w:val="24"/>
                <w:szCs w:val="24"/>
                <w:highlight w:val="none"/>
                <w:lang w:val="zh-CN" w:eastAsia="zh-CN"/>
              </w:rPr>
              <w:t>分）</w:t>
            </w:r>
          </w:p>
        </w:tc>
        <w:tc>
          <w:tcPr>
            <w:tcW w:w="5964" w:type="dxa"/>
            <w:vAlign w:val="center"/>
          </w:tcPr>
          <w:p w14:paraId="677002B2">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lang w:val="zh-CN" w:eastAsia="zh-CN"/>
              </w:rPr>
              <w:t>投标人针对本项目</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zh-CN" w:eastAsia="zh-CN"/>
              </w:rPr>
              <w:t>的</w:t>
            </w:r>
            <w:r>
              <w:rPr>
                <w:rFonts w:hint="eastAsia" w:ascii="宋体" w:hAnsi="宋体" w:cs="宋体"/>
                <w:color w:val="auto"/>
                <w:sz w:val="24"/>
                <w:szCs w:val="24"/>
                <w:highlight w:val="none"/>
                <w:lang w:val="en-US" w:eastAsia="zh-CN"/>
              </w:rPr>
              <w:t>系统集成</w:t>
            </w:r>
            <w:r>
              <w:rPr>
                <w:rFonts w:hint="eastAsia" w:ascii="宋体" w:hAnsi="宋体" w:eastAsia="宋体" w:cs="宋体"/>
                <w:color w:val="auto"/>
                <w:sz w:val="24"/>
                <w:szCs w:val="24"/>
                <w:highlight w:val="none"/>
                <w:lang w:val="zh-CN" w:eastAsia="zh-CN"/>
              </w:rPr>
              <w:t>方案</w:t>
            </w:r>
            <w:r>
              <w:rPr>
                <w:rFonts w:hint="eastAsia" w:ascii="宋体" w:hAnsi="宋体" w:eastAsia="宋体" w:cs="宋体"/>
                <w:color w:val="auto"/>
                <w:sz w:val="24"/>
                <w:szCs w:val="24"/>
                <w:highlight w:val="none"/>
                <w:lang w:val="en-US" w:eastAsia="zh-CN"/>
              </w:rPr>
              <w:t>等进行</w:t>
            </w:r>
            <w:r>
              <w:rPr>
                <w:rFonts w:hint="eastAsia" w:ascii="宋体" w:hAnsi="宋体" w:cs="宋体"/>
                <w:color w:val="auto"/>
                <w:sz w:val="24"/>
                <w:szCs w:val="24"/>
                <w:highlight w:val="none"/>
                <w:lang w:val="en-US" w:eastAsia="zh-CN"/>
              </w:rPr>
              <w:t>评审：系统集成</w:t>
            </w:r>
            <w:r>
              <w:rPr>
                <w:rFonts w:hint="eastAsia" w:ascii="宋体" w:hAnsi="宋体" w:eastAsia="宋体" w:cs="宋体"/>
                <w:bCs/>
                <w:color w:val="auto"/>
                <w:sz w:val="24"/>
                <w:szCs w:val="24"/>
                <w:highlight w:val="none"/>
              </w:rPr>
              <w:t>方案详细完善，合理可行，针对性强、具有可操作性的得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分；方案较详细、安排较合理、有一定针对性、操作性一般的得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分；方案内容简单、缺乏针对性、操作性差的得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分；未提供的得0分。</w:t>
            </w:r>
          </w:p>
        </w:tc>
        <w:tc>
          <w:tcPr>
            <w:tcW w:w="975" w:type="dxa"/>
            <w:vAlign w:val="center"/>
          </w:tcPr>
          <w:p w14:paraId="34E9EB58">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29" w:type="dxa"/>
            <w:vAlign w:val="center"/>
          </w:tcPr>
          <w:p w14:paraId="02C67EB1">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主观分</w:t>
            </w:r>
          </w:p>
        </w:tc>
      </w:tr>
      <w:tr w14:paraId="1217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15" w:type="dxa"/>
            <w:vMerge w:val="continue"/>
            <w:vAlign w:val="center"/>
          </w:tcPr>
          <w:p w14:paraId="2434CF00">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p>
        </w:tc>
        <w:tc>
          <w:tcPr>
            <w:tcW w:w="1160" w:type="dxa"/>
            <w:vMerge w:val="continue"/>
            <w:vAlign w:val="center"/>
          </w:tcPr>
          <w:p w14:paraId="1ADDBE99">
            <w:pPr>
              <w:keepNext w:val="0"/>
              <w:keepLines w:val="0"/>
              <w:pageBreakBefore w:val="0"/>
              <w:widowControl/>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kern w:val="0"/>
                <w:sz w:val="24"/>
                <w:szCs w:val="24"/>
                <w:highlight w:val="none"/>
              </w:rPr>
            </w:pPr>
          </w:p>
        </w:tc>
        <w:tc>
          <w:tcPr>
            <w:tcW w:w="5964" w:type="dxa"/>
            <w:vAlign w:val="center"/>
          </w:tcPr>
          <w:p w14:paraId="3B5457AE">
            <w:pPr>
              <w:keepNext w:val="0"/>
              <w:keepLines w:val="0"/>
              <w:pageBreakBefore w:val="0"/>
              <w:kinsoku/>
              <w:wordWrap/>
              <w:overflowPunct/>
              <w:topLinePunct w:val="0"/>
              <w:autoSpaceDE/>
              <w:autoSpaceDN/>
              <w:bidi w:val="0"/>
              <w:adjustRightInd w:val="0"/>
              <w:spacing w:line="312" w:lineRule="auto"/>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根据投标人提供的</w:t>
            </w:r>
            <w:r>
              <w:rPr>
                <w:rFonts w:hint="eastAsia" w:ascii="宋体" w:hAnsi="宋体" w:eastAsia="宋体" w:cs="宋体"/>
                <w:color w:val="auto"/>
                <w:sz w:val="24"/>
                <w:szCs w:val="24"/>
                <w:highlight w:val="none"/>
                <w:lang w:val="en-US" w:eastAsia="zh-CN"/>
              </w:rPr>
              <w:t>项目实施进度安排、实施计划及相应内容进行评</w:t>
            </w:r>
            <w:r>
              <w:rPr>
                <w:rFonts w:hint="eastAsia" w:ascii="宋体" w:hAnsi="宋体" w:cs="宋体"/>
                <w:color w:val="auto"/>
                <w:sz w:val="24"/>
                <w:szCs w:val="24"/>
                <w:highlight w:val="none"/>
                <w:lang w:val="en-US" w:eastAsia="zh-CN"/>
              </w:rPr>
              <w:t>审：</w:t>
            </w:r>
            <w:r>
              <w:rPr>
                <w:rFonts w:hint="eastAsia" w:ascii="宋体" w:hAnsi="宋体" w:eastAsia="宋体" w:cs="宋体"/>
                <w:bCs/>
                <w:color w:val="auto"/>
                <w:sz w:val="24"/>
                <w:szCs w:val="24"/>
                <w:highlight w:val="none"/>
              </w:rPr>
              <w:t>进度计划周全、保证措施完善的得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分；进度计划较周全、保证措施较完善的得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分；进度计划不周全、保证措施笼统的得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分；未提供的得0分。</w:t>
            </w:r>
          </w:p>
        </w:tc>
        <w:tc>
          <w:tcPr>
            <w:tcW w:w="975" w:type="dxa"/>
            <w:vAlign w:val="center"/>
          </w:tcPr>
          <w:p w14:paraId="60884717">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29" w:type="dxa"/>
            <w:vAlign w:val="center"/>
          </w:tcPr>
          <w:p w14:paraId="318C10DE">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085D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vMerge w:val="continue"/>
            <w:vAlign w:val="center"/>
          </w:tcPr>
          <w:p w14:paraId="70869BA5">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p>
        </w:tc>
        <w:tc>
          <w:tcPr>
            <w:tcW w:w="1160" w:type="dxa"/>
            <w:vMerge w:val="continue"/>
            <w:vAlign w:val="center"/>
          </w:tcPr>
          <w:p w14:paraId="1D0CC380">
            <w:pPr>
              <w:keepNext w:val="0"/>
              <w:keepLines w:val="0"/>
              <w:pageBreakBefore w:val="0"/>
              <w:widowControl/>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kern w:val="0"/>
                <w:sz w:val="24"/>
                <w:szCs w:val="24"/>
                <w:highlight w:val="none"/>
              </w:rPr>
            </w:pPr>
          </w:p>
        </w:tc>
        <w:tc>
          <w:tcPr>
            <w:tcW w:w="5964" w:type="dxa"/>
            <w:vAlign w:val="center"/>
          </w:tcPr>
          <w:p w14:paraId="7DDD26EF">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lang w:val="zh-CN" w:eastAsia="zh-CN"/>
              </w:rPr>
              <w:t>投标人针对本项目</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lang w:val="zh-CN" w:eastAsia="zh-CN"/>
              </w:rPr>
              <w:t>项目安装调试、系统测试、验收等方案进行评</w:t>
            </w:r>
            <w:r>
              <w:rPr>
                <w:rFonts w:hint="eastAsia" w:ascii="宋体" w:hAnsi="宋体" w:cs="宋体"/>
                <w:color w:val="auto"/>
                <w:sz w:val="24"/>
                <w:szCs w:val="24"/>
                <w:highlight w:val="none"/>
                <w:lang w:val="en-US" w:eastAsia="zh-CN"/>
              </w:rPr>
              <w:t>审：</w:t>
            </w:r>
            <w:r>
              <w:rPr>
                <w:rFonts w:hint="eastAsia" w:ascii="宋体" w:hAnsi="宋体" w:eastAsia="宋体" w:cs="宋体"/>
                <w:color w:val="auto"/>
                <w:sz w:val="24"/>
                <w:szCs w:val="24"/>
                <w:highlight w:val="none"/>
                <w:lang w:val="zh-CN" w:eastAsia="zh-CN"/>
              </w:rPr>
              <w:t>项目安装调试、系统测试、验收</w:t>
            </w:r>
            <w:r>
              <w:rPr>
                <w:rFonts w:hint="eastAsia" w:ascii="宋体" w:hAnsi="宋体" w:eastAsia="宋体" w:cs="宋体"/>
                <w:color w:val="auto"/>
                <w:sz w:val="24"/>
                <w:szCs w:val="24"/>
                <w:highlight w:val="none"/>
                <w:lang w:val="en-US" w:eastAsia="zh-CN"/>
              </w:rPr>
              <w:t>方案</w:t>
            </w:r>
            <w:r>
              <w:rPr>
                <w:rFonts w:hint="eastAsia" w:ascii="宋体" w:hAnsi="宋体" w:eastAsia="宋体" w:cs="宋体"/>
                <w:bCs/>
                <w:color w:val="auto"/>
                <w:sz w:val="24"/>
                <w:szCs w:val="24"/>
                <w:highlight w:val="none"/>
              </w:rPr>
              <w:t>完善的得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r>
              <w:rPr>
                <w:rFonts w:hint="eastAsia" w:ascii="宋体" w:hAnsi="宋体" w:eastAsia="宋体" w:cs="宋体"/>
                <w:color w:val="auto"/>
                <w:sz w:val="24"/>
                <w:szCs w:val="24"/>
                <w:highlight w:val="none"/>
                <w:lang w:val="zh-CN" w:eastAsia="zh-CN"/>
              </w:rPr>
              <w:t>项目安装调试、系统测试、验收</w:t>
            </w:r>
            <w:r>
              <w:rPr>
                <w:rFonts w:hint="eastAsia" w:ascii="宋体" w:hAnsi="宋体" w:eastAsia="宋体" w:cs="宋体"/>
                <w:color w:val="auto"/>
                <w:sz w:val="24"/>
                <w:szCs w:val="24"/>
                <w:highlight w:val="none"/>
                <w:lang w:val="en-US" w:eastAsia="zh-CN"/>
              </w:rPr>
              <w:t>方案</w:t>
            </w:r>
            <w:r>
              <w:rPr>
                <w:rFonts w:hint="eastAsia" w:ascii="宋体" w:hAnsi="宋体" w:eastAsia="宋体" w:cs="宋体"/>
                <w:bCs/>
                <w:color w:val="auto"/>
                <w:sz w:val="24"/>
                <w:szCs w:val="24"/>
                <w:highlight w:val="none"/>
              </w:rPr>
              <w:t>较完善的得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color w:val="auto"/>
                <w:sz w:val="24"/>
                <w:szCs w:val="24"/>
                <w:highlight w:val="none"/>
                <w:lang w:val="zh-CN" w:eastAsia="zh-CN"/>
              </w:rPr>
              <w:t>项目安装调试、系统测试、验收</w:t>
            </w:r>
            <w:r>
              <w:rPr>
                <w:rFonts w:hint="eastAsia" w:ascii="宋体" w:hAnsi="宋体" w:eastAsia="宋体" w:cs="宋体"/>
                <w:color w:val="auto"/>
                <w:sz w:val="24"/>
                <w:szCs w:val="24"/>
                <w:highlight w:val="none"/>
                <w:lang w:val="en-US" w:eastAsia="zh-CN"/>
              </w:rPr>
              <w:t>方案</w:t>
            </w:r>
            <w:r>
              <w:rPr>
                <w:rFonts w:hint="eastAsia" w:ascii="宋体" w:hAnsi="宋体" w:eastAsia="宋体" w:cs="宋体"/>
                <w:bCs/>
                <w:color w:val="auto"/>
                <w:sz w:val="24"/>
                <w:szCs w:val="24"/>
                <w:highlight w:val="none"/>
              </w:rPr>
              <w:t>笼统的得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分；未提供的得0分。</w:t>
            </w:r>
          </w:p>
        </w:tc>
        <w:tc>
          <w:tcPr>
            <w:tcW w:w="975" w:type="dxa"/>
            <w:vAlign w:val="center"/>
          </w:tcPr>
          <w:p w14:paraId="2B30170A">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29" w:type="dxa"/>
            <w:vAlign w:val="center"/>
          </w:tcPr>
          <w:p w14:paraId="0B2FE927">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635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15" w:type="dxa"/>
            <w:vMerge w:val="continue"/>
            <w:vAlign w:val="center"/>
          </w:tcPr>
          <w:p w14:paraId="2C85D1F2">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p>
        </w:tc>
        <w:tc>
          <w:tcPr>
            <w:tcW w:w="1160" w:type="dxa"/>
            <w:vMerge w:val="restart"/>
            <w:vAlign w:val="center"/>
          </w:tcPr>
          <w:p w14:paraId="76F15A5B">
            <w:pPr>
              <w:keepNext w:val="0"/>
              <w:keepLines w:val="0"/>
              <w:pageBreakBefore w:val="0"/>
              <w:widowControl/>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zh-CN" w:eastAsia="zh-CN"/>
              </w:rPr>
              <w:t>项目保障及售后服务</w:t>
            </w:r>
          </w:p>
          <w:p w14:paraId="051F400C">
            <w:pPr>
              <w:keepNext w:val="0"/>
              <w:keepLines w:val="0"/>
              <w:pageBreakBefore w:val="0"/>
              <w:widowControl/>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0</w:t>
            </w:r>
            <w:r>
              <w:rPr>
                <w:rFonts w:hint="eastAsia" w:ascii="宋体" w:hAnsi="宋体" w:eastAsia="宋体" w:cs="宋体"/>
                <w:b/>
                <w:bCs/>
                <w:color w:val="auto"/>
                <w:kern w:val="0"/>
                <w:sz w:val="24"/>
                <w:szCs w:val="24"/>
                <w:highlight w:val="none"/>
                <w:lang w:val="zh-CN" w:eastAsia="zh-CN"/>
              </w:rPr>
              <w:t>分）</w:t>
            </w:r>
          </w:p>
        </w:tc>
        <w:tc>
          <w:tcPr>
            <w:tcW w:w="5964" w:type="dxa"/>
            <w:vAlign w:val="center"/>
          </w:tcPr>
          <w:p w14:paraId="66DB88B6">
            <w:pPr>
              <w:keepNext w:val="0"/>
              <w:keepLines w:val="0"/>
              <w:pageBreakBefore w:val="0"/>
              <w:kinsoku/>
              <w:wordWrap/>
              <w:overflowPunct/>
              <w:topLinePunct w:val="0"/>
              <w:autoSpaceDE/>
              <w:autoSpaceDN/>
              <w:bidi w:val="0"/>
              <w:adjustRightInd w:val="0"/>
              <w:spacing w:line="312"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根据投标人针对本项目提供的培训方案</w:t>
            </w:r>
            <w:r>
              <w:rPr>
                <w:rFonts w:hint="eastAsia" w:ascii="宋体" w:hAnsi="宋体" w:eastAsia="宋体" w:cs="宋体"/>
                <w:color w:val="auto"/>
                <w:sz w:val="24"/>
                <w:szCs w:val="24"/>
                <w:highlight w:val="none"/>
                <w:lang w:val="zh-CN" w:eastAsia="zh-CN"/>
              </w:rPr>
              <w:t>进行评</w:t>
            </w:r>
            <w:r>
              <w:rPr>
                <w:rFonts w:hint="eastAsia" w:ascii="宋体" w:hAnsi="宋体" w:cs="宋体"/>
                <w:color w:val="auto"/>
                <w:sz w:val="24"/>
                <w:szCs w:val="24"/>
                <w:highlight w:val="none"/>
                <w:lang w:val="en-US" w:eastAsia="zh-CN"/>
              </w:rPr>
              <w:t>审</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培训</w:t>
            </w:r>
            <w:r>
              <w:rPr>
                <w:rFonts w:hint="eastAsia" w:ascii="宋体" w:hAnsi="宋体" w:cs="宋体"/>
                <w:color w:val="auto"/>
                <w:sz w:val="24"/>
                <w:szCs w:val="24"/>
                <w:highlight w:val="none"/>
                <w:lang w:val="en-US" w:eastAsia="zh-CN"/>
              </w:rPr>
              <w:t>安排</w:t>
            </w:r>
            <w:r>
              <w:rPr>
                <w:rFonts w:hint="eastAsia" w:ascii="宋体" w:hAnsi="宋体" w:eastAsia="宋体" w:cs="宋体"/>
                <w:color w:val="auto"/>
                <w:sz w:val="24"/>
                <w:szCs w:val="24"/>
                <w:highlight w:val="none"/>
                <w:lang w:val="zh-CN" w:eastAsia="zh-CN"/>
              </w:rPr>
              <w:t>具体且可实施、培训内容全面、符合项目服务需求的得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分；培训安排较具体</w:t>
            </w:r>
            <w:r>
              <w:rPr>
                <w:rFonts w:hint="eastAsia" w:ascii="宋体" w:hAnsi="宋体" w:eastAsia="宋体" w:cs="宋体"/>
                <w:color w:val="auto"/>
                <w:sz w:val="24"/>
                <w:szCs w:val="24"/>
                <w:highlight w:val="none"/>
                <w:lang w:val="en-US" w:eastAsia="zh-CN"/>
              </w:rPr>
              <w:t>但</w:t>
            </w:r>
            <w:r>
              <w:rPr>
                <w:rFonts w:hint="eastAsia" w:ascii="宋体" w:hAnsi="宋体" w:eastAsia="宋体" w:cs="宋体"/>
                <w:color w:val="auto"/>
                <w:sz w:val="24"/>
                <w:szCs w:val="24"/>
                <w:highlight w:val="none"/>
                <w:lang w:val="zh-CN" w:eastAsia="zh-CN"/>
              </w:rPr>
              <w:t>可实施性、培训内容</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lang w:val="zh-CN" w:eastAsia="zh-CN"/>
              </w:rPr>
              <w:t>全面、较符合项目服务需求的得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分；培训安排笼统、培训内容单一的得</w:t>
            </w:r>
            <w:r>
              <w:rPr>
                <w:rFonts w:hint="eastAsia" w:ascii="宋体" w:hAnsi="宋体" w:cs="宋体"/>
                <w:color w:val="auto"/>
                <w:sz w:val="24"/>
                <w:szCs w:val="24"/>
                <w:highlight w:val="none"/>
                <w:lang w:val="en-US" w:eastAsia="zh-CN"/>
              </w:rPr>
              <w:t>1分；</w:t>
            </w:r>
            <w:r>
              <w:rPr>
                <w:rFonts w:hint="eastAsia" w:ascii="宋体" w:hAnsi="宋体" w:eastAsia="宋体" w:cs="宋体"/>
                <w:bCs/>
                <w:color w:val="auto"/>
                <w:sz w:val="24"/>
                <w:szCs w:val="24"/>
                <w:highlight w:val="none"/>
              </w:rPr>
              <w:t>未提供的得0分。</w:t>
            </w:r>
          </w:p>
        </w:tc>
        <w:tc>
          <w:tcPr>
            <w:tcW w:w="975" w:type="dxa"/>
            <w:vAlign w:val="center"/>
          </w:tcPr>
          <w:p w14:paraId="4D293AE8">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29" w:type="dxa"/>
            <w:vAlign w:val="center"/>
          </w:tcPr>
          <w:p w14:paraId="4B26785F">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主观分</w:t>
            </w:r>
          </w:p>
        </w:tc>
      </w:tr>
      <w:tr w14:paraId="0EA4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15" w:type="dxa"/>
            <w:vMerge w:val="continue"/>
            <w:vAlign w:val="center"/>
          </w:tcPr>
          <w:p w14:paraId="6D19DC87">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p>
        </w:tc>
        <w:tc>
          <w:tcPr>
            <w:tcW w:w="1160" w:type="dxa"/>
            <w:vMerge w:val="continue"/>
            <w:vAlign w:val="center"/>
          </w:tcPr>
          <w:p w14:paraId="4B7DD081">
            <w:pPr>
              <w:keepNext w:val="0"/>
              <w:keepLines w:val="0"/>
              <w:pageBreakBefore w:val="0"/>
              <w:widowControl/>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kern w:val="0"/>
                <w:sz w:val="24"/>
                <w:szCs w:val="24"/>
                <w:highlight w:val="none"/>
                <w:lang w:val="zh-CN" w:eastAsia="zh-CN"/>
              </w:rPr>
            </w:pPr>
          </w:p>
        </w:tc>
        <w:tc>
          <w:tcPr>
            <w:tcW w:w="5964" w:type="dxa"/>
            <w:vAlign w:val="center"/>
          </w:tcPr>
          <w:p w14:paraId="1D762614">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根据投标人针对本项目提供的售后服务方案进行评</w:t>
            </w:r>
            <w:r>
              <w:rPr>
                <w:rFonts w:hint="eastAsia" w:ascii="宋体" w:hAnsi="宋体" w:cs="宋体"/>
                <w:color w:val="auto"/>
                <w:sz w:val="24"/>
                <w:szCs w:val="24"/>
                <w:highlight w:val="none"/>
                <w:lang w:val="en-US" w:eastAsia="zh-CN"/>
              </w:rPr>
              <w:t>审：服务能力强、提供完善的技术支持的得5分；服务能力较强、提供的技术支持有所欠缺的得3分；服务能力差、提供的技术支持无法满足项目需求的得1分；未提供的得0分</w:t>
            </w:r>
          </w:p>
        </w:tc>
        <w:tc>
          <w:tcPr>
            <w:tcW w:w="975" w:type="dxa"/>
            <w:vAlign w:val="center"/>
          </w:tcPr>
          <w:p w14:paraId="0EFEF3DD">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29" w:type="dxa"/>
            <w:vAlign w:val="center"/>
          </w:tcPr>
          <w:p w14:paraId="1B73521F">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主观分</w:t>
            </w:r>
          </w:p>
        </w:tc>
      </w:tr>
      <w:tr w14:paraId="5FFF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15" w:type="dxa"/>
            <w:vMerge w:val="continue"/>
            <w:vAlign w:val="center"/>
          </w:tcPr>
          <w:p w14:paraId="7ED479E8">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宋体" w:hAnsi="宋体" w:eastAsia="宋体" w:cs="宋体"/>
                <w:b/>
                <w:bCs/>
                <w:color w:val="auto"/>
                <w:sz w:val="24"/>
                <w:szCs w:val="24"/>
                <w:highlight w:val="none"/>
              </w:rPr>
            </w:pPr>
          </w:p>
        </w:tc>
        <w:tc>
          <w:tcPr>
            <w:tcW w:w="1160" w:type="dxa"/>
            <w:vAlign w:val="center"/>
          </w:tcPr>
          <w:p w14:paraId="3D7892E1">
            <w:pPr>
              <w:keepNext w:val="0"/>
              <w:keepLines w:val="0"/>
              <w:pageBreakBefore w:val="0"/>
              <w:widowControl/>
              <w:kinsoku/>
              <w:wordWrap/>
              <w:overflowPunct/>
              <w:topLinePunct w:val="0"/>
              <w:autoSpaceDE/>
              <w:autoSpaceDN/>
              <w:bidi w:val="0"/>
              <w:adjustRightInd w:val="0"/>
              <w:spacing w:line="312"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系统</w:t>
            </w:r>
            <w:r>
              <w:rPr>
                <w:rFonts w:hint="eastAsia" w:ascii="宋体" w:hAnsi="宋体" w:eastAsia="宋体" w:cs="宋体"/>
                <w:b/>
                <w:bCs/>
                <w:color w:val="auto"/>
                <w:kern w:val="0"/>
                <w:sz w:val="24"/>
                <w:szCs w:val="24"/>
                <w:highlight w:val="none"/>
              </w:rPr>
              <w:t>演示</w:t>
            </w:r>
          </w:p>
          <w:p w14:paraId="102FE7AF">
            <w:pPr>
              <w:keepNext w:val="0"/>
              <w:keepLines w:val="0"/>
              <w:pageBreakBefore w:val="0"/>
              <w:widowControl/>
              <w:kinsoku/>
              <w:wordWrap/>
              <w:overflowPunct/>
              <w:topLinePunct w:val="0"/>
              <w:autoSpaceDE/>
              <w:autoSpaceDN/>
              <w:bidi w:val="0"/>
              <w:adjustRightInd w:val="0"/>
              <w:spacing w:line="312"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12</w:t>
            </w:r>
            <w:r>
              <w:rPr>
                <w:rFonts w:hint="eastAsia" w:ascii="宋体" w:hAnsi="宋体" w:eastAsia="宋体" w:cs="宋体"/>
                <w:b/>
                <w:bCs/>
                <w:color w:val="auto"/>
                <w:kern w:val="0"/>
                <w:sz w:val="24"/>
                <w:szCs w:val="24"/>
                <w:highlight w:val="none"/>
              </w:rPr>
              <w:t>分）</w:t>
            </w:r>
          </w:p>
        </w:tc>
        <w:tc>
          <w:tcPr>
            <w:tcW w:w="5964" w:type="dxa"/>
            <w:vAlign w:val="center"/>
          </w:tcPr>
          <w:p w14:paraId="2719FA96">
            <w:pPr>
              <w:keepNext w:val="0"/>
              <w:keepLines w:val="0"/>
              <w:pageBreakBefore w:val="0"/>
              <w:numPr>
                <w:ilvl w:val="0"/>
                <w:numId w:val="0"/>
              </w:numPr>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针对</w:t>
            </w:r>
            <w:bookmarkStart w:id="436" w:name="_Toc168067603"/>
            <w:r>
              <w:rPr>
                <w:rFonts w:hint="eastAsia" w:ascii="宋体" w:hAnsi="宋体" w:eastAsia="宋体" w:cs="宋体"/>
                <w:color w:val="auto"/>
                <w:sz w:val="24"/>
                <w:szCs w:val="24"/>
                <w:highlight w:val="none"/>
                <w:lang w:val="en-US" w:eastAsia="zh-CN"/>
              </w:rPr>
              <w:t>鄞州督考一体化综合集成和展示</w:t>
            </w:r>
            <w:bookmarkEnd w:id="436"/>
            <w:r>
              <w:rPr>
                <w:rFonts w:hint="eastAsia" w:ascii="宋体" w:hAnsi="宋体" w:eastAsia="宋体" w:cs="宋体"/>
                <w:color w:val="auto"/>
                <w:sz w:val="24"/>
                <w:szCs w:val="24"/>
                <w:highlight w:val="none"/>
                <w:lang w:val="en-US" w:eastAsia="zh-CN"/>
              </w:rPr>
              <w:t>页面演示</w:t>
            </w:r>
            <w:r>
              <w:rPr>
                <w:rFonts w:hint="eastAsia" w:ascii="宋体" w:hAnsi="宋体" w:cs="宋体"/>
                <w:color w:val="auto"/>
                <w:sz w:val="24"/>
                <w:szCs w:val="24"/>
                <w:highlight w:val="none"/>
                <w:lang w:val="en-US" w:eastAsia="zh-CN"/>
              </w:rPr>
              <w:t>：</w:t>
            </w:r>
          </w:p>
          <w:p w14:paraId="0FC696E5">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（1）鄞州督考一体化综合集成首页展示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功能点1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：演示系统入口、督查任务、批（指）示件和综合考核</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办理中/已办结事项等功能，并根据督考中心和责任单位角色不同，对应展示不同的使用界面。</w:t>
            </w:r>
          </w:p>
          <w:p w14:paraId="746A5A8F">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（2）鄞州督考一体化综合展示首页演示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功能点</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：演示督查任务、督考综合评价指数、七创争先指数、综合评价四块功能进行演示。</w:t>
            </w:r>
          </w:p>
          <w:p w14:paraId="4F62F9F8">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针对鄞州督考一体化业务应用演示进行评分</w:t>
            </w:r>
            <w:r>
              <w:rPr>
                <w:rFonts w:hint="eastAsia" w:ascii="宋体" w:hAnsi="宋体" w:cs="宋体"/>
                <w:color w:val="auto"/>
                <w:sz w:val="24"/>
                <w:szCs w:val="24"/>
                <w:highlight w:val="none"/>
                <w:lang w:val="en-US" w:eastAsia="zh-CN"/>
              </w:rPr>
              <w:t>：</w:t>
            </w:r>
          </w:p>
          <w:p w14:paraId="342C5ABA">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（1）党政督查</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功能点</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：演示登记创建、交办签收、承办反馈、办件评价等功能。</w:t>
            </w:r>
          </w:p>
          <w:p w14:paraId="75F231C4">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（2）督考一体化全生命周期管理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功能点</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：重大事项清单管理、督促落实、督办问题库、评估问效等功能。</w:t>
            </w:r>
          </w:p>
          <w:p w14:paraId="46D79FE2">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（3）综合考核（功能点</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）：演示计划部署、过程管理、年终考核、绩效奖金等功能。</w:t>
            </w:r>
          </w:p>
          <w:p w14:paraId="47FE81CE">
            <w:pPr>
              <w:keepNext w:val="0"/>
              <w:keepLines w:val="0"/>
              <w:pageBreakBefore w:val="0"/>
              <w:numPr>
                <w:ilvl w:val="0"/>
                <w:numId w:val="0"/>
              </w:numPr>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（4）民生实事（功能点</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）：演示事项录入、事项反馈、一键催办、事项预警等功能。</w:t>
            </w:r>
          </w:p>
          <w:p w14:paraId="268C59DC">
            <w:pPr>
              <w:keepNext w:val="0"/>
              <w:keepLines w:val="0"/>
              <w:pageBreakBefore w:val="0"/>
              <w:numPr>
                <w:ilvl w:val="0"/>
                <w:numId w:val="0"/>
              </w:numPr>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lang w:val="en-US" w:eastAsia="zh-CN"/>
              </w:rPr>
            </w:pPr>
          </w:p>
          <w:p w14:paraId="5EB4E697">
            <w:pPr>
              <w:keepNext w:val="0"/>
              <w:keepLines w:val="0"/>
              <w:pageBreakBefore w:val="0"/>
              <w:numPr>
                <w:ilvl w:val="0"/>
                <w:numId w:val="0"/>
              </w:numPr>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根据投标人针对以上功能演示点，</w:t>
            </w:r>
            <w:r>
              <w:rPr>
                <w:rFonts w:hint="eastAsia" w:ascii="宋体" w:hAnsi="宋体" w:eastAsia="宋体" w:cs="宋体"/>
                <w:color w:val="auto"/>
                <w:sz w:val="24"/>
                <w:szCs w:val="24"/>
                <w:highlight w:val="none"/>
                <w:lang w:val="en-US" w:eastAsia="zh-CN"/>
              </w:rPr>
              <w:t>每提供一项演示内容</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lang w:val="en-US" w:eastAsia="zh-CN"/>
              </w:rPr>
              <w:t>演示内容功能完整、清晰的得2分；每提供一项提供演示但演示内容不够完整、不够清晰的得1分</w:t>
            </w:r>
            <w:r>
              <w:rPr>
                <w:rFonts w:hint="eastAsia" w:ascii="宋体" w:hAnsi="宋体" w:cs="宋体"/>
                <w:color w:val="auto"/>
                <w:sz w:val="24"/>
                <w:szCs w:val="24"/>
                <w:highlight w:val="none"/>
                <w:lang w:val="en-US" w:eastAsia="zh-CN"/>
              </w:rPr>
              <w:t>；未提供演示内容的不得分。</w:t>
            </w:r>
          </w:p>
          <w:p w14:paraId="36477F8E">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lang w:val="en-US" w:eastAsia="zh-CN"/>
              </w:rPr>
            </w:pPr>
          </w:p>
          <w:p w14:paraId="290D1A65">
            <w:pPr>
              <w:keepNext w:val="0"/>
              <w:keepLines w:val="0"/>
              <w:pageBreakBefore w:val="0"/>
              <w:numPr>
                <w:ilvl w:val="0"/>
                <w:numId w:val="0"/>
              </w:numPr>
              <w:kinsoku/>
              <w:wordWrap/>
              <w:overflowPunct/>
              <w:topLinePunct w:val="0"/>
              <w:autoSpaceDE/>
              <w:autoSpaceDN/>
              <w:bidi w:val="0"/>
              <w:adjustRightInd w:val="0"/>
              <w:spacing w:line="312"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注：（1）演示顺序及时间：以政采云成功解密顺序作为</w:t>
            </w:r>
            <w:r>
              <w:rPr>
                <w:rFonts w:hint="eastAsia" w:ascii="宋体" w:hAnsi="宋体" w:cs="宋体"/>
                <w:b/>
                <w:bCs/>
                <w:color w:val="auto"/>
                <w:sz w:val="24"/>
                <w:szCs w:val="24"/>
                <w:highlight w:val="none"/>
                <w:lang w:val="en-US" w:eastAsia="zh-CN"/>
              </w:rPr>
              <w:t>演示</w:t>
            </w:r>
            <w:r>
              <w:rPr>
                <w:rFonts w:hint="eastAsia" w:ascii="宋体" w:hAnsi="宋体" w:eastAsia="宋体" w:cs="宋体"/>
                <w:b/>
                <w:bCs/>
                <w:color w:val="auto"/>
                <w:sz w:val="24"/>
                <w:szCs w:val="24"/>
                <w:highlight w:val="none"/>
                <w:lang w:val="en-US" w:eastAsia="zh-CN"/>
              </w:rPr>
              <w:t>顺序，投标人应在1</w:t>
            </w:r>
            <w:r>
              <w:rPr>
                <w:rFonts w:hint="eastAsia" w:ascii="宋体"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分钟内完成演示。未进行演示的不得分。（2）演示可选择以下其中一种方式：</w:t>
            </w:r>
          </w:p>
          <w:p w14:paraId="61FD09BB">
            <w:pPr>
              <w:keepNext w:val="0"/>
              <w:keepLines w:val="0"/>
              <w:pageBreakBefore w:val="0"/>
              <w:numPr>
                <w:ilvl w:val="0"/>
                <w:numId w:val="0"/>
              </w:numPr>
              <w:kinsoku/>
              <w:wordWrap/>
              <w:overflowPunct/>
              <w:topLinePunct w:val="0"/>
              <w:autoSpaceDE/>
              <w:autoSpaceDN/>
              <w:bidi w:val="0"/>
              <w:adjustRightInd w:val="0"/>
              <w:spacing w:line="312"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方式一：录制演示内容。录制的演示内容需以U盘形式单独密封包装，送达时间及地址同备份投标文件送达时间和地点。</w:t>
            </w:r>
          </w:p>
          <w:p w14:paraId="061A8727">
            <w:pPr>
              <w:keepNext w:val="0"/>
              <w:keepLines w:val="0"/>
              <w:pageBreakBefore w:val="0"/>
              <w:kinsoku/>
              <w:wordWrap/>
              <w:overflowPunct/>
              <w:topLinePunct w:val="0"/>
              <w:autoSpaceDE/>
              <w:autoSpaceDN/>
              <w:bidi w:val="0"/>
              <w:adjustRightInd w:val="0"/>
              <w:spacing w:line="312"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方式二：评标现场讲解演示。现场讲解地点为中基招标会议中心（宁波市鄞州区天童南路666号中基大厦1楼），讲解演示所用电脑等设备由投标人自备。现场讲解演示人员不超过2人，进场时提供讲解人员名单（加盖公章或授权代表签名）及身份证明，否则不得讲解演示。</w:t>
            </w:r>
          </w:p>
        </w:tc>
        <w:tc>
          <w:tcPr>
            <w:tcW w:w="975" w:type="dxa"/>
            <w:vAlign w:val="center"/>
          </w:tcPr>
          <w:p w14:paraId="2861C35B">
            <w:pPr>
              <w:keepNext w:val="0"/>
              <w:keepLines w:val="0"/>
              <w:pageBreakBefore w:val="0"/>
              <w:widowControl/>
              <w:kinsoku/>
              <w:wordWrap/>
              <w:overflowPunct/>
              <w:topLinePunct w:val="0"/>
              <w:autoSpaceDE/>
              <w:autoSpaceDN/>
              <w:bidi w:val="0"/>
              <w:adjustRightInd w:val="0"/>
              <w:spacing w:line="312" w:lineRule="auto"/>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229" w:type="dxa"/>
            <w:vAlign w:val="center"/>
          </w:tcPr>
          <w:p w14:paraId="2086DFAD">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bl>
    <w:p w14:paraId="4D509B84">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备注：</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投标人编制投标文件（商务技术文件部分）时，建议按此目录（序号和内容）提供评标标准相应的商务技术资料。</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 xml:space="preserve">评委在上表设定的分值范围内打分(四舍五入保留两位小数)，平均分值计算四舍五入保留两位小数点。 </w:t>
      </w:r>
      <w:r>
        <w:rPr>
          <w:rFonts w:hint="eastAsia" w:ascii="宋体" w:hAnsi="宋体" w:eastAsia="宋体" w:cs="宋体"/>
          <w:color w:val="auto"/>
          <w:sz w:val="24"/>
          <w:szCs w:val="24"/>
          <w:highlight w:val="none"/>
        </w:rPr>
        <w:t> </w:t>
      </w:r>
    </w:p>
    <w:p w14:paraId="399BAFDF">
      <w:pPr>
        <w:rPr>
          <w:rFonts w:hint="eastAsia" w:ascii="宋体" w:hAnsi="宋体" w:eastAsia="宋体" w:cs="宋体"/>
          <w:b/>
          <w:color w:val="auto"/>
          <w:sz w:val="24"/>
          <w:szCs w:val="24"/>
          <w:highlight w:val="none"/>
          <w:lang w:val="en-US" w:eastAsia="zh-CN"/>
        </w:rPr>
      </w:pPr>
      <w:bookmarkStart w:id="437" w:name="_Toc22860"/>
      <w:r>
        <w:rPr>
          <w:rFonts w:hint="eastAsia" w:ascii="宋体" w:hAnsi="宋体" w:eastAsia="宋体" w:cs="宋体"/>
          <w:b/>
          <w:color w:val="auto"/>
          <w:sz w:val="24"/>
          <w:szCs w:val="24"/>
          <w:highlight w:val="none"/>
          <w:lang w:val="en-US" w:eastAsia="zh-CN"/>
        </w:rPr>
        <w:br w:type="page"/>
      </w:r>
    </w:p>
    <w:p w14:paraId="14A0A506">
      <w:pPr>
        <w:spacing w:line="360" w:lineRule="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一、评标方法</w:t>
      </w:r>
      <w:bookmarkEnd w:id="437"/>
    </w:p>
    <w:p w14:paraId="2EAC03DB">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综合评分法，是指投标文件满足招标文件全部实质性要求，且按照评审因素的量化指标评审得分最高的投标人为中标人的评标方法。</w:t>
      </w:r>
    </w:p>
    <w:p w14:paraId="08279112">
      <w:pPr>
        <w:spacing w:line="360" w:lineRule="auto"/>
        <w:outlineLvl w:val="1"/>
        <w:rPr>
          <w:rFonts w:hint="eastAsia" w:ascii="宋体" w:hAnsi="宋体" w:eastAsia="宋体" w:cs="宋体"/>
          <w:b/>
          <w:color w:val="auto"/>
          <w:sz w:val="24"/>
          <w:szCs w:val="24"/>
          <w:highlight w:val="none"/>
          <w:lang w:val="en-US" w:eastAsia="zh-CN"/>
        </w:rPr>
      </w:pPr>
      <w:bookmarkStart w:id="438" w:name="_Toc29389"/>
      <w:r>
        <w:rPr>
          <w:rFonts w:hint="eastAsia" w:ascii="宋体" w:hAnsi="宋体" w:eastAsia="宋体" w:cs="宋体"/>
          <w:b/>
          <w:color w:val="auto"/>
          <w:sz w:val="24"/>
          <w:szCs w:val="24"/>
          <w:highlight w:val="none"/>
          <w:lang w:val="en-US" w:eastAsia="zh-CN"/>
        </w:rPr>
        <w:t>二、评标标准</w:t>
      </w:r>
      <w:bookmarkEnd w:id="438"/>
    </w:p>
    <w:p w14:paraId="209D232D">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评标标准：</w:t>
      </w:r>
      <w:r>
        <w:rPr>
          <w:rFonts w:hint="eastAsia" w:ascii="宋体" w:hAnsi="宋体" w:eastAsia="宋体" w:cs="宋体"/>
          <w:color w:val="auto"/>
          <w:kern w:val="0"/>
          <w:sz w:val="24"/>
          <w:szCs w:val="24"/>
          <w:highlight w:val="none"/>
        </w:rPr>
        <w:t>见评标办法前附表。</w:t>
      </w:r>
    </w:p>
    <w:p w14:paraId="318F995A">
      <w:pPr>
        <w:spacing w:line="360" w:lineRule="auto"/>
        <w:outlineLvl w:val="1"/>
        <w:rPr>
          <w:rFonts w:hint="eastAsia" w:ascii="宋体" w:hAnsi="宋体" w:eastAsia="宋体" w:cs="宋体"/>
          <w:b/>
          <w:color w:val="auto"/>
          <w:sz w:val="24"/>
          <w:szCs w:val="24"/>
          <w:highlight w:val="none"/>
          <w:lang w:val="en-US" w:eastAsia="zh-CN"/>
        </w:rPr>
      </w:pPr>
      <w:bookmarkStart w:id="439" w:name="_Toc1306"/>
      <w:r>
        <w:rPr>
          <w:rFonts w:hint="eastAsia" w:ascii="宋体" w:hAnsi="宋体" w:eastAsia="宋体" w:cs="宋体"/>
          <w:b/>
          <w:color w:val="auto"/>
          <w:sz w:val="24"/>
          <w:szCs w:val="24"/>
          <w:highlight w:val="none"/>
          <w:lang w:val="en-US" w:eastAsia="zh-CN"/>
        </w:rPr>
        <w:t>三、评标程序</w:t>
      </w:r>
      <w:bookmarkEnd w:id="439"/>
    </w:p>
    <w:p w14:paraId="6D328547">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3388EA63">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3.2 比较与评价。</w:t>
      </w:r>
      <w:r>
        <w:rPr>
          <w:rFonts w:hint="eastAsia" w:ascii="宋体" w:hAnsi="宋体" w:eastAsia="宋体" w:cs="宋体"/>
          <w:color w:val="auto"/>
          <w:kern w:val="0"/>
          <w:sz w:val="24"/>
          <w:szCs w:val="24"/>
          <w:highlight w:val="none"/>
        </w:rPr>
        <w:t>评标委员会应当按照招标文件中规定的评标方法和标准，对符合性审查合格的投标文件进行商务和技术评估，综合比较与评价。</w:t>
      </w:r>
    </w:p>
    <w:p w14:paraId="57A83E31">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3.3汇总商务技术得分。</w:t>
      </w:r>
      <w:r>
        <w:rPr>
          <w:rFonts w:hint="eastAsia" w:ascii="宋体" w:hAnsi="宋体" w:eastAsia="宋体" w:cs="宋体"/>
          <w:color w:val="auto"/>
          <w:kern w:val="0"/>
          <w:sz w:val="24"/>
          <w:szCs w:val="24"/>
          <w:highlight w:val="none"/>
        </w:rPr>
        <w:t>评标委员会各成员应当独立对每个投标人的商务和技术文件进行评价，并汇总商务技术得分情况。</w:t>
      </w:r>
    </w:p>
    <w:p w14:paraId="46DB17CF">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3.4报价评审。</w:t>
      </w:r>
    </w:p>
    <w:p w14:paraId="08557B81">
      <w:pPr>
        <w:pStyle w:val="142"/>
        <w:spacing w:before="0"/>
        <w:ind w:firstLine="508" w:firstLineChars="2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3.4.1投标文件报价出现前后不一致的，按照下列规定修正：</w:t>
      </w:r>
    </w:p>
    <w:p w14:paraId="402E2D50">
      <w:pPr>
        <w:pStyle w:val="142"/>
        <w:spacing w:before="0"/>
        <w:ind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3.4.1.1投标文件中开标一览表内容与投标文件中相应内容不一致的，以开标一览表为准</w:t>
      </w:r>
      <w:r>
        <w:rPr>
          <w:rFonts w:hint="eastAsia" w:ascii="宋体" w:hAnsi="宋体" w:eastAsia="宋体" w:cs="宋体"/>
          <w:color w:val="auto"/>
          <w:kern w:val="0"/>
          <w:sz w:val="24"/>
          <w:szCs w:val="24"/>
          <w:highlight w:val="none"/>
          <w:lang w:eastAsia="zh-CN"/>
        </w:rPr>
        <w:t>；</w:t>
      </w:r>
    </w:p>
    <w:p w14:paraId="023DEFFB">
      <w:pPr>
        <w:pStyle w:val="142"/>
        <w:spacing w:before="0"/>
        <w:ind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3.4.1.2大写金额和小写金额不一致的，以大写金额为准</w:t>
      </w:r>
      <w:r>
        <w:rPr>
          <w:rFonts w:hint="eastAsia" w:ascii="宋体" w:hAnsi="宋体" w:eastAsia="宋体" w:cs="宋体"/>
          <w:color w:val="auto"/>
          <w:kern w:val="0"/>
          <w:sz w:val="24"/>
          <w:szCs w:val="24"/>
          <w:highlight w:val="none"/>
          <w:lang w:eastAsia="zh-CN"/>
        </w:rPr>
        <w:t>；</w:t>
      </w:r>
    </w:p>
    <w:p w14:paraId="576DE90E">
      <w:pPr>
        <w:pStyle w:val="142"/>
        <w:spacing w:before="0"/>
        <w:ind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3.4.1.3单价金额小数点或者百分比有明显错位的，以开标一览表的总价为准，并修改单价</w:t>
      </w:r>
      <w:r>
        <w:rPr>
          <w:rFonts w:hint="eastAsia" w:ascii="宋体" w:hAnsi="宋体" w:eastAsia="宋体" w:cs="宋体"/>
          <w:color w:val="auto"/>
          <w:kern w:val="0"/>
          <w:sz w:val="24"/>
          <w:szCs w:val="24"/>
          <w:highlight w:val="none"/>
          <w:lang w:eastAsia="zh-CN"/>
        </w:rPr>
        <w:t>；</w:t>
      </w:r>
    </w:p>
    <w:p w14:paraId="2BA084D5">
      <w:pPr>
        <w:pStyle w:val="142"/>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3.4.1.4总价金额与按单价汇总金额不一致的，以单价金额计算结果为准。</w:t>
      </w:r>
    </w:p>
    <w:p w14:paraId="16D9067A">
      <w:pPr>
        <w:pStyle w:val="142"/>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FD4E1C9">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3.4.2投标文件出现不是唯一的、有选择性投标报价的，投标无效。</w:t>
      </w:r>
    </w:p>
    <w:p w14:paraId="2815E907">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3.4.3投标报价超过招标文件中规定的预算金额或者最高限价的，投标无效。</w:t>
      </w:r>
    </w:p>
    <w:p w14:paraId="54ADF6A2">
      <w:pPr>
        <w:pStyle w:val="142"/>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投标人不能证明其报价合理性的，评标委员会应当将其作为无效投标处理。</w:t>
      </w:r>
    </w:p>
    <w:p w14:paraId="0CF700A2">
      <w:pPr>
        <w:pStyle w:val="142"/>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13025A0">
      <w:pPr>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3.5排序与推荐。</w:t>
      </w: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备注：有效投标供应商数量等于3家时，中标候选人数量为1家；有效投标供应商数量等于4家时，中标候选人数量为2家；有效投标供应商数量大于等于5家时，中标候选人数量为3家。</w:t>
      </w:r>
    </w:p>
    <w:p w14:paraId="3356A593">
      <w:pPr>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2B4253">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3.6编写评标报告。</w:t>
      </w:r>
      <w:r>
        <w:rPr>
          <w:rFonts w:hint="eastAsia" w:ascii="宋体" w:hAnsi="宋体" w:eastAsia="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D78933">
      <w:pPr>
        <w:spacing w:line="360" w:lineRule="auto"/>
        <w:outlineLvl w:val="1"/>
        <w:rPr>
          <w:rFonts w:hint="eastAsia" w:ascii="宋体" w:hAnsi="宋体" w:eastAsia="宋体" w:cs="宋体"/>
          <w:b/>
          <w:color w:val="auto"/>
          <w:sz w:val="24"/>
          <w:szCs w:val="24"/>
          <w:highlight w:val="none"/>
        </w:rPr>
      </w:pPr>
      <w:bookmarkStart w:id="440" w:name="_Toc29108"/>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评标中的其他事项</w:t>
      </w:r>
      <w:bookmarkEnd w:id="440"/>
    </w:p>
    <w:p w14:paraId="2039E841">
      <w:pPr>
        <w:pStyle w:val="142"/>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4.1投标人澄清、说明或者补正。</w:t>
      </w:r>
      <w:r>
        <w:rPr>
          <w:rFonts w:hint="eastAsia" w:ascii="宋体" w:hAnsi="宋体" w:eastAsia="宋体" w:cs="宋体"/>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w:t>
      </w:r>
      <w:r>
        <w:rPr>
          <w:rFonts w:hint="eastAsia" w:ascii="宋体" w:hAnsi="宋体" w:eastAsia="宋体" w:cs="宋体"/>
          <w:color w:val="auto"/>
          <w:kern w:val="0"/>
          <w:sz w:val="24"/>
          <w:szCs w:val="24"/>
          <w:highlight w:val="none"/>
          <w:lang w:val="en-US" w:eastAsia="zh-CN"/>
        </w:rPr>
        <w:t>章</w:t>
      </w:r>
      <w:r>
        <w:rPr>
          <w:rFonts w:hint="eastAsia" w:ascii="宋体" w:hAnsi="宋体" w:eastAsia="宋体" w:cs="宋体"/>
          <w:color w:val="auto"/>
          <w:kern w:val="0"/>
          <w:sz w:val="24"/>
          <w:szCs w:val="24"/>
          <w:highlight w:val="none"/>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9EAE95">
      <w:pPr>
        <w:pStyle w:val="25"/>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有下列情形之一的，投标无效：</w:t>
      </w:r>
    </w:p>
    <w:p w14:paraId="0A35C51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022E626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1A5222F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投标文件含有采购人不能接受的附加条件的；</w:t>
      </w:r>
    </w:p>
    <w:p w14:paraId="0178AF5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投标文件中承诺的投标有效期少于招标文件中载明的投标有效期的；</w:t>
      </w:r>
    </w:p>
    <w:p w14:paraId="32D73F11">
      <w:pPr>
        <w:snapToGrid w:val="0"/>
        <w:spacing w:line="360" w:lineRule="auto"/>
        <w:ind w:firstLine="120" w:firstLineChars="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投标文件出现不是唯一的、有选择性投标报价的;</w:t>
      </w:r>
    </w:p>
    <w:p w14:paraId="0A4019EE">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投标报价超过招标文件中规定的预算金额或者最高限价的;</w:t>
      </w:r>
    </w:p>
    <w:p w14:paraId="51BA8DD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报价明显低于其他通过符合性审查投标人的报价，有可能影响产品质量或者不能诚信履约的，未能按要求提供书面说明或者提交相关证明材料，不能证明其报价合理性的;</w:t>
      </w:r>
    </w:p>
    <w:p w14:paraId="3A37885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投标人对根据修正原则修正后的报价不确认的；</w:t>
      </w:r>
    </w:p>
    <w:p w14:paraId="7AEC632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投标人提供虚假材料投标的；</w:t>
      </w:r>
    </w:p>
    <w:p w14:paraId="4EBE3C36">
      <w:p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4.2.1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投标人有恶意串通、妨碍其他投标人的竞争行为、损害采购人或者其他投标人的合法权益情形的；</w:t>
      </w:r>
    </w:p>
    <w:p w14:paraId="2E9A99C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投标人仅提交备份投标文件，未在电子交易平台传输递交投标文件的，投标无效；</w:t>
      </w:r>
      <w:bookmarkStart w:id="441" w:name="_Toc16784"/>
    </w:p>
    <w:p w14:paraId="2006B0DA">
      <w:pPr>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bookmarkEnd w:id="441"/>
    </w:p>
    <w:p w14:paraId="105E79A2">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不同</w:t>
      </w:r>
      <w:r>
        <w:rPr>
          <w:rFonts w:hint="eastAsia" w:ascii="宋体" w:hAnsi="宋体" w:cs="宋体"/>
          <w:color w:val="auto"/>
          <w:kern w:val="0"/>
          <w:sz w:val="24"/>
          <w:szCs w:val="24"/>
          <w:highlight w:val="none"/>
          <w:lang w:val="en-US" w:eastAsia="zh-CN"/>
        </w:rPr>
        <w:t>投标人</w:t>
      </w:r>
      <w:r>
        <w:rPr>
          <w:rFonts w:hint="eastAsia" w:ascii="宋体" w:hAnsi="宋体" w:cs="宋体"/>
          <w:color w:val="auto"/>
          <w:kern w:val="0"/>
          <w:sz w:val="24"/>
          <w:szCs w:val="24"/>
          <w:highlight w:val="none"/>
          <w:lang w:eastAsia="zh-CN"/>
        </w:rPr>
        <w:t>的</w:t>
      </w:r>
      <w:r>
        <w:rPr>
          <w:rFonts w:hint="eastAsia" w:ascii="宋体" w:hAnsi="宋体" w:cs="宋体"/>
          <w:color w:val="auto"/>
          <w:kern w:val="0"/>
          <w:sz w:val="24"/>
          <w:szCs w:val="24"/>
          <w:highlight w:val="none"/>
          <w:lang w:val="en-US" w:eastAsia="zh-CN"/>
        </w:rPr>
        <w:t>投标</w:t>
      </w:r>
      <w:r>
        <w:rPr>
          <w:rFonts w:hint="eastAsia" w:ascii="宋体" w:hAnsi="宋体" w:cs="宋体"/>
          <w:color w:val="auto"/>
          <w:kern w:val="0"/>
          <w:sz w:val="24"/>
          <w:szCs w:val="24"/>
          <w:highlight w:val="none"/>
          <w:lang w:eastAsia="zh-CN"/>
        </w:rPr>
        <w:t>文件出自同一终端设备或在相同Internet主机分配地址（相同IP地址）网上报名投标的作无效标处理。</w:t>
      </w:r>
    </w:p>
    <w:p w14:paraId="6FA39A90">
      <w:pPr>
        <w:spacing w:line="360" w:lineRule="auto"/>
        <w:ind w:firstLine="480" w:firstLineChars="20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4.2.14</w:t>
      </w:r>
      <w:r>
        <w:rPr>
          <w:rFonts w:hint="eastAsia" w:ascii="宋体" w:hAnsi="宋体" w:eastAsia="宋体" w:cs="宋体"/>
          <w:color w:val="auto"/>
          <w:kern w:val="0"/>
          <w:sz w:val="24"/>
          <w:szCs w:val="24"/>
          <w:highlight w:val="none"/>
        </w:rPr>
        <w:t>法律、法规、规章（适用本市的）及省级以上规范性文件（适用本市的）规定的其他无效情形</w:t>
      </w:r>
      <w:r>
        <w:rPr>
          <w:rFonts w:hint="eastAsia" w:ascii="宋体" w:hAnsi="宋体" w:cs="宋体"/>
          <w:color w:val="auto"/>
          <w:kern w:val="0"/>
          <w:sz w:val="24"/>
          <w:szCs w:val="24"/>
          <w:highlight w:val="none"/>
          <w:lang w:eastAsia="zh-CN"/>
        </w:rPr>
        <w:t>；</w:t>
      </w:r>
    </w:p>
    <w:p w14:paraId="29965229">
      <w:pPr>
        <w:pStyle w:val="25"/>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2CC0A424">
      <w:pPr>
        <w:pStyle w:val="25"/>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5.1符合专业条件的供应商或者对招标文件作实质响应的供应商不足3家的；</w:t>
      </w:r>
    </w:p>
    <w:p w14:paraId="46DA7DA2">
      <w:pPr>
        <w:pStyle w:val="25"/>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23F9DAA4">
      <w:pPr>
        <w:pStyle w:val="25"/>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5.3投标人的报价均超过了采购预算，采购人不能支付的；</w:t>
      </w:r>
    </w:p>
    <w:p w14:paraId="1BC1422D">
      <w:pPr>
        <w:pStyle w:val="25"/>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5.4因重大变故，采购任务取消的。</w:t>
      </w:r>
    </w:p>
    <w:p w14:paraId="1815C166">
      <w:pPr>
        <w:pStyle w:val="25"/>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应当将废标理由通知所有投标人。</w:t>
      </w:r>
    </w:p>
    <w:p w14:paraId="3CA511ED">
      <w:pPr>
        <w:pStyle w:val="25"/>
        <w:snapToGrid w:val="0"/>
        <w:spacing w:line="360" w:lineRule="auto"/>
        <w:ind w:firstLine="590" w:firstLineChars="24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沟通并作书面记录。采购人、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确认后，将修改招标文件，重新组织采购活动。</w:t>
      </w:r>
    </w:p>
    <w:p w14:paraId="23780C9B">
      <w:pPr>
        <w:pStyle w:val="25"/>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7.重新开展采购。</w:t>
      </w:r>
      <w:r>
        <w:rPr>
          <w:rFonts w:hint="eastAsia" w:ascii="宋体" w:hAnsi="宋体" w:eastAsia="宋体" w:cs="宋体"/>
          <w:color w:val="auto"/>
          <w:sz w:val="24"/>
          <w:szCs w:val="24"/>
          <w:highlight w:val="none"/>
        </w:rPr>
        <w:t>有政府采购法第七十一条、第七十二条规定的违法行为之一，影响或者可能影响中标结果的，依照下列规定处理：</w:t>
      </w:r>
    </w:p>
    <w:p w14:paraId="5296A171">
      <w:pPr>
        <w:pStyle w:val="25"/>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7.1未确定中标供应商的，终止本次政府采购活动，重新开展政府采购活动。</w:t>
      </w:r>
    </w:p>
    <w:p w14:paraId="1ED1C32B">
      <w:pPr>
        <w:pStyle w:val="25"/>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51FBFD64">
      <w:pPr>
        <w:pStyle w:val="25"/>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7.3政府采购合同已签订但尚未履行的，撤销合同，从合格的中标候选人中另行确定中标供应商；没有合格的中标候选人的，重新开展政府采购活动。</w:t>
      </w:r>
    </w:p>
    <w:p w14:paraId="0F960BD8">
      <w:pPr>
        <w:pStyle w:val="25"/>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7.4政府采购合同已经履行，给采购人、供应商造成损失的，由责任人承担赔偿责任。</w:t>
      </w:r>
    </w:p>
    <w:p w14:paraId="0D35F652">
      <w:pPr>
        <w:pStyle w:val="25"/>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67"/>
    <w:p w14:paraId="408FEA22">
      <w:pPr>
        <w:rPr>
          <w:rFonts w:hint="eastAsia" w:ascii="宋体" w:hAnsi="宋体" w:eastAsia="宋体" w:cs="宋体"/>
          <w:color w:val="auto"/>
          <w:sz w:val="24"/>
          <w:szCs w:val="24"/>
          <w:highlight w:val="none"/>
        </w:rPr>
      </w:pPr>
      <w:bookmarkStart w:id="442" w:name="第五部分"/>
      <w:bookmarkStart w:id="443" w:name="_Toc86217003"/>
      <w:r>
        <w:rPr>
          <w:rFonts w:hint="eastAsia" w:ascii="宋体" w:hAnsi="宋体" w:eastAsia="宋体" w:cs="宋体"/>
          <w:color w:val="auto"/>
          <w:sz w:val="24"/>
          <w:szCs w:val="24"/>
          <w:highlight w:val="none"/>
        </w:rPr>
        <w:br w:type="page"/>
      </w:r>
    </w:p>
    <w:p w14:paraId="1A723016">
      <w:pPr>
        <w:rPr>
          <w:rFonts w:hint="eastAsia" w:ascii="宋体" w:hAnsi="宋体" w:eastAsia="宋体" w:cs="宋体"/>
          <w:color w:val="auto"/>
          <w:sz w:val="24"/>
          <w:szCs w:val="24"/>
          <w:highlight w:val="none"/>
        </w:rPr>
      </w:pPr>
    </w:p>
    <w:p w14:paraId="6BC67D56">
      <w:pPr>
        <w:pStyle w:val="2"/>
        <w:bidi w:val="0"/>
        <w:rPr>
          <w:rFonts w:hint="eastAsia"/>
          <w:color w:val="auto"/>
          <w:highlight w:val="none"/>
        </w:rPr>
      </w:pPr>
      <w:bookmarkStart w:id="444" w:name="_Toc20593"/>
      <w:bookmarkStart w:id="445" w:name="_Toc27869"/>
      <w:bookmarkStart w:id="446" w:name="_Toc12957"/>
      <w:r>
        <w:rPr>
          <w:rFonts w:hint="eastAsia"/>
          <w:color w:val="auto"/>
          <w:highlight w:val="none"/>
          <w:lang w:val="en-US" w:eastAsia="zh-CN"/>
        </w:rPr>
        <w:t xml:space="preserve">第五部分  </w:t>
      </w:r>
      <w:r>
        <w:rPr>
          <w:rFonts w:hint="eastAsia"/>
          <w:color w:val="auto"/>
          <w:highlight w:val="none"/>
        </w:rPr>
        <w:t>拟签订的合同文本</w:t>
      </w:r>
      <w:bookmarkEnd w:id="444"/>
      <w:bookmarkEnd w:id="445"/>
      <w:bookmarkEnd w:id="446"/>
    </w:p>
    <w:p w14:paraId="5DAEB7B4">
      <w:pPr>
        <w:snapToGrid w:val="0"/>
        <w:spacing w:line="360" w:lineRule="auto"/>
        <w:ind w:firstLine="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47C4B45A">
      <w:pPr>
        <w:snapToGrid w:val="0"/>
        <w:spacing w:line="360" w:lineRule="auto"/>
        <w:ind w:firstLine="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7CADC848">
      <w:pPr>
        <w:snapToGrid w:val="0"/>
        <w:spacing w:line="360" w:lineRule="auto"/>
        <w:ind w:firstLine="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0EF38237">
      <w:pPr>
        <w:snapToGrid w:val="0"/>
        <w:spacing w:line="360" w:lineRule="auto"/>
        <w:ind w:firstLine="3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签约日期和地点：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3844632">
      <w:pPr>
        <w:snapToGrid w:val="0"/>
        <w:spacing w:line="360" w:lineRule="auto"/>
        <w:ind w:firstLine="300"/>
        <w:rPr>
          <w:rFonts w:hint="eastAsia" w:ascii="宋体" w:hAnsi="宋体" w:eastAsia="宋体" w:cs="宋体"/>
          <w:color w:val="auto"/>
          <w:sz w:val="24"/>
          <w:szCs w:val="24"/>
          <w:highlight w:val="none"/>
        </w:rPr>
      </w:pPr>
    </w:p>
    <w:p w14:paraId="2A543FD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根据《中华人民共和国政府采购法》、《中华人民共和国政府采购法实施条例》、《政府采购货物和服务招标投标管理办法》等法律法规，</w:t>
      </w:r>
      <w:r>
        <w:rPr>
          <w:rFonts w:hint="eastAsia" w:ascii="宋体" w:hAnsi="宋体" w:eastAsia="宋体" w:cs="宋体"/>
          <w:color w:val="auto"/>
          <w:sz w:val="24"/>
          <w:szCs w:val="24"/>
          <w:highlight w:val="none"/>
          <w:u w:val="single"/>
        </w:rPr>
        <w:t xml:space="preserve">       项目名称    （项目编号：       ）</w:t>
      </w:r>
      <w:r>
        <w:rPr>
          <w:rFonts w:hint="eastAsia" w:ascii="宋体" w:hAnsi="宋体" w:eastAsia="宋体" w:cs="宋体"/>
          <w:color w:val="auto"/>
          <w:sz w:val="24"/>
          <w:szCs w:val="24"/>
          <w:highlight w:val="none"/>
        </w:rPr>
        <w:t xml:space="preserve">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日进行公开招标，确定由乙方中标。按照《中华人民共和国民法典》的有关规定，在自愿、平等、公平、诚信的基础上，经双方协商一致，签订本合同。</w:t>
      </w:r>
    </w:p>
    <w:p w14:paraId="38E79248">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本合同声明，作为附件，下述文件是合同的一部分，并与本合同一起阅读和解释：</w:t>
      </w:r>
    </w:p>
    <w:p w14:paraId="216CD873">
      <w:pPr>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w:t>
      </w:r>
    </w:p>
    <w:p w14:paraId="041DE19F">
      <w:pPr>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乙方的投标文件、乙方在招投标中提供的澄清文件；</w:t>
      </w:r>
    </w:p>
    <w:p w14:paraId="130FA0D4">
      <w:pPr>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w:t>
      </w:r>
    </w:p>
    <w:p w14:paraId="6B20A1A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  保密协议</w:t>
      </w:r>
    </w:p>
    <w:p w14:paraId="3FA7DBEB">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上述文件与合同若有不一致之处，文件的优先次序应为第一合同、第二附件。</w:t>
      </w:r>
    </w:p>
    <w:p w14:paraId="4718A82E">
      <w:pPr>
        <w:numPr>
          <w:ilvl w:val="0"/>
          <w:numId w:val="6"/>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服务内容/价格</w:t>
      </w:r>
    </w:p>
    <w:tbl>
      <w:tblPr>
        <w:tblStyle w:val="65"/>
        <w:tblW w:w="8137"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62"/>
        <w:gridCol w:w="3721"/>
      </w:tblGrid>
      <w:tr w14:paraId="6099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vAlign w:val="center"/>
          </w:tcPr>
          <w:p w14:paraId="4544463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2562" w:type="dxa"/>
            <w:tcBorders>
              <w:top w:val="single" w:color="auto" w:sz="4" w:space="0"/>
              <w:left w:val="single" w:color="auto" w:sz="4" w:space="0"/>
              <w:bottom w:val="single" w:color="auto" w:sz="4" w:space="0"/>
              <w:right w:val="single" w:color="auto" w:sz="4" w:space="0"/>
            </w:tcBorders>
            <w:vAlign w:val="center"/>
          </w:tcPr>
          <w:p w14:paraId="62F64F3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具体事项</w:t>
            </w:r>
          </w:p>
        </w:tc>
        <w:tc>
          <w:tcPr>
            <w:tcW w:w="3721" w:type="dxa"/>
            <w:tcBorders>
              <w:top w:val="single" w:color="auto" w:sz="4" w:space="0"/>
              <w:left w:val="single" w:color="auto" w:sz="4" w:space="0"/>
              <w:bottom w:val="single" w:color="auto" w:sz="4" w:space="0"/>
              <w:right w:val="single" w:color="auto" w:sz="4" w:space="0"/>
            </w:tcBorders>
            <w:vAlign w:val="center"/>
          </w:tcPr>
          <w:p w14:paraId="7C38009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价格（元）</w:t>
            </w:r>
          </w:p>
        </w:tc>
      </w:tr>
      <w:tr w14:paraId="4359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tcPr>
          <w:p w14:paraId="1ED8ADB3">
            <w:pPr>
              <w:snapToGrid w:val="0"/>
              <w:spacing w:line="360" w:lineRule="auto"/>
              <w:ind w:firstLine="300"/>
              <w:rPr>
                <w:rFonts w:hint="eastAsia" w:ascii="宋体" w:hAnsi="宋体" w:eastAsia="宋体" w:cs="宋体"/>
                <w:color w:val="auto"/>
                <w:sz w:val="24"/>
                <w:szCs w:val="24"/>
                <w:highlight w:val="none"/>
              </w:rPr>
            </w:pPr>
          </w:p>
        </w:tc>
        <w:tc>
          <w:tcPr>
            <w:tcW w:w="2562" w:type="dxa"/>
            <w:tcBorders>
              <w:top w:val="single" w:color="auto" w:sz="4" w:space="0"/>
              <w:left w:val="single" w:color="auto" w:sz="4" w:space="0"/>
              <w:bottom w:val="single" w:color="auto" w:sz="4" w:space="0"/>
              <w:right w:val="single" w:color="auto" w:sz="4" w:space="0"/>
            </w:tcBorders>
          </w:tcPr>
          <w:p w14:paraId="3758E28B">
            <w:pPr>
              <w:snapToGrid w:val="0"/>
              <w:spacing w:line="360" w:lineRule="auto"/>
              <w:ind w:firstLine="300"/>
              <w:rPr>
                <w:rFonts w:hint="eastAsia" w:ascii="宋体" w:hAnsi="宋体" w:eastAsia="宋体" w:cs="宋体"/>
                <w:color w:val="auto"/>
                <w:sz w:val="24"/>
                <w:szCs w:val="24"/>
                <w:highlight w:val="none"/>
              </w:rPr>
            </w:pPr>
          </w:p>
        </w:tc>
        <w:tc>
          <w:tcPr>
            <w:tcW w:w="3721" w:type="dxa"/>
            <w:tcBorders>
              <w:top w:val="single" w:color="auto" w:sz="4" w:space="0"/>
              <w:left w:val="single" w:color="auto" w:sz="4" w:space="0"/>
              <w:bottom w:val="single" w:color="auto" w:sz="4" w:space="0"/>
              <w:right w:val="single" w:color="auto" w:sz="4" w:space="0"/>
            </w:tcBorders>
          </w:tcPr>
          <w:p w14:paraId="2BDB45A1">
            <w:pPr>
              <w:snapToGrid w:val="0"/>
              <w:spacing w:line="360" w:lineRule="auto"/>
              <w:ind w:firstLine="300"/>
              <w:rPr>
                <w:rFonts w:hint="eastAsia" w:ascii="宋体" w:hAnsi="宋体" w:eastAsia="宋体" w:cs="宋体"/>
                <w:color w:val="auto"/>
                <w:sz w:val="24"/>
                <w:szCs w:val="24"/>
                <w:highlight w:val="none"/>
              </w:rPr>
            </w:pPr>
          </w:p>
        </w:tc>
      </w:tr>
      <w:tr w14:paraId="23F3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tcPr>
          <w:p w14:paraId="0416DC70">
            <w:pPr>
              <w:snapToGrid w:val="0"/>
              <w:spacing w:line="360" w:lineRule="auto"/>
              <w:ind w:firstLine="300"/>
              <w:rPr>
                <w:rFonts w:hint="eastAsia" w:ascii="宋体" w:hAnsi="宋体" w:eastAsia="宋体" w:cs="宋体"/>
                <w:color w:val="auto"/>
                <w:sz w:val="24"/>
                <w:szCs w:val="24"/>
                <w:highlight w:val="none"/>
              </w:rPr>
            </w:pPr>
          </w:p>
        </w:tc>
        <w:tc>
          <w:tcPr>
            <w:tcW w:w="2562" w:type="dxa"/>
            <w:tcBorders>
              <w:top w:val="single" w:color="auto" w:sz="4" w:space="0"/>
              <w:left w:val="single" w:color="auto" w:sz="4" w:space="0"/>
              <w:bottom w:val="single" w:color="auto" w:sz="4" w:space="0"/>
              <w:right w:val="single" w:color="auto" w:sz="4" w:space="0"/>
            </w:tcBorders>
          </w:tcPr>
          <w:p w14:paraId="55F580CF">
            <w:pPr>
              <w:snapToGrid w:val="0"/>
              <w:spacing w:line="360" w:lineRule="auto"/>
              <w:ind w:firstLine="300"/>
              <w:rPr>
                <w:rFonts w:hint="eastAsia" w:ascii="宋体" w:hAnsi="宋体" w:eastAsia="宋体" w:cs="宋体"/>
                <w:color w:val="auto"/>
                <w:sz w:val="24"/>
                <w:szCs w:val="24"/>
                <w:highlight w:val="none"/>
              </w:rPr>
            </w:pPr>
          </w:p>
        </w:tc>
        <w:tc>
          <w:tcPr>
            <w:tcW w:w="3721" w:type="dxa"/>
            <w:tcBorders>
              <w:top w:val="single" w:color="auto" w:sz="4" w:space="0"/>
              <w:left w:val="single" w:color="auto" w:sz="4" w:space="0"/>
              <w:bottom w:val="single" w:color="auto" w:sz="4" w:space="0"/>
              <w:right w:val="single" w:color="auto" w:sz="4" w:space="0"/>
            </w:tcBorders>
          </w:tcPr>
          <w:p w14:paraId="63F841A1">
            <w:pPr>
              <w:snapToGrid w:val="0"/>
              <w:spacing w:line="360" w:lineRule="auto"/>
              <w:ind w:firstLine="300"/>
              <w:rPr>
                <w:rFonts w:hint="eastAsia" w:ascii="宋体" w:hAnsi="宋体" w:eastAsia="宋体" w:cs="宋体"/>
                <w:color w:val="auto"/>
                <w:sz w:val="24"/>
                <w:szCs w:val="24"/>
                <w:highlight w:val="none"/>
              </w:rPr>
            </w:pPr>
          </w:p>
        </w:tc>
      </w:tr>
      <w:tr w14:paraId="7DD2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tcPr>
          <w:p w14:paraId="40FC3FDA">
            <w:pPr>
              <w:snapToGrid w:val="0"/>
              <w:spacing w:line="360" w:lineRule="auto"/>
              <w:ind w:firstLine="300"/>
              <w:rPr>
                <w:rFonts w:hint="eastAsia" w:ascii="宋体" w:hAnsi="宋体" w:eastAsia="宋体" w:cs="宋体"/>
                <w:color w:val="auto"/>
                <w:sz w:val="24"/>
                <w:szCs w:val="24"/>
                <w:highlight w:val="none"/>
              </w:rPr>
            </w:pPr>
          </w:p>
        </w:tc>
        <w:tc>
          <w:tcPr>
            <w:tcW w:w="2562" w:type="dxa"/>
            <w:tcBorders>
              <w:top w:val="single" w:color="auto" w:sz="4" w:space="0"/>
              <w:left w:val="single" w:color="auto" w:sz="4" w:space="0"/>
              <w:bottom w:val="single" w:color="auto" w:sz="4" w:space="0"/>
              <w:right w:val="single" w:color="auto" w:sz="4" w:space="0"/>
            </w:tcBorders>
          </w:tcPr>
          <w:p w14:paraId="70C21399">
            <w:pPr>
              <w:snapToGrid w:val="0"/>
              <w:spacing w:line="360" w:lineRule="auto"/>
              <w:ind w:firstLine="300"/>
              <w:rPr>
                <w:rFonts w:hint="eastAsia" w:ascii="宋体" w:hAnsi="宋体" w:eastAsia="宋体" w:cs="宋体"/>
                <w:color w:val="auto"/>
                <w:sz w:val="24"/>
                <w:szCs w:val="24"/>
                <w:highlight w:val="none"/>
              </w:rPr>
            </w:pPr>
          </w:p>
        </w:tc>
        <w:tc>
          <w:tcPr>
            <w:tcW w:w="3721" w:type="dxa"/>
            <w:tcBorders>
              <w:top w:val="single" w:color="auto" w:sz="4" w:space="0"/>
              <w:left w:val="single" w:color="auto" w:sz="4" w:space="0"/>
              <w:bottom w:val="single" w:color="auto" w:sz="4" w:space="0"/>
              <w:right w:val="single" w:color="auto" w:sz="4" w:space="0"/>
            </w:tcBorders>
          </w:tcPr>
          <w:p w14:paraId="73E906B7">
            <w:pPr>
              <w:snapToGrid w:val="0"/>
              <w:spacing w:line="360" w:lineRule="auto"/>
              <w:ind w:firstLine="300"/>
              <w:rPr>
                <w:rFonts w:hint="eastAsia" w:ascii="宋体" w:hAnsi="宋体" w:eastAsia="宋体" w:cs="宋体"/>
                <w:color w:val="auto"/>
                <w:sz w:val="24"/>
                <w:szCs w:val="24"/>
                <w:highlight w:val="none"/>
              </w:rPr>
            </w:pPr>
          </w:p>
        </w:tc>
      </w:tr>
      <w:tr w14:paraId="6D74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6" w:type="dxa"/>
            <w:gridSpan w:val="2"/>
            <w:tcBorders>
              <w:top w:val="single" w:color="auto" w:sz="4" w:space="0"/>
              <w:left w:val="single" w:color="auto" w:sz="4" w:space="0"/>
              <w:bottom w:val="single" w:color="auto" w:sz="4" w:space="0"/>
              <w:right w:val="single" w:color="auto" w:sz="4" w:space="0"/>
            </w:tcBorders>
            <w:vAlign w:val="center"/>
          </w:tcPr>
          <w:p w14:paraId="19D57FAF">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合同价（大写金额）</w:t>
            </w:r>
          </w:p>
        </w:tc>
        <w:tc>
          <w:tcPr>
            <w:tcW w:w="3721" w:type="dxa"/>
            <w:tcBorders>
              <w:top w:val="single" w:color="auto" w:sz="4" w:space="0"/>
              <w:left w:val="single" w:color="auto" w:sz="4" w:space="0"/>
              <w:bottom w:val="single" w:color="auto" w:sz="4" w:space="0"/>
              <w:right w:val="single" w:color="auto" w:sz="4" w:space="0"/>
            </w:tcBorders>
          </w:tcPr>
          <w:p w14:paraId="7B9B2623">
            <w:pPr>
              <w:snapToGrid w:val="0"/>
              <w:spacing w:line="360" w:lineRule="auto"/>
              <w:ind w:firstLine="300"/>
              <w:rPr>
                <w:rFonts w:hint="eastAsia" w:ascii="宋体" w:hAnsi="宋体" w:eastAsia="宋体" w:cs="宋体"/>
                <w:color w:val="auto"/>
                <w:sz w:val="24"/>
                <w:szCs w:val="24"/>
                <w:highlight w:val="none"/>
              </w:rPr>
            </w:pPr>
          </w:p>
        </w:tc>
      </w:tr>
    </w:tbl>
    <w:p w14:paraId="7592CE7D">
      <w:pPr>
        <w:snapToGrid w:val="0"/>
        <w:spacing w:line="360" w:lineRule="auto"/>
        <w:ind w:firstLine="300"/>
        <w:rPr>
          <w:rFonts w:hint="eastAsia" w:ascii="宋体" w:hAnsi="宋体" w:eastAsia="宋体" w:cs="宋体"/>
          <w:b/>
          <w:color w:val="auto"/>
          <w:sz w:val="24"/>
          <w:szCs w:val="24"/>
          <w:highlight w:val="none"/>
        </w:rPr>
      </w:pPr>
    </w:p>
    <w:p w14:paraId="77FCE8A8">
      <w:pPr>
        <w:snapToGrid w:val="0"/>
        <w:spacing w:line="360" w:lineRule="auto"/>
        <w:ind w:firstLine="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工期</w:t>
      </w:r>
      <w:r>
        <w:rPr>
          <w:rFonts w:hint="eastAsia" w:ascii="宋体" w:hAnsi="宋体" w:eastAsia="宋体" w:cs="宋体"/>
          <w:b/>
          <w:color w:val="auto"/>
          <w:sz w:val="24"/>
          <w:szCs w:val="24"/>
          <w:highlight w:val="none"/>
        </w:rPr>
        <w:t>及免费维护期：</w:t>
      </w:r>
    </w:p>
    <w:p w14:paraId="14A5AD91">
      <w:pPr>
        <w:snapToGrid w:val="0"/>
        <w:spacing w:line="360" w:lineRule="auto"/>
        <w:ind w:firstLine="300"/>
        <w:rPr>
          <w:rFonts w:hint="eastAsia" w:ascii="宋体" w:hAnsi="宋体" w:eastAsia="宋体" w:cs="宋体"/>
          <w:b/>
          <w:color w:val="auto"/>
          <w:sz w:val="24"/>
          <w:szCs w:val="24"/>
          <w:highlight w:val="none"/>
        </w:rPr>
      </w:pPr>
    </w:p>
    <w:p w14:paraId="404B57D8">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3、付款方式及付款期</w:t>
      </w:r>
      <w:r>
        <w:rPr>
          <w:rFonts w:hint="eastAsia" w:ascii="宋体" w:hAnsi="宋体" w:eastAsia="宋体" w:cs="宋体"/>
          <w:color w:val="auto"/>
          <w:sz w:val="24"/>
          <w:szCs w:val="24"/>
          <w:highlight w:val="none"/>
        </w:rPr>
        <w:t>：</w:t>
      </w:r>
    </w:p>
    <w:p w14:paraId="2499E66E">
      <w:pPr>
        <w:snapToGrid w:val="0"/>
        <w:spacing w:line="360" w:lineRule="auto"/>
        <w:ind w:firstLine="300"/>
        <w:rPr>
          <w:rFonts w:hint="eastAsia" w:ascii="宋体" w:hAnsi="宋体" w:eastAsia="宋体" w:cs="宋体"/>
          <w:color w:val="auto"/>
          <w:sz w:val="24"/>
          <w:szCs w:val="24"/>
          <w:highlight w:val="none"/>
        </w:rPr>
      </w:pPr>
    </w:p>
    <w:p w14:paraId="43737FBF">
      <w:pPr>
        <w:snapToGrid w:val="0"/>
        <w:spacing w:line="360" w:lineRule="auto"/>
        <w:ind w:firstLine="300"/>
        <w:rPr>
          <w:rFonts w:hint="eastAsia" w:ascii="宋体" w:hAnsi="宋体" w:eastAsia="宋体" w:cs="宋体"/>
          <w:color w:val="auto"/>
          <w:sz w:val="24"/>
          <w:szCs w:val="24"/>
          <w:highlight w:val="none"/>
        </w:rPr>
      </w:pPr>
    </w:p>
    <w:p w14:paraId="0D191D3F">
      <w:pPr>
        <w:snapToGrid w:val="0"/>
        <w:spacing w:line="360" w:lineRule="auto"/>
        <w:ind w:firstLine="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4、使用合同文件和资料：</w:t>
      </w:r>
    </w:p>
    <w:p w14:paraId="39E3AD4C">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4.1</w:t>
      </w:r>
      <w:r>
        <w:rPr>
          <w:rFonts w:hint="eastAsia" w:ascii="宋体" w:hAnsi="宋体" w:eastAsia="宋体" w:cs="宋体"/>
          <w:color w:val="auto"/>
          <w:sz w:val="24"/>
          <w:szCs w:val="24"/>
          <w:highlight w:val="none"/>
        </w:rPr>
        <w:t xml:space="preserve">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46532758">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4.2</w:t>
      </w:r>
      <w:r>
        <w:rPr>
          <w:rFonts w:hint="eastAsia" w:ascii="宋体" w:hAnsi="宋体" w:eastAsia="宋体" w:cs="宋体"/>
          <w:color w:val="auto"/>
          <w:sz w:val="24"/>
          <w:szCs w:val="24"/>
          <w:highlight w:val="none"/>
        </w:rPr>
        <w:t xml:space="preserve"> 没有甲方事先书面同意，除了履行本合同之外，乙方不应使用</w:t>
      </w:r>
      <w:r>
        <w:rPr>
          <w:rFonts w:hint="eastAsia" w:ascii="宋体" w:hAnsi="宋体" w:eastAsia="宋体" w:cs="宋体"/>
          <w:b/>
          <w:color w:val="auto"/>
          <w:sz w:val="24"/>
          <w:szCs w:val="24"/>
          <w:highlight w:val="none"/>
        </w:rPr>
        <w:t>4.1</w:t>
      </w:r>
      <w:r>
        <w:rPr>
          <w:rFonts w:hint="eastAsia" w:ascii="宋体" w:hAnsi="宋体" w:eastAsia="宋体" w:cs="宋体"/>
          <w:color w:val="auto"/>
          <w:sz w:val="24"/>
          <w:szCs w:val="24"/>
          <w:highlight w:val="none"/>
        </w:rPr>
        <w:t>条款所列举的任何文件和资料。</w:t>
      </w:r>
    </w:p>
    <w:p w14:paraId="46B0B5D3">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4.3 </w:t>
      </w:r>
      <w:r>
        <w:rPr>
          <w:rFonts w:hint="eastAsia" w:ascii="宋体" w:hAnsi="宋体" w:eastAsia="宋体" w:cs="宋体"/>
          <w:color w:val="auto"/>
          <w:sz w:val="24"/>
          <w:szCs w:val="24"/>
          <w:highlight w:val="none"/>
        </w:rPr>
        <w:t>除了合同本身外，</w:t>
      </w:r>
      <w:r>
        <w:rPr>
          <w:rFonts w:hint="eastAsia" w:ascii="宋体" w:hAnsi="宋体" w:eastAsia="宋体" w:cs="宋体"/>
          <w:b/>
          <w:color w:val="auto"/>
          <w:sz w:val="24"/>
          <w:szCs w:val="24"/>
          <w:highlight w:val="none"/>
        </w:rPr>
        <w:t xml:space="preserve"> 4.1</w:t>
      </w:r>
      <w:r>
        <w:rPr>
          <w:rFonts w:hint="eastAsia" w:ascii="宋体" w:hAnsi="宋体" w:eastAsia="宋体" w:cs="宋体"/>
          <w:color w:val="auto"/>
          <w:sz w:val="24"/>
          <w:szCs w:val="24"/>
          <w:highlight w:val="none"/>
        </w:rPr>
        <w:t>条款所列举的任何文件是甲方的财产。如果甲方有要求，乙方应在完成合同后将这些文件及全部复制件归还给甲方。</w:t>
      </w:r>
    </w:p>
    <w:p w14:paraId="09B86785">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5、知</w:t>
      </w:r>
      <w:r>
        <w:rPr>
          <w:rFonts w:hint="eastAsia" w:ascii="宋体" w:hAnsi="宋体" w:eastAsia="宋体" w:cs="宋体"/>
          <w:b/>
          <w:color w:val="auto"/>
          <w:sz w:val="24"/>
          <w:szCs w:val="24"/>
          <w:highlight w:val="none"/>
        </w:rPr>
        <w:t>识产权</w:t>
      </w:r>
    </w:p>
    <w:p w14:paraId="13BE2B5A">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乙方应保证提供服务过程中不会侵犯任何第三方的知识产权，如果任何第三方提出侵权指控，乙方须与第三方交涉并承担可能发生的一切法律责任和费用。</w:t>
      </w:r>
    </w:p>
    <w:p w14:paraId="75D4491B">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6、不可抗力</w:t>
      </w:r>
    </w:p>
    <w:p w14:paraId="31F62AD8">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6.1</w:t>
      </w:r>
      <w:r>
        <w:rPr>
          <w:rFonts w:hint="eastAsia" w:ascii="宋体" w:hAnsi="宋体" w:eastAsia="宋体" w:cs="宋体"/>
          <w:color w:val="auto"/>
          <w:sz w:val="24"/>
          <w:szCs w:val="24"/>
          <w:highlight w:val="none"/>
        </w:rPr>
        <w:t>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5656DD7F">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6.2</w:t>
      </w:r>
      <w:r>
        <w:rPr>
          <w:rFonts w:hint="eastAsia" w:ascii="宋体" w:hAnsi="宋体" w:eastAsia="宋体" w:cs="宋体"/>
          <w:color w:val="auto"/>
          <w:sz w:val="24"/>
          <w:szCs w:val="24"/>
          <w:highlight w:val="none"/>
        </w:rPr>
        <w:t>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7E0997F1">
      <w:pPr>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7.税费</w:t>
      </w:r>
    </w:p>
    <w:p w14:paraId="4AC015EF">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w:t>
      </w: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根据国家现行税法对甲方征收的与合同有关的一切税费均由甲方负担。</w:t>
      </w:r>
    </w:p>
    <w:p w14:paraId="324713A2">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7.2</w:t>
      </w:r>
      <w:r>
        <w:rPr>
          <w:rFonts w:hint="eastAsia" w:ascii="宋体" w:hAnsi="宋体" w:eastAsia="宋体" w:cs="宋体"/>
          <w:color w:val="auto"/>
          <w:sz w:val="24"/>
          <w:szCs w:val="24"/>
          <w:highlight w:val="none"/>
        </w:rPr>
        <w:t>根据国家现行税法对乙方征收的与合同有关的一切税费均由乙方负担。</w:t>
      </w:r>
    </w:p>
    <w:p w14:paraId="7AB93559">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8.违约终止合同</w:t>
      </w:r>
    </w:p>
    <w:p w14:paraId="6BA640E1">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如果乙方有下述违约行为或采购文件中规定的其它违约行为的情况，甲方可以向乙方发出书面违约通知，全部或部分地终止合同，在这些情况下，并不影响甲方向乙方提出的索赔：</w:t>
      </w:r>
    </w:p>
    <w:p w14:paraId="20CFF08E">
      <w:pPr>
        <w:numPr>
          <w:ilvl w:val="0"/>
          <w:numId w:val="7"/>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乙方未能在合同规定的限期或甲方同意延长的最终限期内提供全部或部分服务项目、技术文件；</w:t>
      </w:r>
    </w:p>
    <w:p w14:paraId="761C923C">
      <w:pPr>
        <w:numPr>
          <w:ilvl w:val="0"/>
          <w:numId w:val="7"/>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乙方未能使合同的服务项目达到合同附件规定的最低技术要求；</w:t>
      </w:r>
    </w:p>
    <w:p w14:paraId="10C729FC">
      <w:pPr>
        <w:numPr>
          <w:ilvl w:val="0"/>
          <w:numId w:val="7"/>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乙方未能履行合同规定的其它义务（细微义务除外），且乙方在收到甲方发出的违约通知后30天内或经甲方书面认可延长的时间内未能纠正其违约行为。 </w:t>
      </w:r>
    </w:p>
    <w:p w14:paraId="66968E41">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eastAsia="宋体" w:cs="宋体"/>
          <w:color w:val="auto"/>
          <w:sz w:val="24"/>
          <w:szCs w:val="24"/>
          <w:highlight w:val="none"/>
        </w:rPr>
        <w:t>在甲方根据第</w:t>
      </w:r>
      <w:r>
        <w:rPr>
          <w:rFonts w:hint="eastAsia" w:ascii="宋体" w:hAnsi="宋体" w:eastAsia="宋体" w:cs="宋体"/>
          <w:b/>
          <w:color w:val="auto"/>
          <w:sz w:val="24"/>
          <w:szCs w:val="24"/>
          <w:highlight w:val="none"/>
        </w:rPr>
        <w:t>8.1</w:t>
      </w:r>
      <w:r>
        <w:rPr>
          <w:rFonts w:hint="eastAsia" w:ascii="宋体" w:hAnsi="宋体" w:eastAsia="宋体" w:cs="宋体"/>
          <w:color w:val="auto"/>
          <w:sz w:val="24"/>
          <w:szCs w:val="24"/>
          <w:highlight w:val="none"/>
        </w:rPr>
        <w:t>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3C412417">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9.其他情况终止合同</w:t>
      </w:r>
    </w:p>
    <w:p w14:paraId="62EC3636">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如果乙方破产或发生资不抵债的情况，甲方可在任何时候以书面通知终止合同，而不给对方补偿。该终止合同将不损害或影响甲方已经采取或将要采取的补救措施的权利。</w:t>
      </w:r>
    </w:p>
    <w:p w14:paraId="79ADC044">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b/>
          <w:color w:val="auto"/>
          <w:sz w:val="24"/>
          <w:szCs w:val="24"/>
          <w:highlight w:val="none"/>
        </w:rPr>
        <w:t xml:space="preserve">.2 </w:t>
      </w:r>
      <w:r>
        <w:rPr>
          <w:rFonts w:hint="eastAsia" w:ascii="宋体" w:hAnsi="宋体" w:eastAsia="宋体" w:cs="宋体"/>
          <w:color w:val="auto"/>
          <w:sz w:val="24"/>
          <w:szCs w:val="24"/>
          <w:highlight w:val="none"/>
        </w:rPr>
        <w:t>如果甲方认定乙方在竞标、采购和合同执行等过程中有腐败或欺诈行为，甲方有权在任何时候发出书面通知终止合同。</w:t>
      </w:r>
    </w:p>
    <w:p w14:paraId="1D873EBF">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如果合同履行过程中出现危害国家利益和社会公众利益的，甲方有权在任何时候发出书面通知终止合同。</w:t>
      </w:r>
    </w:p>
    <w:p w14:paraId="20A3B9C6">
      <w:pPr>
        <w:snapToGrid w:val="0"/>
        <w:spacing w:line="360" w:lineRule="auto"/>
        <w:ind w:firstLine="3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10.转包和分包</w:t>
      </w:r>
    </w:p>
    <w:p w14:paraId="2063CEA3">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10</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1</w:t>
      </w:r>
      <w:r>
        <w:rPr>
          <w:rFonts w:hint="eastAsia" w:ascii="宋体" w:hAnsi="宋体" w:eastAsia="宋体" w:cs="宋体"/>
          <w:color w:val="auto"/>
          <w:sz w:val="24"/>
          <w:szCs w:val="24"/>
          <w:highlight w:val="none"/>
        </w:rPr>
        <w:t>本项目仅允许对本项目非主体、非关键部分分包；</w:t>
      </w:r>
    </w:p>
    <w:p w14:paraId="2F8910B4">
      <w:pPr>
        <w:snapToGrid w:val="0"/>
        <w:spacing w:line="360" w:lineRule="auto"/>
        <w:ind w:firstLine="820" w:firstLineChars="342"/>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非</w:t>
      </w:r>
      <w:r>
        <w:rPr>
          <w:rFonts w:hint="eastAsia" w:ascii="宋体" w:hAnsi="宋体" w:eastAsia="宋体" w:cs="宋体"/>
          <w:color w:val="auto"/>
          <w:sz w:val="24"/>
          <w:szCs w:val="24"/>
          <w:highlight w:val="none"/>
        </w:rPr>
        <w:t>主体、</w:t>
      </w:r>
      <w:r>
        <w:rPr>
          <w:rFonts w:hint="eastAsia" w:ascii="宋体" w:hAnsi="宋体" w:cs="宋体"/>
          <w:color w:val="auto"/>
          <w:sz w:val="24"/>
          <w:szCs w:val="24"/>
          <w:highlight w:val="none"/>
          <w:lang w:val="en-US" w:eastAsia="zh-CN"/>
        </w:rPr>
        <w:t>非</w:t>
      </w:r>
      <w:r>
        <w:rPr>
          <w:rFonts w:hint="eastAsia" w:ascii="宋体" w:hAnsi="宋体" w:eastAsia="宋体" w:cs="宋体"/>
          <w:color w:val="auto"/>
          <w:sz w:val="24"/>
          <w:szCs w:val="24"/>
          <w:highlight w:val="none"/>
        </w:rPr>
        <w:t>关键部分：业务应用</w:t>
      </w:r>
    </w:p>
    <w:p w14:paraId="01C22B9E">
      <w:pPr>
        <w:snapToGrid w:val="0"/>
        <w:spacing w:line="360" w:lineRule="auto"/>
        <w:ind w:firstLine="300"/>
        <w:rPr>
          <w:rFonts w:hint="eastAsia"/>
          <w:color w:val="auto"/>
          <w:highlight w:val="none"/>
        </w:rPr>
      </w:pPr>
      <w:r>
        <w:rPr>
          <w:rFonts w:hint="eastAsia" w:ascii="宋体" w:hAnsi="宋体" w:cs="宋体"/>
          <w:color w:val="auto"/>
          <w:sz w:val="24"/>
          <w:szCs w:val="24"/>
          <w:highlight w:val="none"/>
          <w:lang w:eastAsia="zh-CN"/>
        </w:rPr>
        <w:t>10.2</w:t>
      </w:r>
      <w:r>
        <w:rPr>
          <w:rFonts w:hint="eastAsia" w:ascii="宋体" w:hAnsi="宋体" w:eastAsia="宋体" w:cs="宋体"/>
          <w:color w:val="auto"/>
          <w:sz w:val="24"/>
          <w:szCs w:val="24"/>
          <w:highlight w:val="none"/>
        </w:rPr>
        <w:t>本项目不得进行转包。</w:t>
      </w:r>
    </w:p>
    <w:p w14:paraId="6ACD592A">
      <w:pPr>
        <w:numPr>
          <w:ilvl w:val="0"/>
          <w:numId w:val="8"/>
        </w:numPr>
        <w:snapToGrid w:val="0"/>
        <w:spacing w:line="360" w:lineRule="auto"/>
        <w:ind w:firstLine="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合同的协商变更与修改</w:t>
      </w:r>
    </w:p>
    <w:p w14:paraId="2CA7409A">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11.1 合同双方不得擅自变更、中止或者终止合同。合同继续履行将损害国家利益和社会公共利益的，双方应当变更、中止或者终止合同。有过错的一方应当承担赔偿责任，双方都有过错的，各自承担相应的责任</w:t>
      </w:r>
      <w:r>
        <w:rPr>
          <w:rFonts w:hint="eastAsia" w:ascii="宋体" w:hAnsi="宋体" w:eastAsia="宋体" w:cs="宋体"/>
          <w:color w:val="auto"/>
          <w:sz w:val="24"/>
          <w:szCs w:val="24"/>
          <w:highlight w:val="none"/>
        </w:rPr>
        <w:t>。</w:t>
      </w:r>
    </w:p>
    <w:p w14:paraId="55C05352">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12.争端的解决</w:t>
      </w:r>
    </w:p>
    <w:p w14:paraId="0AAFFDBA">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 xml:space="preserve"> 合同实施或与合同有关的一切争端应依据《中华人民共和国民法典》并通过双方协商解决。如果协商开始后还不能解决，提交宁波仲裁委员会仲裁。</w:t>
      </w:r>
    </w:p>
    <w:p w14:paraId="657E5A73">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b/>
          <w:color w:val="auto"/>
          <w:sz w:val="24"/>
          <w:szCs w:val="24"/>
          <w:highlight w:val="none"/>
        </w:rPr>
        <w:t xml:space="preserve">.2 </w:t>
      </w:r>
      <w:r>
        <w:rPr>
          <w:rFonts w:hint="eastAsia" w:ascii="宋体" w:hAnsi="宋体" w:eastAsia="宋体" w:cs="宋体"/>
          <w:color w:val="auto"/>
          <w:sz w:val="24"/>
          <w:szCs w:val="24"/>
          <w:highlight w:val="none"/>
        </w:rPr>
        <w:t>仲裁或诉讼裁决应为最终裁决，对双方均有约束力。除另有裁决外，仲裁或诉讼费均应由败诉方负担。</w:t>
      </w:r>
    </w:p>
    <w:p w14:paraId="46289154">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在仲裁或诉讼期间，除正在进行仲裁或诉讼的部分外，合同其他部分应继续执行。</w:t>
      </w:r>
    </w:p>
    <w:p w14:paraId="73EED292">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13.通知</w:t>
      </w:r>
    </w:p>
    <w:p w14:paraId="149B97D7">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13.1</w:t>
      </w:r>
      <w:r>
        <w:rPr>
          <w:rFonts w:hint="eastAsia" w:ascii="宋体" w:hAnsi="宋体" w:eastAsia="宋体" w:cs="宋体"/>
          <w:color w:val="auto"/>
          <w:sz w:val="24"/>
          <w:szCs w:val="24"/>
          <w:highlight w:val="none"/>
        </w:rPr>
        <w:t>本合同任何一方给另一方的通知，都应以书面或传真的形式发送，而另一方应以书面或传真形式确认，回复对方。</w:t>
      </w:r>
    </w:p>
    <w:p w14:paraId="20536745">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b/>
          <w:color w:val="auto"/>
          <w:sz w:val="24"/>
          <w:szCs w:val="24"/>
          <w:highlight w:val="none"/>
        </w:rPr>
        <w:t xml:space="preserve">.2 </w:t>
      </w:r>
      <w:r>
        <w:rPr>
          <w:rFonts w:hint="eastAsia" w:ascii="宋体" w:hAnsi="宋体" w:eastAsia="宋体" w:cs="宋体"/>
          <w:color w:val="auto"/>
          <w:sz w:val="24"/>
          <w:szCs w:val="24"/>
          <w:highlight w:val="none"/>
        </w:rPr>
        <w:t>通知以送到日期或通知书的生效日起为生效日期，两者中以较晚的一个日期为准。</w:t>
      </w:r>
    </w:p>
    <w:p w14:paraId="5529EAAD">
      <w:pPr>
        <w:snapToGrid w:val="0"/>
        <w:spacing w:line="360" w:lineRule="auto"/>
        <w:ind w:firstLine="300"/>
        <w:rPr>
          <w:rFonts w:hint="eastAsia" w:ascii="宋体" w:hAnsi="宋体" w:eastAsia="宋体" w:cs="宋体"/>
          <w:b/>
          <w:color w:val="auto"/>
          <w:sz w:val="24"/>
          <w:szCs w:val="24"/>
          <w:highlight w:val="none"/>
        </w:rPr>
      </w:pPr>
    </w:p>
    <w:p w14:paraId="280AD287">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w:t>
      </w:r>
      <w:r>
        <w:rPr>
          <w:rFonts w:hint="eastAsia" w:ascii="宋体" w:hAnsi="宋体" w:eastAsia="宋体" w:cs="宋体"/>
          <w:color w:val="auto"/>
          <w:sz w:val="24"/>
          <w:szCs w:val="24"/>
          <w:highlight w:val="none"/>
        </w:rPr>
        <w:t>鉴于甲方将按照本合同向乙方支付款项，乙方在此保证全部按照合同的规定向甲方提供服务并修补缺陷。</w:t>
      </w:r>
    </w:p>
    <w:p w14:paraId="5CF44838">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鉴于乙方将按本合同规定提供服务并修补缺陷，甲方在此保证按照合同规定的时间和方式向甲方支付合同价或其它按合同应支付的金额。</w:t>
      </w:r>
    </w:p>
    <w:p w14:paraId="0A270685">
      <w:pPr>
        <w:snapToGrid w:val="0"/>
        <w:spacing w:line="360" w:lineRule="auto"/>
        <w:ind w:firstLine="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15.保密、权利和安全责任</w:t>
      </w:r>
    </w:p>
    <w:p w14:paraId="3EED6354">
      <w:pPr>
        <w:snapToGrid w:val="0"/>
        <w:spacing w:line="360" w:lineRule="auto"/>
        <w:ind w:firstLine="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对甲方和使用单位提供的资料、信息、数据，乙方有保密的义务。对乙方提供涉及的技术资料、代码、信息、数据，甲方有保密的义务。乙方妥善做好甲方和使用单位所提供的项目文件资料的保存、回收及保密工作。未征得甲方同意，乙方不得公开涉及甲方和使用单位的专利、专有技术或其他需保密的资料，不得复制与工作相关的数据与信息，不得泄露与本合同业务有关的技术、商务等秘密，违者应对此造成的后果承担法律责任。对于用户数据和服务结果数据的保管、访问，乙方无关人员不能访问；必须访问的人员，乙方要进行严格的访问控制；管理用户数据的人员应由乙方严格筛选。乙方保证数据不能被授权用户以外的任何人访问。甲乙双方和使用单位同意保守在缔结和履行合同过程中获知的对方保密信息，除一方履行合同义务的必要或法律、法规规定应披露的之外，未经甲方和使用单位书面同意，不得以任何方式向第三人披露和不正当使用，否则，应当赔偿因泄露保密信息给对方造成的损失。</w:t>
      </w:r>
    </w:p>
    <w:p w14:paraId="3C33221F">
      <w:pPr>
        <w:snapToGrid w:val="0"/>
        <w:spacing w:line="360" w:lineRule="auto"/>
        <w:ind w:firstLine="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16、其他约定事项：</w:t>
      </w:r>
    </w:p>
    <w:p w14:paraId="22E8AF6B">
      <w:pPr>
        <w:snapToGrid w:val="0"/>
        <w:spacing w:line="360" w:lineRule="auto"/>
        <w:ind w:firstLine="3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17、本合同未尽事宜，遵照《中华人民共和国民法典》有关条文执行。</w:t>
      </w:r>
    </w:p>
    <w:p w14:paraId="49C618FA">
      <w:pPr>
        <w:snapToGrid w:val="0"/>
        <w:spacing w:line="360" w:lineRule="auto"/>
        <w:ind w:firstLine="3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18、</w:t>
      </w:r>
      <w:r>
        <w:rPr>
          <w:rFonts w:hint="eastAsia" w:ascii="宋体" w:hAnsi="宋体" w:eastAsia="宋体" w:cs="宋体"/>
          <w:color w:val="auto"/>
          <w:sz w:val="24"/>
          <w:szCs w:val="24"/>
          <w:highlight w:val="none"/>
          <w:lang w:val="zh-CN"/>
        </w:rPr>
        <w:t>合同经双方授权代表签署，买卖双方加盖印章之后生效。</w:t>
      </w:r>
    </w:p>
    <w:p w14:paraId="223E5DB4">
      <w:pPr>
        <w:snapToGrid w:val="0"/>
        <w:spacing w:line="360" w:lineRule="auto"/>
        <w:ind w:firstLine="3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19、</w:t>
      </w:r>
      <w:r>
        <w:rPr>
          <w:rFonts w:hint="eastAsia" w:ascii="宋体" w:hAnsi="宋体" w:eastAsia="宋体" w:cs="宋体"/>
          <w:color w:val="auto"/>
          <w:sz w:val="24"/>
          <w:szCs w:val="24"/>
          <w:highlight w:val="none"/>
          <w:lang w:val="zh-CN"/>
        </w:rPr>
        <w:t>本合同一式</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份，双方各执</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份。</w:t>
      </w:r>
    </w:p>
    <w:p w14:paraId="534380C9">
      <w:pPr>
        <w:snapToGrid w:val="0"/>
        <w:spacing w:line="360" w:lineRule="auto"/>
        <w:ind w:firstLine="300"/>
        <w:rPr>
          <w:rFonts w:hint="eastAsia" w:ascii="宋体" w:hAnsi="宋体" w:eastAsia="宋体" w:cs="宋体"/>
          <w:color w:val="auto"/>
          <w:sz w:val="24"/>
          <w:szCs w:val="24"/>
          <w:highlight w:val="none"/>
          <w:lang w:val="zh-CN"/>
        </w:rPr>
      </w:pPr>
    </w:p>
    <w:p w14:paraId="0AEDC6DA">
      <w:pPr>
        <w:snapToGrid w:val="0"/>
        <w:spacing w:line="360" w:lineRule="auto"/>
        <w:ind w:firstLine="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zh-CN"/>
        </w:rPr>
        <w:t xml:space="preserve">  方：                          </w:t>
      </w: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zh-CN"/>
        </w:rPr>
        <w:t xml:space="preserve">  方：              </w:t>
      </w:r>
    </w:p>
    <w:p w14:paraId="18B05E3B">
      <w:pPr>
        <w:snapToGrid w:val="0"/>
        <w:spacing w:line="360" w:lineRule="auto"/>
        <w:ind w:firstLine="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名  称：（印章）                  名  称：（印章）</w:t>
      </w:r>
    </w:p>
    <w:p w14:paraId="3306A1BF">
      <w:pPr>
        <w:snapToGrid w:val="0"/>
        <w:spacing w:line="360" w:lineRule="auto"/>
        <w:ind w:firstLine="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全权代表（签字）：                全权代表（签字）： </w:t>
      </w:r>
    </w:p>
    <w:p w14:paraId="651797A8">
      <w:pPr>
        <w:snapToGrid w:val="0"/>
        <w:spacing w:line="360" w:lineRule="auto"/>
        <w:ind w:firstLine="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    址：                        地    址：</w:t>
      </w:r>
    </w:p>
    <w:p w14:paraId="3B510C4A">
      <w:pPr>
        <w:snapToGrid w:val="0"/>
        <w:spacing w:line="360" w:lineRule="auto"/>
        <w:ind w:firstLine="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                        邮政编码：</w:t>
      </w:r>
    </w:p>
    <w:p w14:paraId="60D0B5D7">
      <w:pPr>
        <w:snapToGrid w:val="0"/>
        <w:spacing w:line="360" w:lineRule="auto"/>
        <w:ind w:firstLine="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电    话：                        电    话： </w:t>
      </w:r>
    </w:p>
    <w:p w14:paraId="6ED40269">
      <w:pPr>
        <w:snapToGrid w:val="0"/>
        <w:spacing w:line="360" w:lineRule="auto"/>
        <w:ind w:firstLine="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    真：                        传    真：</w:t>
      </w:r>
    </w:p>
    <w:p w14:paraId="05A0E811">
      <w:pPr>
        <w:snapToGrid w:val="0"/>
        <w:spacing w:line="360" w:lineRule="auto"/>
        <w:ind w:firstLine="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开户银行：                        开户银行：       </w:t>
      </w:r>
    </w:p>
    <w:p w14:paraId="68D69461">
      <w:pPr>
        <w:snapToGrid w:val="0"/>
        <w:spacing w:line="360" w:lineRule="auto"/>
        <w:ind w:firstLine="300"/>
        <w:rPr>
          <w:rFonts w:hint="eastAsia" w:ascii="宋体" w:hAnsi="宋体" w:eastAsia="宋体" w:cs="宋体"/>
          <w:color w:val="auto"/>
          <w:sz w:val="24"/>
          <w:szCs w:val="24"/>
          <w:highlight w:val="none"/>
          <w:lang w:val="zh-CN"/>
        </w:rPr>
        <w:sectPr>
          <w:headerReference r:id="rId8" w:type="first"/>
          <w:footerReference r:id="rId10" w:type="first"/>
          <w:headerReference r:id="rId7" w:type="default"/>
          <w:footerReference r:id="rId9"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eastAsia="宋体" w:cs="宋体"/>
          <w:color w:val="auto"/>
          <w:sz w:val="24"/>
          <w:szCs w:val="24"/>
          <w:highlight w:val="none"/>
          <w:lang w:val="zh-CN"/>
        </w:rPr>
        <w:t>帐    号：                        帐    号：</w:t>
      </w:r>
    </w:p>
    <w:p w14:paraId="3F402776">
      <w:pPr>
        <w:snapToGrid w:val="0"/>
        <w:spacing w:line="240" w:lineRule="auto"/>
        <w:ind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p>
    <w:p w14:paraId="0D1F1A83">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保密协议</w:t>
      </w:r>
    </w:p>
    <w:p w14:paraId="70D953F7">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地址：</w:t>
      </w:r>
    </w:p>
    <w:p w14:paraId="36E59138">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                      地址： </w:t>
      </w:r>
    </w:p>
    <w:p w14:paraId="7B9AE20C">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本保密协议（以下称“本协议”）由甲乙双方于</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签署。</w:t>
      </w:r>
    </w:p>
    <w:p w14:paraId="69C90002">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为达成合作，双方本着平等互利的原则经友好协议，达成以下协议：</w:t>
      </w:r>
    </w:p>
    <w:p w14:paraId="16A41DC4">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一、保密内容</w:t>
      </w:r>
    </w:p>
    <w:p w14:paraId="6F9447C5">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本协议所涉及的乙方在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项目中标后服务过程中，所获知的有关本项目信息均负有保密义务，未经甲方书面许可，乙方不得以任何方式将其泄露给第三方，否则应承担相应违约法律并赔偿由此造成的损失。</w:t>
      </w:r>
    </w:p>
    <w:p w14:paraId="3FB7A9CB">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二、保密工作</w:t>
      </w:r>
    </w:p>
    <w:p w14:paraId="7A8D9500">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为了进一步加强保密管理，乙方从加强教育、提高认识、强化管理、严格纪律等多方面入手，全面加强保密工作。</w:t>
      </w:r>
    </w:p>
    <w:p w14:paraId="1CEFC254">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加强保密管理，严格落实保密制度。把保密纪律作为政治纪律和政治规矩严格自觉遵守，严格执行保密工作制度，严格执行《保密法》等保密工作法律法规、严格依法依规做好保密管理工作，做到全覆盖、无死角、无盲区、无空白点。</w:t>
      </w:r>
    </w:p>
    <w:p w14:paraId="70D0B1A4">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②常态化进行保密教育和检查。开展全方位、多层次的保密形势、保密知识、保密法纪宣传教育，特别是保密警示教育，不断</w:t>
      </w:r>
      <w:r>
        <w:rPr>
          <w:rFonts w:hint="eastAsia" w:ascii="宋体" w:hAnsi="宋体" w:cs="宋体"/>
          <w:color w:val="auto"/>
          <w:sz w:val="24"/>
          <w:szCs w:val="24"/>
          <w:highlight w:val="none"/>
          <w:lang w:eastAsia="zh-CN"/>
        </w:rPr>
        <w:t>增强</w:t>
      </w:r>
      <w:r>
        <w:rPr>
          <w:rFonts w:hint="eastAsia" w:ascii="宋体" w:hAnsi="宋体" w:eastAsia="宋体" w:cs="宋体"/>
          <w:color w:val="auto"/>
          <w:sz w:val="24"/>
          <w:szCs w:val="24"/>
          <w:highlight w:val="none"/>
        </w:rPr>
        <w:t>保密安全意识，巩牢筑牢保密安全防线。对照保密制度和保密要求，认真查找保密工作存在的问题和薄弱环节，切实消除隐患。</w:t>
      </w:r>
    </w:p>
    <w:p w14:paraId="70336C25">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③压实保密责任，切实增强做好保密工作责任心、使命感。牢固树立没有与保密工作无关的人和事的思想，要切实</w:t>
      </w:r>
      <w:r>
        <w:rPr>
          <w:rFonts w:hint="eastAsia" w:ascii="宋体" w:hAnsi="宋体" w:cs="宋体"/>
          <w:color w:val="auto"/>
          <w:sz w:val="24"/>
          <w:szCs w:val="24"/>
          <w:highlight w:val="none"/>
          <w:lang w:eastAsia="zh-CN"/>
        </w:rPr>
        <w:t>增强</w:t>
      </w:r>
      <w:r>
        <w:rPr>
          <w:rFonts w:hint="eastAsia" w:ascii="宋体" w:hAnsi="宋体" w:eastAsia="宋体" w:cs="宋体"/>
          <w:color w:val="auto"/>
          <w:sz w:val="24"/>
          <w:szCs w:val="24"/>
          <w:highlight w:val="none"/>
        </w:rPr>
        <w:t>责任意识，做到管好自己的人，看好自己的门，与本公司共同抓好保密工作。与员工签订保密责任书，做到全覆盖。严明保密纪律，对造成失泄密的严肃处理，后果严重的依法处理。</w:t>
      </w:r>
    </w:p>
    <w:p w14:paraId="3D577C00">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三、本协议保密有效期为永久。</w:t>
      </w:r>
    </w:p>
    <w:p w14:paraId="6E726BDF">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四、本协议未尽事项，经双方协商一致可签订补充协议，补充协议与本协议具有同等效力。本协议一式两份，甲乙双方各执一份。本保密协议经签字盖章后生效。</w:t>
      </w:r>
    </w:p>
    <w:p w14:paraId="2C5C089E">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乙方：（盖章）</w:t>
      </w:r>
    </w:p>
    <w:p w14:paraId="7ABAE0DF">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签约代表：                                签约代表：</w:t>
      </w:r>
    </w:p>
    <w:p w14:paraId="55873C3B">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259113D2">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时间：</w:t>
      </w:r>
    </w:p>
    <w:p w14:paraId="7218076A">
      <w:pPr>
        <w:rPr>
          <w:rFonts w:hint="eastAsia" w:ascii="宋体" w:hAnsi="宋体" w:eastAsia="宋体" w:cs="宋体"/>
          <w:b/>
          <w:color w:val="auto"/>
          <w:sz w:val="24"/>
          <w:szCs w:val="24"/>
          <w:highlight w:val="none"/>
        </w:rPr>
      </w:pPr>
      <w:bookmarkStart w:id="447" w:name="_Toc14949"/>
      <w:bookmarkStart w:id="448" w:name="_Toc12182"/>
      <w:r>
        <w:rPr>
          <w:rFonts w:hint="eastAsia" w:ascii="宋体" w:hAnsi="宋体" w:eastAsia="宋体" w:cs="宋体"/>
          <w:b/>
          <w:color w:val="auto"/>
          <w:sz w:val="24"/>
          <w:szCs w:val="24"/>
          <w:highlight w:val="none"/>
        </w:rPr>
        <w:br w:type="page"/>
      </w:r>
    </w:p>
    <w:p w14:paraId="7436C963">
      <w:pPr>
        <w:pStyle w:val="2"/>
        <w:bidi w:val="0"/>
        <w:rPr>
          <w:rFonts w:hint="eastAsia"/>
          <w:color w:val="auto"/>
          <w:highlight w:val="none"/>
        </w:rPr>
      </w:pPr>
      <w:bookmarkStart w:id="449" w:name="_Toc1639"/>
      <w:r>
        <w:rPr>
          <w:rFonts w:hint="eastAsia"/>
          <w:color w:val="auto"/>
          <w:highlight w:val="none"/>
        </w:rPr>
        <w:t>第六部分</w:t>
      </w:r>
      <w:bookmarkEnd w:id="442"/>
      <w:r>
        <w:rPr>
          <w:rFonts w:hint="eastAsia"/>
          <w:color w:val="auto"/>
          <w:highlight w:val="none"/>
        </w:rPr>
        <w:t xml:space="preserve"> </w:t>
      </w:r>
      <w:bookmarkEnd w:id="443"/>
      <w:r>
        <w:rPr>
          <w:rFonts w:hint="eastAsia"/>
          <w:color w:val="auto"/>
          <w:highlight w:val="none"/>
        </w:rPr>
        <w:t>应提交的有关格式范例</w:t>
      </w:r>
      <w:bookmarkEnd w:id="447"/>
      <w:bookmarkEnd w:id="448"/>
      <w:bookmarkEnd w:id="449"/>
    </w:p>
    <w:p w14:paraId="31826B91">
      <w:pPr>
        <w:spacing w:line="360" w:lineRule="auto"/>
        <w:jc w:val="center"/>
        <w:outlineLvl w:val="9"/>
        <w:rPr>
          <w:rFonts w:hint="eastAsia" w:ascii="宋体" w:hAnsi="宋体" w:eastAsia="宋体" w:cs="宋体"/>
          <w:b/>
          <w:color w:val="auto"/>
          <w:kern w:val="0"/>
          <w:sz w:val="24"/>
          <w:szCs w:val="24"/>
          <w:highlight w:val="none"/>
        </w:rPr>
      </w:pPr>
    </w:p>
    <w:p w14:paraId="479D027D">
      <w:pPr>
        <w:spacing w:line="360" w:lineRule="auto"/>
        <w:jc w:val="center"/>
        <w:outlineLvl w:val="1"/>
        <w:rPr>
          <w:rFonts w:hint="eastAsia" w:ascii="宋体" w:hAnsi="宋体" w:eastAsia="宋体" w:cs="宋体"/>
          <w:b/>
          <w:color w:val="auto"/>
          <w:kern w:val="0"/>
          <w:sz w:val="24"/>
          <w:szCs w:val="24"/>
          <w:highlight w:val="none"/>
        </w:rPr>
      </w:pPr>
      <w:bookmarkStart w:id="450" w:name="_Toc29848"/>
      <w:r>
        <w:rPr>
          <w:rFonts w:hint="eastAsia" w:ascii="宋体" w:hAnsi="宋体" w:eastAsia="宋体" w:cs="宋体"/>
          <w:b/>
          <w:color w:val="auto"/>
          <w:kern w:val="0"/>
          <w:sz w:val="24"/>
          <w:szCs w:val="24"/>
          <w:highlight w:val="none"/>
        </w:rPr>
        <w:t>资格文件部分</w:t>
      </w:r>
      <w:bookmarkEnd w:id="450"/>
    </w:p>
    <w:p w14:paraId="1567FDC7">
      <w:pPr>
        <w:snapToGrid w:val="0"/>
        <w:spacing w:line="360" w:lineRule="auto"/>
        <w:ind w:right="48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一、有效的企业法人营业执照（或事业法人登记证）、其他组织（个体工商户）的营业执照或者民办非企业单位登记证书，供应商如果有名称变更的，应提供由行政主管部门出具的变更证明文件</w:t>
      </w:r>
      <w:r>
        <w:rPr>
          <w:rFonts w:hint="eastAsia" w:ascii="宋体" w:hAnsi="宋体" w:eastAsia="宋体" w:cs="宋体"/>
          <w:b/>
          <w:color w:val="auto"/>
          <w:kern w:val="0"/>
          <w:sz w:val="24"/>
          <w:szCs w:val="24"/>
          <w:highlight w:val="none"/>
          <w:lang w:val="en-US" w:eastAsia="zh-CN"/>
        </w:rPr>
        <w:t xml:space="preserve"> </w:t>
      </w:r>
    </w:p>
    <w:p w14:paraId="5C4B37CA">
      <w:pP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160A596D">
      <w:pPr>
        <w:snapToGrid w:val="0"/>
        <w:spacing w:line="360" w:lineRule="auto"/>
        <w:ind w:right="48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w:t>
      </w:r>
      <w:r>
        <w:rPr>
          <w:rFonts w:hint="eastAsia" w:ascii="宋体" w:hAnsi="宋体" w:eastAsia="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符合参加政府采购活动应当具备的一般条件的承诺函</w:t>
      </w:r>
    </w:p>
    <w:p w14:paraId="3A664E95">
      <w:pPr>
        <w:snapToGrid w:val="0"/>
        <w:spacing w:line="360" w:lineRule="auto"/>
        <w:rPr>
          <w:rFonts w:hint="eastAsia" w:ascii="宋体" w:hAnsi="宋体" w:eastAsia="宋体" w:cs="宋体"/>
          <w:color w:val="auto"/>
          <w:sz w:val="24"/>
          <w:szCs w:val="24"/>
          <w:highlight w:val="none"/>
          <w:lang w:val="en-US" w:eastAsia="zh-CN"/>
        </w:rPr>
      </w:pPr>
    </w:p>
    <w:p w14:paraId="16BC2B16">
      <w:pPr>
        <w:snapToGri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宁波市鄞州区数据服务中心</w:t>
      </w:r>
      <w:r>
        <w:rPr>
          <w:rFonts w:hint="eastAsia" w:ascii="宋体" w:hAnsi="宋体" w:eastAsia="宋体" w:cs="宋体"/>
          <w:color w:val="auto"/>
          <w:sz w:val="24"/>
          <w:szCs w:val="24"/>
          <w:highlight w:val="none"/>
          <w:u w:val="single"/>
          <w:lang w:val="en-US" w:eastAsia="zh-CN"/>
        </w:rPr>
        <w:t>、宁波中基国际招标有限公司</w:t>
      </w:r>
      <w:r>
        <w:rPr>
          <w:rFonts w:hint="eastAsia" w:ascii="宋体" w:hAnsi="宋体" w:eastAsia="宋体" w:cs="宋体"/>
          <w:color w:val="auto"/>
          <w:sz w:val="24"/>
          <w:szCs w:val="24"/>
          <w:highlight w:val="none"/>
        </w:rPr>
        <w:t>：</w:t>
      </w:r>
    </w:p>
    <w:p w14:paraId="04DCB0E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项目编号+项目名称）</w:t>
      </w:r>
      <w:r>
        <w:rPr>
          <w:rFonts w:hint="eastAsia" w:ascii="宋体" w:hAnsi="宋体" w:eastAsia="宋体" w:cs="宋体"/>
          <w:color w:val="auto"/>
          <w:sz w:val="24"/>
          <w:szCs w:val="24"/>
          <w:highlight w:val="none"/>
          <w:lang w:val="en-US" w:eastAsia="zh-CN"/>
        </w:rPr>
        <w:t xml:space="preserve">的 </w:t>
      </w:r>
      <w:r>
        <w:rPr>
          <w:rFonts w:hint="eastAsia" w:ascii="宋体" w:hAnsi="宋体" w:eastAsia="宋体" w:cs="宋体"/>
          <w:color w:val="auto"/>
          <w:sz w:val="24"/>
          <w:szCs w:val="24"/>
          <w:highlight w:val="none"/>
        </w:rPr>
        <w:t>政府采购活动，郑重承诺：</w:t>
      </w:r>
    </w:p>
    <w:p w14:paraId="72D8EAAD">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3E85515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733D4D4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167A3E9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693DF98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42FD5BC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41CB741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2616250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w:t>
      </w:r>
      <w:r>
        <w:rPr>
          <w:rFonts w:hint="eastAsia" w:ascii="宋体" w:hAnsi="宋体" w:eastAsia="宋体" w:cs="宋体"/>
          <w:color w:val="auto"/>
          <w:sz w:val="24"/>
          <w:szCs w:val="24"/>
          <w:highlight w:val="none"/>
          <w:lang w:val="en-US" w:eastAsia="zh-CN"/>
        </w:rPr>
        <w:t>重大税收违法失信主体</w:t>
      </w:r>
      <w:r>
        <w:rPr>
          <w:rFonts w:hint="eastAsia" w:ascii="宋体" w:hAnsi="宋体" w:eastAsia="宋体" w:cs="宋体"/>
          <w:color w:val="auto"/>
          <w:sz w:val="24"/>
          <w:szCs w:val="24"/>
          <w:highlight w:val="none"/>
        </w:rPr>
        <w:t>、政府采购严重违法失信行为记录名单。</w:t>
      </w:r>
    </w:p>
    <w:p w14:paraId="21F68A9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744C4FF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5F9EC76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10FBB469">
      <w:pPr>
        <w:snapToGrid w:val="0"/>
        <w:spacing w:line="360" w:lineRule="auto"/>
        <w:ind w:firstLine="5520" w:firstLineChars="2300"/>
        <w:rPr>
          <w:rFonts w:hint="eastAsia" w:ascii="宋体" w:hAnsi="宋体" w:eastAsia="宋体" w:cs="宋体"/>
          <w:color w:val="auto"/>
          <w:kern w:val="0"/>
          <w:sz w:val="24"/>
          <w:szCs w:val="24"/>
          <w:highlight w:val="none"/>
          <w:lang w:val="zh-CN"/>
        </w:rPr>
      </w:pPr>
    </w:p>
    <w:p w14:paraId="0D4DA46F">
      <w:pPr>
        <w:snapToGrid w:val="0"/>
        <w:spacing w:line="360" w:lineRule="auto"/>
        <w:ind w:firstLine="5520" w:firstLineChars="2300"/>
        <w:rPr>
          <w:rFonts w:hint="eastAsia" w:ascii="宋体" w:hAnsi="宋体" w:eastAsia="宋体" w:cs="宋体"/>
          <w:color w:val="auto"/>
          <w:kern w:val="0"/>
          <w:sz w:val="24"/>
          <w:szCs w:val="24"/>
          <w:highlight w:val="none"/>
          <w:lang w:val="zh-CN"/>
        </w:rPr>
      </w:pPr>
    </w:p>
    <w:p w14:paraId="3AA8DE57">
      <w:pPr>
        <w:snapToGrid w:val="0"/>
        <w:spacing w:line="360" w:lineRule="auto"/>
        <w:ind w:firstLine="5520" w:firstLineChars="23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w:t>
      </w:r>
      <w:r>
        <w:rPr>
          <w:rFonts w:hint="eastAsia" w:ascii="宋体" w:hAnsi="宋体" w:eastAsia="宋体" w:cs="宋体"/>
          <w:color w:val="auto"/>
          <w:kern w:val="0"/>
          <w:sz w:val="24"/>
          <w:szCs w:val="24"/>
          <w:highlight w:val="none"/>
          <w:lang w:val="en-US" w:eastAsia="zh-CN"/>
        </w:rPr>
        <w:t>签章</w:t>
      </w:r>
      <w:r>
        <w:rPr>
          <w:rFonts w:hint="eastAsia" w:ascii="宋体" w:hAnsi="宋体" w:eastAsia="宋体" w:cs="宋体"/>
          <w:color w:val="auto"/>
          <w:kern w:val="0"/>
          <w:sz w:val="24"/>
          <w:szCs w:val="24"/>
          <w:highlight w:val="none"/>
          <w:lang w:val="zh-CN"/>
        </w:rPr>
        <w:t>)：</w:t>
      </w:r>
    </w:p>
    <w:p w14:paraId="31B4E289">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32822201">
      <w:pPr>
        <w:snapToGrid w:val="0"/>
        <w:spacing w:line="360" w:lineRule="auto"/>
        <w:ind w:right="480"/>
        <w:jc w:val="center"/>
        <w:rPr>
          <w:rFonts w:hint="eastAsia" w:ascii="宋体" w:hAnsi="宋体" w:eastAsia="宋体" w:cs="宋体"/>
          <w:b/>
          <w:color w:val="auto"/>
          <w:kern w:val="0"/>
          <w:sz w:val="24"/>
          <w:szCs w:val="24"/>
          <w:highlight w:val="none"/>
        </w:rPr>
      </w:pPr>
    </w:p>
    <w:p w14:paraId="01374F62">
      <w:pPr>
        <w:snapToGrid w:val="0"/>
        <w:spacing w:line="360" w:lineRule="auto"/>
        <w:ind w:right="480"/>
        <w:jc w:val="center"/>
        <w:rPr>
          <w:rFonts w:hint="eastAsia" w:ascii="宋体" w:hAnsi="宋体" w:eastAsia="宋体" w:cs="宋体"/>
          <w:b/>
          <w:color w:val="auto"/>
          <w:kern w:val="0"/>
          <w:sz w:val="24"/>
          <w:szCs w:val="24"/>
          <w:highlight w:val="none"/>
        </w:rPr>
      </w:pPr>
    </w:p>
    <w:p w14:paraId="0749374B">
      <w:pPr>
        <w:snapToGrid w:val="0"/>
        <w:spacing w:line="360" w:lineRule="auto"/>
        <w:ind w:right="480"/>
        <w:jc w:val="center"/>
        <w:rPr>
          <w:rFonts w:hint="eastAsia" w:ascii="宋体" w:hAnsi="宋体" w:eastAsia="宋体" w:cs="宋体"/>
          <w:b/>
          <w:color w:val="auto"/>
          <w:kern w:val="0"/>
          <w:sz w:val="24"/>
          <w:szCs w:val="24"/>
          <w:highlight w:val="none"/>
        </w:rPr>
      </w:pPr>
    </w:p>
    <w:p w14:paraId="59A58743">
      <w:pPr>
        <w:rPr>
          <w:rFonts w:hint="eastAsia" w:ascii="宋体" w:hAnsi="宋体" w:eastAsia="宋体" w:cs="宋体"/>
          <w:color w:val="auto"/>
          <w:sz w:val="24"/>
          <w:szCs w:val="24"/>
          <w:highlight w:val="none"/>
        </w:rPr>
      </w:pPr>
    </w:p>
    <w:p w14:paraId="151990D3">
      <w:pPr>
        <w:snapToGrid w:val="0"/>
        <w:spacing w:line="360" w:lineRule="auto"/>
        <w:ind w:right="480"/>
        <w:jc w:val="center"/>
        <w:rPr>
          <w:rFonts w:hint="eastAsia" w:ascii="宋体" w:hAnsi="宋体" w:eastAsia="宋体" w:cs="宋体"/>
          <w:b/>
          <w:color w:val="auto"/>
          <w:kern w:val="0"/>
          <w:sz w:val="24"/>
          <w:szCs w:val="24"/>
          <w:highlight w:val="none"/>
        </w:rPr>
      </w:pPr>
    </w:p>
    <w:p w14:paraId="5F337F06">
      <w:pPr>
        <w:snapToGrid w:val="0"/>
        <w:spacing w:line="360" w:lineRule="auto"/>
        <w:ind w:right="480"/>
        <w:jc w:val="center"/>
        <w:rPr>
          <w:rFonts w:hint="eastAsia" w:ascii="宋体" w:hAnsi="宋体" w:eastAsia="宋体" w:cs="宋体"/>
          <w:b/>
          <w:color w:val="auto"/>
          <w:kern w:val="0"/>
          <w:sz w:val="24"/>
          <w:szCs w:val="24"/>
          <w:highlight w:val="none"/>
        </w:rPr>
      </w:pPr>
    </w:p>
    <w:p w14:paraId="7A1BEFE7">
      <w:pP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br w:type="page"/>
      </w:r>
    </w:p>
    <w:p w14:paraId="657E029B">
      <w:pPr>
        <w:widowControl/>
        <w:spacing w:line="360" w:lineRule="auto"/>
        <w:ind w:firstLine="482" w:firstLineChars="20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val="en-US" w:eastAsia="zh-CN"/>
        </w:rPr>
        <w:t>三</w:t>
      </w:r>
      <w:r>
        <w:rPr>
          <w:rFonts w:hint="eastAsia" w:ascii="宋体" w:hAnsi="宋体" w:eastAsia="宋体" w:cs="宋体"/>
          <w:b/>
          <w:color w:val="auto"/>
          <w:kern w:val="0"/>
          <w:sz w:val="24"/>
          <w:szCs w:val="24"/>
          <w:highlight w:val="none"/>
        </w:rPr>
        <w:t>、联合协议</w:t>
      </w:r>
    </w:p>
    <w:p w14:paraId="02E8FBFA">
      <w:pPr>
        <w:widowControl/>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[以联合体形式投标的，提供联合协议（附件</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）；投标人不以联合体形式投标的，则不需要提供]</w:t>
      </w:r>
    </w:p>
    <w:p w14:paraId="5A2B107F">
      <w:pPr>
        <w:snapToGrid w:val="0"/>
        <w:spacing w:line="360" w:lineRule="auto"/>
        <w:ind w:right="480"/>
        <w:jc w:val="center"/>
        <w:rPr>
          <w:rFonts w:hint="eastAsia" w:ascii="宋体" w:hAnsi="宋体" w:eastAsia="宋体" w:cs="宋体"/>
          <w:b/>
          <w:color w:val="auto"/>
          <w:kern w:val="0"/>
          <w:sz w:val="24"/>
          <w:szCs w:val="24"/>
          <w:highlight w:val="none"/>
        </w:rPr>
      </w:pPr>
    </w:p>
    <w:p w14:paraId="3A74F559">
      <w:pPr>
        <w:snapToGrid w:val="0"/>
        <w:spacing w:line="360" w:lineRule="auto"/>
        <w:ind w:right="48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四</w:t>
      </w:r>
      <w:r>
        <w:rPr>
          <w:rFonts w:hint="eastAsia" w:ascii="宋体" w:hAnsi="宋体" w:eastAsia="宋体" w:cs="宋体"/>
          <w:b/>
          <w:color w:val="auto"/>
          <w:kern w:val="0"/>
          <w:sz w:val="24"/>
          <w:szCs w:val="24"/>
          <w:highlight w:val="none"/>
        </w:rPr>
        <w:t>、落实政府采购政策需满足的资格要求</w:t>
      </w:r>
    </w:p>
    <w:p w14:paraId="6583EC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（根据招标公告落实政府采购政策需满足的资格要求选择提供相应的材料；未要求的，无需提供）</w:t>
      </w:r>
    </w:p>
    <w:p w14:paraId="163EA02E">
      <w:pPr>
        <w:snapToGrid w:val="0"/>
        <w:spacing w:before="50" w:after="50"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color w:val="auto"/>
          <w:sz w:val="24"/>
          <w:szCs w:val="24"/>
          <w:highlight w:val="none"/>
        </w:rPr>
        <w:t>.专门面向中小企业，货物全部由符合政策要求的中小企业（或小微企业）制造的，提供相应的中小企业声明函（附件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p>
    <w:p w14:paraId="424CCAA1">
      <w:pPr>
        <w:widowControl/>
        <w:spacing w:line="360" w:lineRule="auto"/>
        <w:ind w:firstLine="480"/>
        <w:jc w:val="left"/>
        <w:rPr>
          <w:rFonts w:hint="eastAsia" w:ascii="宋体" w:hAnsi="宋体" w:eastAsia="宋体" w:cs="宋体"/>
          <w:color w:val="auto"/>
          <w:sz w:val="24"/>
          <w:szCs w:val="24"/>
          <w:highlight w:val="none"/>
        </w:rPr>
      </w:pPr>
    </w:p>
    <w:p w14:paraId="71EFAD32">
      <w:pPr>
        <w:widowControl/>
        <w:spacing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w:t>
      </w:r>
      <w:r>
        <w:rPr>
          <w:rFonts w:hint="eastAsia" w:ascii="宋体" w:hAnsi="宋体" w:eastAsia="宋体" w:cs="宋体"/>
          <w:color w:val="auto"/>
          <w:sz w:val="24"/>
          <w:szCs w:val="24"/>
          <w:highlight w:val="none"/>
        </w:rPr>
        <w:t>要求以联合体形式参加的，提供联合协议（附件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视同符合了资格条件，无需再与其他中小企业组成联合体参加政府采购活动，无需提供联合协议。</w:t>
      </w:r>
    </w:p>
    <w:p w14:paraId="206A38F8">
      <w:pPr>
        <w:snapToGrid w:val="0"/>
        <w:spacing w:before="50" w:after="50"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14:paraId="29AAC189">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w:t>
      </w:r>
      <w:r>
        <w:rPr>
          <w:rFonts w:hint="eastAsia" w:ascii="宋体" w:hAnsi="宋体" w:eastAsia="宋体" w:cs="宋体"/>
          <w:color w:val="auto"/>
          <w:sz w:val="24"/>
          <w:szCs w:val="24"/>
          <w:highlight w:val="none"/>
        </w:rPr>
        <w:t>要求合同分包的，提供分包意向协议（附件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视同符合了资格条件，无需再向中小企业分包，无需提供分包意向协议。</w:t>
      </w:r>
    </w:p>
    <w:p w14:paraId="50C2CCE2">
      <w:pPr>
        <w:widowControl/>
        <w:spacing w:line="360" w:lineRule="auto"/>
        <w:ind w:left="150"/>
        <w:jc w:val="center"/>
        <w:rPr>
          <w:rFonts w:hint="eastAsia" w:ascii="宋体" w:hAnsi="宋体" w:eastAsia="宋体" w:cs="宋体"/>
          <w:b/>
          <w:color w:val="auto"/>
          <w:kern w:val="0"/>
          <w:sz w:val="24"/>
          <w:szCs w:val="24"/>
          <w:highlight w:val="none"/>
        </w:rPr>
      </w:pPr>
    </w:p>
    <w:p w14:paraId="2D5C0B51">
      <w:pPr>
        <w:widowControl/>
        <w:spacing w:line="360" w:lineRule="auto"/>
        <w:ind w:left="15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五</w:t>
      </w:r>
      <w:r>
        <w:rPr>
          <w:rFonts w:hint="eastAsia" w:ascii="宋体" w:hAnsi="宋体" w:eastAsia="宋体" w:cs="宋体"/>
          <w:b/>
          <w:color w:val="auto"/>
          <w:kern w:val="0"/>
          <w:sz w:val="24"/>
          <w:szCs w:val="24"/>
          <w:highlight w:val="none"/>
        </w:rPr>
        <w:t>、本项目的特定资格要求</w:t>
      </w:r>
    </w:p>
    <w:p w14:paraId="1AEA900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（根据招标公告本项目的特定资格要求提供相应的材料；未要求的，无需提供）</w:t>
      </w:r>
    </w:p>
    <w:p w14:paraId="398A3992">
      <w:pPr>
        <w:rPr>
          <w:rFonts w:hint="eastAsia" w:ascii="宋体" w:hAnsi="宋体" w:eastAsia="宋体" w:cs="宋体"/>
          <w:color w:val="auto"/>
          <w:sz w:val="24"/>
          <w:szCs w:val="24"/>
          <w:highlight w:val="none"/>
        </w:rPr>
      </w:pPr>
    </w:p>
    <w:p w14:paraId="0409D45A">
      <w:pPr>
        <w:widowControl/>
        <w:numPr>
          <w:ilvl w:val="0"/>
          <w:numId w:val="9"/>
        </w:numPr>
        <w:spacing w:line="360" w:lineRule="auto"/>
        <w:ind w:left="15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业务专用章使用说明函</w:t>
      </w:r>
    </w:p>
    <w:p w14:paraId="1CD4AC54">
      <w:pPr>
        <w:pStyle w:val="64"/>
        <w:numPr>
          <w:ilvl w:val="0"/>
          <w:numId w:val="0"/>
        </w:numPr>
        <w:ind w:leftChars="40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[如适用，</w:t>
      </w:r>
      <w:r>
        <w:rPr>
          <w:rFonts w:hint="eastAsia" w:ascii="宋体" w:hAnsi="宋体" w:eastAsia="宋体" w:cs="宋体"/>
          <w:b w:val="0"/>
          <w:bCs/>
          <w:color w:val="auto"/>
          <w:sz w:val="24"/>
          <w:szCs w:val="24"/>
          <w:highlight w:val="none"/>
        </w:rPr>
        <w:t>提供业务专用章使用说明函（附件</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w:t>
      </w:r>
    </w:p>
    <w:p w14:paraId="5067E502">
      <w:pP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303DBD75">
      <w:pPr>
        <w:spacing w:line="360" w:lineRule="auto"/>
        <w:ind w:right="42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商务技术文件部分</w:t>
      </w:r>
    </w:p>
    <w:p w14:paraId="59F9C551">
      <w:pPr>
        <w:numPr>
          <w:ilvl w:val="0"/>
          <w:numId w:val="0"/>
        </w:numPr>
        <w:bidi w:val="0"/>
        <w:jc w:val="center"/>
        <w:rPr>
          <w:rFonts w:hint="eastAsia" w:ascii="宋体" w:hAnsi="宋体" w:eastAsia="宋体" w:cs="宋体"/>
          <w:b/>
          <w:bCs/>
          <w:color w:val="auto"/>
          <w:sz w:val="24"/>
          <w:szCs w:val="24"/>
          <w:highlight w:val="none"/>
        </w:rPr>
      </w:pPr>
      <w:bookmarkStart w:id="451" w:name="_Toc2704"/>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投标函</w:t>
      </w:r>
      <w:bookmarkEnd w:id="451"/>
    </w:p>
    <w:p w14:paraId="2BCEC141">
      <w:pPr>
        <w:pStyle w:val="64"/>
        <w:numPr>
          <w:ilvl w:val="0"/>
          <w:numId w:val="0"/>
        </w:numPr>
        <w:ind w:leftChars="400"/>
        <w:rPr>
          <w:rFonts w:hint="eastAsia" w:ascii="宋体" w:hAnsi="宋体" w:eastAsia="宋体" w:cs="宋体"/>
          <w:color w:val="auto"/>
          <w:sz w:val="24"/>
          <w:szCs w:val="24"/>
          <w:highlight w:val="none"/>
        </w:rPr>
      </w:pPr>
    </w:p>
    <w:p w14:paraId="0FE2F920">
      <w:pPr>
        <w:pStyle w:val="25"/>
        <w:widowControl/>
        <w:spacing w:line="360" w:lineRule="auto"/>
        <w:ind w:left="0" w:leftChars="0" w:firstLine="0" w:firstLineChars="0"/>
        <w:jc w:val="left"/>
        <w:rPr>
          <w:rFonts w:hint="eastAsia" w:ascii="宋体" w:hAnsi="宋体" w:eastAsia="宋体" w:cs="宋体"/>
          <w:color w:val="auto"/>
          <w:sz w:val="24"/>
          <w:szCs w:val="24"/>
          <w:highlight w:val="none"/>
        </w:rPr>
      </w:pPr>
      <w:r>
        <w:rPr>
          <w:rFonts w:hint="eastAsia" w:cs="宋体"/>
          <w:color w:val="auto"/>
          <w:sz w:val="24"/>
          <w:szCs w:val="24"/>
          <w:highlight w:val="none"/>
          <w:u w:val="single"/>
          <w:lang w:val="en-US" w:eastAsia="zh-CN"/>
        </w:rPr>
        <w:t>宁波市鄞州区数据服务中心</w:t>
      </w:r>
      <w:r>
        <w:rPr>
          <w:rFonts w:hint="eastAsia" w:ascii="宋体" w:hAnsi="宋体" w:eastAsia="宋体" w:cs="宋体"/>
          <w:color w:val="auto"/>
          <w:sz w:val="24"/>
          <w:szCs w:val="24"/>
          <w:highlight w:val="none"/>
          <w:u w:val="single"/>
          <w:lang w:val="en-US" w:eastAsia="zh-CN"/>
        </w:rPr>
        <w:t>、宁波中基国际招标有限公司</w:t>
      </w:r>
      <w:r>
        <w:rPr>
          <w:rFonts w:hint="eastAsia" w:ascii="宋体" w:hAnsi="宋体" w:eastAsia="宋体" w:cs="宋体"/>
          <w:color w:val="auto"/>
          <w:sz w:val="24"/>
          <w:szCs w:val="24"/>
          <w:highlight w:val="none"/>
        </w:rPr>
        <w:t>：</w:t>
      </w:r>
    </w:p>
    <w:p w14:paraId="5F042D7D">
      <w:pPr>
        <w:pStyle w:val="25"/>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（投标人全称）</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（授权代表姓名、职务）</w:t>
      </w:r>
      <w:r>
        <w:rPr>
          <w:rFonts w:hint="eastAsia" w:ascii="宋体" w:hAnsi="宋体" w:eastAsia="宋体" w:cs="宋体"/>
          <w:color w:val="auto"/>
          <w:sz w:val="24"/>
          <w:szCs w:val="24"/>
          <w:highlight w:val="none"/>
        </w:rPr>
        <w:t>为本公司（单位）合法代理人，参加贵方组织的</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招投标活动，代表本公司（单位）处理招投标活动中的一切事宜，为对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服务</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进行投标，在此：</w:t>
      </w:r>
    </w:p>
    <w:p w14:paraId="0732653D">
      <w:pPr>
        <w:pStyle w:val="25"/>
        <w:widowControl/>
        <w:spacing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提供招标文件中“投标须知”规定</w:t>
      </w:r>
      <w:r>
        <w:rPr>
          <w:rFonts w:hint="eastAsia" w:ascii="宋体" w:hAnsi="宋体" w:eastAsia="宋体" w:cs="宋体"/>
          <w:b w:val="0"/>
          <w:bCs w:val="0"/>
          <w:color w:val="auto"/>
          <w:sz w:val="24"/>
          <w:szCs w:val="24"/>
          <w:highlight w:val="none"/>
        </w:rPr>
        <w:t>的</w:t>
      </w:r>
      <w:r>
        <w:rPr>
          <w:rFonts w:hint="eastAsia" w:ascii="宋体" w:hAnsi="宋体" w:eastAsia="宋体" w:cs="宋体"/>
          <w:color w:val="auto"/>
          <w:sz w:val="24"/>
          <w:szCs w:val="24"/>
          <w:highlight w:val="none"/>
        </w:rPr>
        <w:t>全部投标文件</w:t>
      </w:r>
    </w:p>
    <w:p w14:paraId="2B94C602">
      <w:pPr>
        <w:pStyle w:val="25"/>
        <w:widowControl/>
        <w:numPr>
          <w:ilvl w:val="0"/>
          <w:numId w:val="0"/>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据此函，签字代表宣布并承诺如下：</w:t>
      </w:r>
    </w:p>
    <w:p w14:paraId="7885D2C4">
      <w:pPr>
        <w:pStyle w:val="25"/>
        <w:widowControl/>
        <w:spacing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本次投标报价为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。本报价已经包含了所供</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应纳的税金及招标文件规定的报价方式应包含的其它费用。本报价在投标有效期内固定不变，并在合同有效期内不受利率波动的影响。</w:t>
      </w:r>
    </w:p>
    <w:p w14:paraId="713E7736">
      <w:pPr>
        <w:pStyle w:val="25"/>
        <w:widowControl/>
        <w:numPr>
          <w:ilvl w:val="0"/>
          <w:numId w:val="10"/>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本投标自开标之日起</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天内有效。</w:t>
      </w:r>
    </w:p>
    <w:p w14:paraId="352A904B">
      <w:pPr>
        <w:pStyle w:val="25"/>
        <w:widowControl/>
        <w:numPr>
          <w:ilvl w:val="0"/>
          <w:numId w:val="10"/>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我们已详细审查全部招标文件及有关的澄清/修改文件(若有的话)，我们完全理解并同意放弃对这方面提出任何异议的权利。保证遵守招标文件有关条款规定。</w:t>
      </w:r>
    </w:p>
    <w:p w14:paraId="78FD42D6">
      <w:pPr>
        <w:pStyle w:val="25"/>
        <w:widowControl/>
        <w:numPr>
          <w:ilvl w:val="0"/>
          <w:numId w:val="10"/>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保证在中标后忠实地执行与采购人所签署的合同，并承担合同规定的责任义务。保证在中标后按照招标文件的规定支付中标服务费。</w:t>
      </w:r>
    </w:p>
    <w:p w14:paraId="5FADDE26">
      <w:pPr>
        <w:pStyle w:val="25"/>
        <w:widowControl/>
        <w:numPr>
          <w:ilvl w:val="0"/>
          <w:numId w:val="10"/>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承诺应贵方要求提供任何与该项目投标有关的数据、情况和技术资料。</w:t>
      </w:r>
    </w:p>
    <w:p w14:paraId="5F7AB887">
      <w:pPr>
        <w:pStyle w:val="25"/>
        <w:widowControl/>
        <w:numPr>
          <w:ilvl w:val="0"/>
          <w:numId w:val="10"/>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我们承诺，与为采购人采购本次招标的货物进行设计、编制规范和其他文件所委托的咨询公司或其附属机构无任何直接或间接的关联。</w:t>
      </w:r>
    </w:p>
    <w:p w14:paraId="55A0023E">
      <w:pPr>
        <w:pStyle w:val="25"/>
        <w:widowControl/>
        <w:numPr>
          <w:ilvl w:val="0"/>
          <w:numId w:val="10"/>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投标人已详细审查并理解全部招标文件，已完全明确招标文件中的全部内容。如有违反，愿意接受监管机构相应的处理。</w:t>
      </w:r>
    </w:p>
    <w:p w14:paraId="49DD2C49">
      <w:pPr>
        <w:pStyle w:val="25"/>
        <w:widowControl/>
        <w:spacing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与本投标有关的一切往来通讯请寄：</w:t>
      </w:r>
    </w:p>
    <w:p w14:paraId="287C4718">
      <w:pPr>
        <w:pStyle w:val="25"/>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01D88E82">
      <w:pPr>
        <w:pStyle w:val="25"/>
        <w:widowControl/>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2F99BC39">
      <w:pPr>
        <w:pStyle w:val="25"/>
        <w:widowControl/>
        <w:spacing w:line="360" w:lineRule="auto"/>
        <w:jc w:val="left"/>
        <w:rPr>
          <w:rFonts w:hint="eastAsia" w:ascii="宋体" w:hAnsi="宋体" w:eastAsia="宋体" w:cs="宋体"/>
          <w:color w:val="auto"/>
          <w:sz w:val="24"/>
          <w:szCs w:val="24"/>
          <w:highlight w:val="none"/>
        </w:rPr>
      </w:pPr>
    </w:p>
    <w:p w14:paraId="5E1899A3">
      <w:pPr>
        <w:pStyle w:val="34"/>
        <w:tabs>
          <w:tab w:val="left" w:pos="2472"/>
        </w:tabs>
        <w:snapToGrid w:val="0"/>
        <w:spacing w:before="0" w:after="0" w:line="360" w:lineRule="auto"/>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lang w:val="en-US" w:eastAsia="zh-CN"/>
        </w:rPr>
        <w:t>电子签</w:t>
      </w:r>
      <w:r>
        <w:rPr>
          <w:rFonts w:hint="eastAsia" w:ascii="宋体" w:hAnsi="宋体" w:eastAsia="宋体" w:cs="宋体"/>
          <w:color w:val="auto"/>
          <w:sz w:val="24"/>
          <w:szCs w:val="24"/>
          <w:highlight w:val="none"/>
        </w:rPr>
        <w:t xml:space="preserve">章):_________                   </w:t>
      </w:r>
    </w:p>
    <w:p w14:paraId="76A9C7CD">
      <w:pPr>
        <w:snapToGrid w:val="0"/>
        <w:spacing w:line="360" w:lineRule="auto"/>
        <w:ind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日期:_____年___月___日</w:t>
      </w:r>
    </w:p>
    <w:p w14:paraId="76088D82">
      <w:pPr>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64AD49D9">
      <w:pPr>
        <w:jc w:val="center"/>
        <w:rPr>
          <w:rFonts w:hint="eastAsia" w:ascii="宋体" w:hAnsi="宋体" w:eastAsia="宋体" w:cs="宋体"/>
          <w:b/>
          <w:color w:val="auto"/>
          <w:kern w:val="0"/>
          <w:sz w:val="24"/>
          <w:szCs w:val="24"/>
          <w:highlight w:val="none"/>
          <w:lang w:val="zh-CN"/>
        </w:rPr>
      </w:pPr>
    </w:p>
    <w:p w14:paraId="6EB94957">
      <w:pPr>
        <w:jc w:val="center"/>
        <w:rPr>
          <w:rFonts w:hint="eastAsia" w:ascii="宋体" w:hAnsi="宋体" w:eastAsia="宋体" w:cs="宋体"/>
          <w:b/>
          <w:color w:val="auto"/>
          <w:kern w:val="0"/>
          <w:sz w:val="24"/>
          <w:szCs w:val="24"/>
          <w:highlight w:val="none"/>
          <w:lang w:val="zh-CN"/>
        </w:rPr>
      </w:pPr>
    </w:p>
    <w:p w14:paraId="5DADF5B6">
      <w:pPr>
        <w:jc w:val="center"/>
        <w:rPr>
          <w:rFonts w:hint="eastAsia" w:ascii="宋体" w:hAnsi="宋体" w:eastAsia="宋体" w:cs="宋体"/>
          <w:b/>
          <w:color w:val="auto"/>
          <w:kern w:val="0"/>
          <w:sz w:val="24"/>
          <w:szCs w:val="24"/>
          <w:highlight w:val="none"/>
          <w:lang w:val="zh-CN"/>
        </w:rPr>
        <w:sectPr>
          <w:pgSz w:w="11905" w:h="16838"/>
          <w:pgMar w:top="1134" w:right="1134" w:bottom="1134" w:left="1134" w:header="851" w:footer="850" w:gutter="0"/>
          <w:pgBorders>
            <w:top w:val="none" w:sz="0" w:space="0"/>
            <w:left w:val="none" w:sz="0" w:space="0"/>
            <w:bottom w:val="none" w:sz="0" w:space="0"/>
            <w:right w:val="none" w:sz="0" w:space="0"/>
          </w:pgBorders>
          <w:cols w:space="0" w:num="1"/>
          <w:titlePg/>
          <w:rtlGutter w:val="0"/>
          <w:docGrid w:linePitch="312" w:charSpace="0"/>
        </w:sectPr>
      </w:pPr>
    </w:p>
    <w:p w14:paraId="6DAD4D2A">
      <w:pPr>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二、授权委托书或法定代表人（单位负责人、自然人本人）身份证明</w:t>
      </w:r>
    </w:p>
    <w:p w14:paraId="18F0C95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CE41483">
      <w:pPr>
        <w:snapToGrid w:val="0"/>
        <w:spacing w:line="360" w:lineRule="auto"/>
        <w:jc w:val="center"/>
        <w:rPr>
          <w:rFonts w:hint="eastAsia" w:ascii="宋体" w:hAnsi="宋体" w:eastAsia="宋体" w:cs="宋体"/>
          <w:b/>
          <w:color w:val="auto"/>
          <w:kern w:val="0"/>
          <w:sz w:val="24"/>
          <w:szCs w:val="24"/>
          <w:highlight w:val="none"/>
          <w:lang w:val="zh-CN"/>
        </w:rPr>
      </w:pPr>
    </w:p>
    <w:p w14:paraId="41FF6B2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t>授权委托书（适用于非联合体投标）</w:t>
      </w:r>
    </w:p>
    <w:p w14:paraId="1AD8F982">
      <w:pPr>
        <w:snapToGrid w:val="0"/>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u w:val="single"/>
          <w:lang w:val="en-US" w:eastAsia="zh-CN"/>
        </w:rPr>
        <w:t>宁波市鄞州区数据服务中心</w:t>
      </w:r>
      <w:r>
        <w:rPr>
          <w:rFonts w:hint="eastAsia" w:ascii="宋体" w:hAnsi="宋体" w:eastAsia="宋体" w:cs="宋体"/>
          <w:color w:val="auto"/>
          <w:sz w:val="24"/>
          <w:szCs w:val="24"/>
          <w:highlight w:val="none"/>
          <w:u w:val="single"/>
          <w:lang w:val="en-US" w:eastAsia="zh-CN"/>
        </w:rPr>
        <w:t>、宁波中基国际招标有限公司</w:t>
      </w:r>
      <w:r>
        <w:rPr>
          <w:rFonts w:hint="eastAsia" w:ascii="宋体" w:hAnsi="宋体" w:eastAsia="宋体" w:cs="宋体"/>
          <w:color w:val="auto"/>
          <w:kern w:val="0"/>
          <w:sz w:val="24"/>
          <w:szCs w:val="24"/>
          <w:highlight w:val="none"/>
          <w:lang w:val="zh-CN"/>
        </w:rPr>
        <w:t>：</w:t>
      </w:r>
    </w:p>
    <w:p w14:paraId="68BED090">
      <w:pPr>
        <w:snapToGrid w:val="0"/>
        <w:spacing w:line="360" w:lineRule="auto"/>
        <w:ind w:firstLine="57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w:t>
      </w:r>
      <w:r>
        <w:rPr>
          <w:rFonts w:hint="eastAsia" w:ascii="宋体" w:hAnsi="宋体" w:eastAsia="宋体" w:cs="宋体"/>
          <w:color w:val="auto"/>
          <w:kern w:val="0"/>
          <w:sz w:val="24"/>
          <w:szCs w:val="24"/>
          <w:highlight w:val="none"/>
          <w:lang w:val="zh-CN"/>
        </w:rPr>
        <w:t>委托</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（姓名）为我方代理人（身份证号码：</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，手机：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），以我方名义处理</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项目编号+项目名称）</w:t>
      </w:r>
      <w:r>
        <w:rPr>
          <w:rFonts w:hint="eastAsia" w:ascii="宋体" w:hAnsi="宋体" w:eastAsia="宋体" w:cs="宋体"/>
          <w:color w:val="auto"/>
          <w:kern w:val="0"/>
          <w:sz w:val="24"/>
          <w:szCs w:val="24"/>
          <w:highlight w:val="none"/>
          <w:lang w:val="zh-CN"/>
        </w:rPr>
        <w:t>政府采购投标的一切事项，其法律后果由我方承担。</w:t>
      </w:r>
    </w:p>
    <w:p w14:paraId="22086FA9">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委托期限</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自</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日起至</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日止。</w:t>
      </w:r>
    </w:p>
    <w:p w14:paraId="6EE215D2">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特此告知。</w:t>
      </w:r>
    </w:p>
    <w:p w14:paraId="093738D0">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 xml:space="preserve">                                                 投标人名称</w:t>
      </w:r>
      <w:r>
        <w:rPr>
          <w:rFonts w:hint="eastAsia" w:ascii="宋体" w:hAnsi="宋体" w:eastAsia="宋体" w:cs="宋体"/>
          <w:color w:val="auto"/>
          <w:sz w:val="24"/>
          <w:szCs w:val="24"/>
          <w:highlight w:val="none"/>
        </w:rPr>
        <w:t>（电子签</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 xml:space="preserve">）：  </w:t>
      </w:r>
    </w:p>
    <w:p w14:paraId="7B280FD6">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31B56B92">
      <w:pPr>
        <w:snapToGrid w:val="0"/>
        <w:spacing w:line="360" w:lineRule="auto"/>
        <w:rPr>
          <w:rFonts w:hint="eastAsia" w:ascii="宋体" w:hAnsi="宋体" w:eastAsia="宋体" w:cs="宋体"/>
          <w:b/>
          <w:color w:val="auto"/>
          <w:kern w:val="0"/>
          <w:sz w:val="24"/>
          <w:szCs w:val="24"/>
          <w:highlight w:val="none"/>
          <w:lang w:val="zh-CN"/>
        </w:rPr>
      </w:pPr>
    </w:p>
    <w:p w14:paraId="60D2A8C5">
      <w:pPr>
        <w:snapToGrid w:val="0"/>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 xml:space="preserve">     </w:t>
      </w:r>
    </w:p>
    <w:p w14:paraId="7CE82768">
      <w:pPr>
        <w:snapToGrid w:val="0"/>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 xml:space="preserve">   </w:t>
      </w:r>
    </w:p>
    <w:p w14:paraId="652149B2">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val="zh-CN"/>
        </w:rPr>
        <w:t xml:space="preserve">  法定代表人、单位负责人或自然人本人</w:t>
      </w:r>
      <w:r>
        <w:rPr>
          <w:rFonts w:hint="eastAsia" w:ascii="宋体" w:hAnsi="宋体" w:eastAsia="宋体" w:cs="宋体"/>
          <w:b/>
          <w:color w:val="auto"/>
          <w:sz w:val="24"/>
          <w:szCs w:val="24"/>
          <w:highlight w:val="none"/>
        </w:rPr>
        <w:t>的身份证明</w:t>
      </w:r>
    </w:p>
    <w:p w14:paraId="1E10BDB7">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（适用于法定代表人、单位负责人或者自然人本人代表投标人参加投标）</w:t>
      </w:r>
    </w:p>
    <w:p w14:paraId="5CE49F9C">
      <w:pPr>
        <w:pStyle w:val="16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E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45CFC73">
            <w:pPr>
              <w:pStyle w:val="160"/>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正面：                                 反面：</w:t>
            </w:r>
          </w:p>
          <w:p w14:paraId="1DCE47EB">
            <w:pPr>
              <w:pStyle w:val="160"/>
              <w:adjustRightInd w:val="0"/>
              <w:spacing w:line="360" w:lineRule="auto"/>
              <w:rPr>
                <w:rFonts w:hint="eastAsia" w:ascii="宋体" w:hAnsi="宋体" w:eastAsia="宋体" w:cs="宋体"/>
                <w:bCs/>
                <w:color w:val="auto"/>
                <w:sz w:val="24"/>
                <w:szCs w:val="24"/>
                <w:highlight w:val="none"/>
              </w:rPr>
            </w:pPr>
          </w:p>
        </w:tc>
      </w:tr>
    </w:tbl>
    <w:p w14:paraId="711C1D76">
      <w:pPr>
        <w:snapToGrid w:val="0"/>
        <w:spacing w:line="360" w:lineRule="auto"/>
        <w:ind w:firstLine="576"/>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p>
    <w:p w14:paraId="34194C36">
      <w:pPr>
        <w:snapToGrid w:val="0"/>
        <w:spacing w:line="360" w:lineRule="auto"/>
        <w:ind w:firstLine="576"/>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投标人名称(</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kern w:val="0"/>
          <w:sz w:val="24"/>
          <w:szCs w:val="24"/>
          <w:highlight w:val="none"/>
          <w:lang w:val="zh-CN"/>
        </w:rPr>
        <w:t xml:space="preserve">)：                              </w:t>
      </w:r>
    </w:p>
    <w:p w14:paraId="2779AF84">
      <w:pPr>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 xml:space="preserve">   日期：  年  月  日</w:t>
      </w:r>
    </w:p>
    <w:p w14:paraId="05051191">
      <w:pPr>
        <w:autoSpaceDE w:val="0"/>
        <w:autoSpaceDN w:val="0"/>
        <w:spacing w:line="360" w:lineRule="auto"/>
        <w:jc w:val="center"/>
        <w:rPr>
          <w:rFonts w:hint="eastAsia" w:ascii="宋体" w:hAnsi="宋体" w:eastAsia="宋体" w:cs="宋体"/>
          <w:b/>
          <w:color w:val="auto"/>
          <w:kern w:val="0"/>
          <w:sz w:val="24"/>
          <w:szCs w:val="24"/>
          <w:highlight w:val="none"/>
          <w:lang w:val="zh-CN"/>
        </w:rPr>
        <w:sectPr>
          <w:pgSz w:w="11905" w:h="16838"/>
          <w:pgMar w:top="1134" w:right="1134" w:bottom="1134" w:left="1134" w:header="851" w:footer="850"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eastAsia="宋体" w:cs="宋体"/>
          <w:b/>
          <w:color w:val="auto"/>
          <w:kern w:val="0"/>
          <w:sz w:val="24"/>
          <w:szCs w:val="24"/>
          <w:highlight w:val="none"/>
          <w:lang w:val="zh-CN"/>
        </w:rPr>
        <w:t xml:space="preserve"> </w:t>
      </w:r>
    </w:p>
    <w:p w14:paraId="2D6503F9">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val="en-US" w:eastAsia="zh-CN"/>
        </w:rPr>
        <w:t>授权代表</w:t>
      </w:r>
      <w:r>
        <w:rPr>
          <w:rFonts w:hint="eastAsia" w:ascii="宋体" w:hAnsi="宋体" w:eastAsia="宋体" w:cs="宋体"/>
          <w:b/>
          <w:color w:val="auto"/>
          <w:sz w:val="24"/>
          <w:szCs w:val="24"/>
          <w:highlight w:val="none"/>
        </w:rPr>
        <w:t>的身份证明</w:t>
      </w:r>
    </w:p>
    <w:p w14:paraId="2A2E2747">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（法定代表人、单位负责人或者自然人本人代表投标人参加投标</w:t>
      </w:r>
      <w:r>
        <w:rPr>
          <w:rFonts w:hint="eastAsia" w:ascii="宋体" w:hAnsi="宋体" w:eastAsia="宋体" w:cs="宋体"/>
          <w:b/>
          <w:color w:val="auto"/>
          <w:sz w:val="24"/>
          <w:szCs w:val="24"/>
          <w:highlight w:val="none"/>
          <w:lang w:val="en-US" w:eastAsia="zh-CN"/>
        </w:rPr>
        <w:t>无需提供</w:t>
      </w:r>
      <w:r>
        <w:rPr>
          <w:rFonts w:hint="eastAsia" w:ascii="宋体" w:hAnsi="宋体" w:eastAsia="宋体" w:cs="宋体"/>
          <w:b/>
          <w:color w:val="auto"/>
          <w:sz w:val="24"/>
          <w:szCs w:val="24"/>
          <w:highlight w:val="none"/>
        </w:rPr>
        <w:t>）</w:t>
      </w:r>
    </w:p>
    <w:p w14:paraId="248D08C7">
      <w:pPr>
        <w:pStyle w:val="16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授权代表</w:t>
      </w:r>
      <w:r>
        <w:rPr>
          <w:rFonts w:hint="eastAsia" w:ascii="宋体" w:hAnsi="宋体" w:eastAsia="宋体" w:cs="宋体"/>
          <w:bCs/>
          <w:color w:val="auto"/>
          <w:sz w:val="24"/>
          <w:szCs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D1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25CACA">
            <w:pPr>
              <w:pStyle w:val="160"/>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正面：                                 反面：</w:t>
            </w:r>
          </w:p>
          <w:p w14:paraId="220A4E63">
            <w:pPr>
              <w:pStyle w:val="160"/>
              <w:adjustRightInd w:val="0"/>
              <w:spacing w:line="360" w:lineRule="auto"/>
              <w:rPr>
                <w:rFonts w:hint="eastAsia" w:ascii="宋体" w:hAnsi="宋体" w:eastAsia="宋体" w:cs="宋体"/>
                <w:bCs/>
                <w:color w:val="auto"/>
                <w:sz w:val="24"/>
                <w:szCs w:val="24"/>
                <w:highlight w:val="none"/>
              </w:rPr>
            </w:pPr>
          </w:p>
        </w:tc>
      </w:tr>
    </w:tbl>
    <w:p w14:paraId="1DB79674">
      <w:pPr>
        <w:snapToGrid w:val="0"/>
        <w:spacing w:line="360" w:lineRule="auto"/>
        <w:ind w:firstLine="576"/>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p>
    <w:p w14:paraId="4E38CF47">
      <w:pPr>
        <w:snapToGrid w:val="0"/>
        <w:spacing w:line="360" w:lineRule="auto"/>
        <w:ind w:firstLine="576"/>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投标人名称(</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kern w:val="0"/>
          <w:sz w:val="24"/>
          <w:szCs w:val="24"/>
          <w:highlight w:val="none"/>
          <w:lang w:val="zh-CN"/>
        </w:rPr>
        <w:t xml:space="preserve">)：                              </w:t>
      </w:r>
    </w:p>
    <w:p w14:paraId="3992B251">
      <w:pPr>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 xml:space="preserve">   日期：  年  月  日</w:t>
      </w:r>
    </w:p>
    <w:p w14:paraId="702E8F55">
      <w:pPr>
        <w:jc w:val="center"/>
        <w:rPr>
          <w:rFonts w:hint="eastAsia" w:ascii="宋体" w:hAnsi="宋体" w:eastAsia="宋体" w:cs="宋体"/>
          <w:b/>
          <w:color w:val="auto"/>
          <w:kern w:val="0"/>
          <w:sz w:val="24"/>
          <w:szCs w:val="24"/>
          <w:highlight w:val="none"/>
        </w:rPr>
      </w:pPr>
    </w:p>
    <w:p w14:paraId="37759CD1">
      <w:pPr>
        <w:jc w:val="center"/>
        <w:rPr>
          <w:rFonts w:hint="eastAsia" w:ascii="宋体" w:hAnsi="宋体" w:eastAsia="宋体" w:cs="宋体"/>
          <w:b/>
          <w:color w:val="auto"/>
          <w:kern w:val="0"/>
          <w:sz w:val="24"/>
          <w:szCs w:val="24"/>
          <w:highlight w:val="none"/>
        </w:rPr>
      </w:pPr>
    </w:p>
    <w:p w14:paraId="32165DC3">
      <w:pPr>
        <w:jc w:val="center"/>
        <w:rPr>
          <w:rFonts w:hint="eastAsia" w:ascii="宋体" w:hAnsi="宋体" w:eastAsia="宋体" w:cs="宋体"/>
          <w:b/>
          <w:color w:val="auto"/>
          <w:kern w:val="0"/>
          <w:sz w:val="24"/>
          <w:szCs w:val="24"/>
          <w:highlight w:val="none"/>
        </w:rPr>
      </w:pPr>
    </w:p>
    <w:p w14:paraId="5D3DE13B">
      <w:pPr>
        <w:jc w:val="center"/>
        <w:rPr>
          <w:rFonts w:hint="eastAsia" w:ascii="宋体" w:hAnsi="宋体" w:eastAsia="宋体" w:cs="宋体"/>
          <w:b/>
          <w:color w:val="auto"/>
          <w:kern w:val="0"/>
          <w:sz w:val="24"/>
          <w:szCs w:val="24"/>
          <w:highlight w:val="none"/>
        </w:rPr>
      </w:pPr>
    </w:p>
    <w:p w14:paraId="09321D70">
      <w:pPr>
        <w:jc w:val="center"/>
        <w:rPr>
          <w:rFonts w:hint="eastAsia" w:ascii="宋体" w:hAnsi="宋体" w:eastAsia="宋体" w:cs="宋体"/>
          <w:b/>
          <w:color w:val="auto"/>
          <w:kern w:val="0"/>
          <w:sz w:val="24"/>
          <w:szCs w:val="24"/>
          <w:highlight w:val="none"/>
        </w:rPr>
      </w:pPr>
    </w:p>
    <w:p w14:paraId="6BB13772">
      <w:pPr>
        <w:jc w:val="center"/>
        <w:rPr>
          <w:rFonts w:hint="eastAsia" w:ascii="宋体" w:hAnsi="宋体" w:eastAsia="宋体" w:cs="宋体"/>
          <w:b/>
          <w:color w:val="auto"/>
          <w:kern w:val="0"/>
          <w:sz w:val="24"/>
          <w:szCs w:val="24"/>
          <w:highlight w:val="none"/>
        </w:rPr>
      </w:pPr>
    </w:p>
    <w:p w14:paraId="13A53569">
      <w:pPr>
        <w:jc w:val="center"/>
        <w:rPr>
          <w:rFonts w:hint="eastAsia" w:ascii="宋体" w:hAnsi="宋体" w:eastAsia="宋体" w:cs="宋体"/>
          <w:b/>
          <w:color w:val="auto"/>
          <w:kern w:val="0"/>
          <w:sz w:val="24"/>
          <w:szCs w:val="24"/>
          <w:highlight w:val="none"/>
        </w:rPr>
      </w:pPr>
    </w:p>
    <w:p w14:paraId="65514094">
      <w:pPr>
        <w:jc w:val="center"/>
        <w:rPr>
          <w:rFonts w:hint="eastAsia" w:ascii="宋体" w:hAnsi="宋体" w:eastAsia="宋体" w:cs="宋体"/>
          <w:b/>
          <w:color w:val="auto"/>
          <w:kern w:val="0"/>
          <w:sz w:val="24"/>
          <w:szCs w:val="24"/>
          <w:highlight w:val="none"/>
        </w:rPr>
      </w:pPr>
    </w:p>
    <w:p w14:paraId="53A3CE96">
      <w:pPr>
        <w:jc w:val="center"/>
        <w:rPr>
          <w:rFonts w:hint="eastAsia" w:ascii="宋体" w:hAnsi="宋体" w:eastAsia="宋体" w:cs="宋体"/>
          <w:b/>
          <w:color w:val="auto"/>
          <w:kern w:val="0"/>
          <w:sz w:val="24"/>
          <w:szCs w:val="24"/>
          <w:highlight w:val="none"/>
        </w:rPr>
      </w:pPr>
    </w:p>
    <w:p w14:paraId="41B49DCB">
      <w:pPr>
        <w:jc w:val="center"/>
        <w:rPr>
          <w:rFonts w:hint="eastAsia" w:ascii="宋体" w:hAnsi="宋体" w:eastAsia="宋体" w:cs="宋体"/>
          <w:b/>
          <w:color w:val="auto"/>
          <w:kern w:val="0"/>
          <w:sz w:val="24"/>
          <w:szCs w:val="24"/>
          <w:highlight w:val="none"/>
        </w:rPr>
      </w:pPr>
    </w:p>
    <w:p w14:paraId="6EBA349F">
      <w:pPr>
        <w:snapToGrid w:val="0"/>
        <w:spacing w:line="360" w:lineRule="auto"/>
        <w:ind w:right="480"/>
        <w:rPr>
          <w:rFonts w:hint="eastAsia" w:ascii="宋体" w:hAnsi="宋体" w:eastAsia="宋体" w:cs="宋体"/>
          <w:b/>
          <w:color w:val="auto"/>
          <w:kern w:val="0"/>
          <w:sz w:val="24"/>
          <w:szCs w:val="24"/>
          <w:highlight w:val="none"/>
        </w:rPr>
        <w:sectPr>
          <w:pgSz w:w="11905" w:h="16838"/>
          <w:pgMar w:top="1134" w:right="1134" w:bottom="1134" w:left="1134" w:header="851" w:footer="850" w:gutter="0"/>
          <w:pgBorders>
            <w:top w:val="none" w:sz="0" w:space="0"/>
            <w:left w:val="none" w:sz="0" w:space="0"/>
            <w:bottom w:val="none" w:sz="0" w:space="0"/>
            <w:right w:val="none" w:sz="0" w:space="0"/>
          </w:pgBorders>
          <w:cols w:space="0" w:num="1"/>
          <w:titlePg/>
          <w:rtlGutter w:val="0"/>
          <w:docGrid w:linePitch="312" w:charSpace="0"/>
        </w:sectPr>
      </w:pPr>
    </w:p>
    <w:p w14:paraId="03E0BADA">
      <w:pPr>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三、分包意向协议</w:t>
      </w:r>
    </w:p>
    <w:p w14:paraId="1F827435">
      <w:pPr>
        <w:widowControl/>
        <w:spacing w:line="360" w:lineRule="auto"/>
        <w:ind w:firstLine="120" w:firstLineChars="50"/>
        <w:jc w:val="left"/>
        <w:rPr>
          <w:rFonts w:hint="eastAsia" w:ascii="宋体" w:hAnsi="宋体" w:eastAsia="宋体" w:cs="宋体"/>
          <w:color w:val="auto"/>
          <w:sz w:val="24"/>
          <w:szCs w:val="24"/>
          <w:highlight w:val="none"/>
        </w:rPr>
      </w:pPr>
      <w:bookmarkStart w:id="452" w:name="_Hlk101169080"/>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中标后以分包方式履行合同的，提供分包意向协议(附件</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)；采购人不同意分包或者投标人中标后不以分包方式履行合同的，则不需要提供。</w:t>
      </w:r>
      <w:r>
        <w:rPr>
          <w:rFonts w:hint="eastAsia" w:ascii="宋体" w:hAnsi="宋体" w:eastAsia="宋体" w:cs="宋体"/>
          <w:color w:val="auto"/>
          <w:sz w:val="24"/>
          <w:szCs w:val="24"/>
          <w:highlight w:val="none"/>
        </w:rPr>
        <w:t>]</w:t>
      </w:r>
    </w:p>
    <w:bookmarkEnd w:id="452"/>
    <w:p w14:paraId="79218232">
      <w:pPr>
        <w:snapToGrid w:val="0"/>
        <w:spacing w:line="360" w:lineRule="auto"/>
        <w:rPr>
          <w:rFonts w:hint="eastAsia" w:ascii="宋体" w:hAnsi="宋体" w:eastAsia="宋体" w:cs="宋体"/>
          <w:color w:val="auto"/>
          <w:kern w:val="0"/>
          <w:sz w:val="24"/>
          <w:szCs w:val="24"/>
          <w:highlight w:val="none"/>
        </w:rPr>
      </w:pPr>
    </w:p>
    <w:p w14:paraId="7D524E5A">
      <w:pPr>
        <w:jc w:val="center"/>
        <w:rPr>
          <w:rFonts w:hint="eastAsia" w:ascii="宋体" w:hAnsi="宋体" w:eastAsia="宋体" w:cs="宋体"/>
          <w:b/>
          <w:color w:val="auto"/>
          <w:kern w:val="0"/>
          <w:sz w:val="24"/>
          <w:szCs w:val="24"/>
          <w:highlight w:val="none"/>
        </w:rPr>
      </w:pPr>
    </w:p>
    <w:p w14:paraId="65EA5F2E">
      <w:pPr>
        <w:pStyle w:val="3"/>
        <w:numPr>
          <w:ilvl w:val="1"/>
          <w:numId w:val="0"/>
        </w:numPr>
        <w:ind w:leftChars="0"/>
        <w:outlineLvl w:val="9"/>
        <w:rPr>
          <w:rFonts w:hint="eastAsia" w:ascii="宋体" w:hAnsi="宋体" w:eastAsia="宋体" w:cs="宋体"/>
          <w:color w:val="auto"/>
          <w:sz w:val="24"/>
          <w:szCs w:val="24"/>
          <w:highlight w:val="none"/>
          <w:lang w:val="en-US"/>
        </w:rPr>
      </w:pPr>
    </w:p>
    <w:p w14:paraId="666DA83E">
      <w:pPr>
        <w:jc w:val="center"/>
        <w:rPr>
          <w:rFonts w:hint="eastAsia" w:ascii="宋体" w:hAnsi="宋体" w:eastAsia="宋体" w:cs="宋体"/>
          <w:b/>
          <w:color w:val="auto"/>
          <w:kern w:val="0"/>
          <w:sz w:val="24"/>
          <w:szCs w:val="24"/>
          <w:highlight w:val="none"/>
        </w:rPr>
      </w:pPr>
    </w:p>
    <w:p w14:paraId="1232281B">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四、符合性审查资料</w:t>
      </w:r>
    </w:p>
    <w:p w14:paraId="5A8D7927">
      <w:pPr>
        <w:jc w:val="center"/>
        <w:rPr>
          <w:rFonts w:hint="eastAsia" w:ascii="宋体" w:hAnsi="宋体" w:eastAsia="宋体" w:cs="宋体"/>
          <w:b/>
          <w:color w:val="auto"/>
          <w:kern w:val="0"/>
          <w:sz w:val="24"/>
          <w:szCs w:val="24"/>
          <w:highlight w:val="none"/>
        </w:rPr>
      </w:pPr>
    </w:p>
    <w:tbl>
      <w:tblPr>
        <w:tblStyle w:val="65"/>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14:paraId="2E8B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2AACB108">
            <w:pPr>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525" w:type="dxa"/>
            <w:vAlign w:val="center"/>
          </w:tcPr>
          <w:p w14:paraId="61E05D62">
            <w:pPr>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实质性要求</w:t>
            </w:r>
          </w:p>
        </w:tc>
        <w:tc>
          <w:tcPr>
            <w:tcW w:w="3323" w:type="dxa"/>
            <w:vAlign w:val="center"/>
          </w:tcPr>
          <w:p w14:paraId="423D5757">
            <w:pPr>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需要提供的符合性审查资料</w:t>
            </w:r>
          </w:p>
        </w:tc>
        <w:tc>
          <w:tcPr>
            <w:tcW w:w="2250" w:type="dxa"/>
            <w:vAlign w:val="center"/>
          </w:tcPr>
          <w:p w14:paraId="59B438F4">
            <w:pPr>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投标文件中的</w:t>
            </w:r>
          </w:p>
          <w:p w14:paraId="531FF0CA">
            <w:pPr>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14:paraId="31C8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379966C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25" w:type="dxa"/>
            <w:vAlign w:val="center"/>
          </w:tcPr>
          <w:p w14:paraId="7B452D4B">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投标文件按照招标文件要求签署、盖章。</w:t>
            </w:r>
          </w:p>
        </w:tc>
        <w:tc>
          <w:tcPr>
            <w:tcW w:w="3323" w:type="dxa"/>
            <w:vAlign w:val="center"/>
          </w:tcPr>
          <w:p w14:paraId="1A9049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需要使用电子签</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或者签字盖章的投标文件的组成部分</w:t>
            </w:r>
          </w:p>
        </w:tc>
        <w:tc>
          <w:tcPr>
            <w:tcW w:w="2250" w:type="dxa"/>
            <w:vAlign w:val="center"/>
          </w:tcPr>
          <w:p w14:paraId="71F0CDF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见投标文件需要签字盖章的各页。</w:t>
            </w:r>
          </w:p>
        </w:tc>
      </w:tr>
      <w:tr w14:paraId="7F46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1EB8448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525" w:type="dxa"/>
            <w:vAlign w:val="center"/>
          </w:tcPr>
          <w:p w14:paraId="6EA478AD">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投标文件中承诺的投标有效期不少于招标文件中载明的投标有效期。</w:t>
            </w:r>
          </w:p>
        </w:tc>
        <w:tc>
          <w:tcPr>
            <w:tcW w:w="3323" w:type="dxa"/>
            <w:vAlign w:val="center"/>
          </w:tcPr>
          <w:p w14:paraId="400327C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tc>
        <w:tc>
          <w:tcPr>
            <w:tcW w:w="2250" w:type="dxa"/>
            <w:vAlign w:val="center"/>
          </w:tcPr>
          <w:p w14:paraId="45E3779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p>
        </w:tc>
      </w:tr>
      <w:tr w14:paraId="3FF6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2D6925C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525" w:type="dxa"/>
            <w:vAlign w:val="center"/>
          </w:tcPr>
          <w:p w14:paraId="3CDB0E3D">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投标文件满足招标文件的其它实质性要求。</w:t>
            </w:r>
          </w:p>
        </w:tc>
        <w:tc>
          <w:tcPr>
            <w:tcW w:w="3323" w:type="dxa"/>
            <w:vAlign w:val="center"/>
          </w:tcPr>
          <w:p w14:paraId="09C0A99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招标文件其它实质性要求相应的材料（“</w:t>
            </w:r>
            <w:r>
              <w:rPr>
                <w:rFonts w:hint="eastAsia" w:ascii="宋体" w:hAnsi="宋体" w:eastAsia="宋体" w:cs="宋体"/>
                <w:bCs/>
                <w:color w:val="auto"/>
                <w:sz w:val="24"/>
                <w:szCs w:val="24"/>
                <w:highlight w:val="none"/>
              </w:rPr>
              <w:t>★</w:t>
            </w:r>
            <w:r>
              <w:rPr>
                <w:rFonts w:hint="eastAsia" w:ascii="宋体" w:hAnsi="宋体" w:eastAsia="宋体" w:cs="宋体"/>
                <w:color w:val="auto"/>
                <w:kern w:val="0"/>
                <w:sz w:val="24"/>
                <w:szCs w:val="24"/>
                <w:highlight w:val="none"/>
              </w:rPr>
              <w:t>” 系指实质性要求条款，招标文件无其它实质性要求的，无需提供）</w:t>
            </w:r>
          </w:p>
        </w:tc>
        <w:tc>
          <w:tcPr>
            <w:tcW w:w="2250" w:type="dxa"/>
            <w:vAlign w:val="center"/>
          </w:tcPr>
          <w:p w14:paraId="2CBC4A9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p>
        </w:tc>
      </w:tr>
    </w:tbl>
    <w:p w14:paraId="552AD9E2">
      <w:pPr>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686CFDFB">
      <w:pPr>
        <w:jc w:val="center"/>
        <w:rPr>
          <w:rFonts w:hint="eastAsia" w:ascii="宋体" w:hAnsi="宋体" w:eastAsia="宋体" w:cs="宋体"/>
          <w:b/>
          <w:color w:val="auto"/>
          <w:kern w:val="0"/>
          <w:sz w:val="24"/>
          <w:szCs w:val="24"/>
          <w:highlight w:val="none"/>
        </w:rPr>
      </w:pPr>
    </w:p>
    <w:p w14:paraId="6793BE89">
      <w:pP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16B6A43B">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五</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zh-CN"/>
        </w:rPr>
        <w:t>政府采购供应商廉洁自律承诺书</w:t>
      </w:r>
    </w:p>
    <w:p w14:paraId="1038A864">
      <w:pPr>
        <w:snapToGrid w:val="0"/>
        <w:spacing w:line="360" w:lineRule="auto"/>
        <w:rPr>
          <w:rFonts w:hint="eastAsia" w:ascii="宋体" w:hAnsi="宋体" w:eastAsia="宋体" w:cs="宋体"/>
          <w:color w:val="auto"/>
          <w:sz w:val="24"/>
          <w:szCs w:val="24"/>
          <w:highlight w:val="none"/>
        </w:rPr>
      </w:pPr>
    </w:p>
    <w:p w14:paraId="64087457">
      <w:pPr>
        <w:snapToGrid w:val="0"/>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u w:val="single"/>
          <w:lang w:val="en-US" w:eastAsia="zh-CN"/>
        </w:rPr>
        <w:t>宁波市鄞州区数据服务中心</w:t>
      </w:r>
      <w:r>
        <w:rPr>
          <w:rFonts w:hint="eastAsia" w:ascii="宋体" w:hAnsi="宋体" w:eastAsia="宋体" w:cs="宋体"/>
          <w:color w:val="auto"/>
          <w:sz w:val="24"/>
          <w:szCs w:val="24"/>
          <w:highlight w:val="none"/>
          <w:u w:val="single"/>
          <w:lang w:val="en-US" w:eastAsia="zh-CN"/>
        </w:rPr>
        <w:t>、宁波中基国际招标有限公司</w:t>
      </w:r>
      <w:r>
        <w:rPr>
          <w:rFonts w:hint="eastAsia" w:ascii="宋体" w:hAnsi="宋体" w:eastAsia="宋体" w:cs="宋体"/>
          <w:color w:val="auto"/>
          <w:kern w:val="0"/>
          <w:sz w:val="24"/>
          <w:szCs w:val="24"/>
          <w:highlight w:val="none"/>
          <w:lang w:val="zh-CN"/>
        </w:rPr>
        <w:t>：</w:t>
      </w:r>
    </w:p>
    <w:p w14:paraId="4C486484">
      <w:pPr>
        <w:autoSpaceDE w:val="0"/>
        <w:autoSpaceDN w:val="0"/>
        <w:spacing w:line="360" w:lineRule="auto"/>
        <w:ind w:left="2" w:leftChars="1"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我单位响应你</w:t>
      </w:r>
      <w:r>
        <w:rPr>
          <w:rFonts w:hint="eastAsia" w:ascii="宋体" w:hAnsi="宋体" w:eastAsia="宋体" w:cs="宋体"/>
          <w:color w:val="auto"/>
          <w:sz w:val="24"/>
          <w:szCs w:val="24"/>
          <w:highlight w:val="none"/>
        </w:rPr>
        <w:t>单位</w:t>
      </w:r>
      <w:r>
        <w:rPr>
          <w:rFonts w:hint="eastAsia" w:ascii="宋体" w:hAnsi="宋体" w:eastAsia="宋体" w:cs="宋体"/>
          <w:color w:val="auto"/>
          <w:kern w:val="0"/>
          <w:sz w:val="24"/>
          <w:szCs w:val="24"/>
          <w:highlight w:val="none"/>
          <w:lang w:val="zh-CN"/>
        </w:rPr>
        <w:t>项目招标要求参加投标。在这次投标过程中和中标后，我们将严格遵守国家法律法规要求，并郑重承诺：</w:t>
      </w:r>
    </w:p>
    <w:p w14:paraId="4967F5EB">
      <w:pPr>
        <w:autoSpaceDE w:val="0"/>
        <w:autoSpaceDN w:val="0"/>
        <w:spacing w:line="360" w:lineRule="auto"/>
        <w:ind w:left="2" w:leftChars="1"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一、不向项目有关人员及部门赠送礼金礼物、有价证券、回扣以及中介费、介绍费、咨询费等好处费； </w:t>
      </w:r>
    </w:p>
    <w:p w14:paraId="24E85B55">
      <w:pPr>
        <w:autoSpaceDE w:val="0"/>
        <w:autoSpaceDN w:val="0"/>
        <w:spacing w:line="360" w:lineRule="auto"/>
        <w:ind w:left="2" w:leftChars="1"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二、不为项目有关人员及部门报销应由你方单位或个人支付的费用； </w:t>
      </w:r>
    </w:p>
    <w:p w14:paraId="639454C6">
      <w:pPr>
        <w:autoSpaceDE w:val="0"/>
        <w:autoSpaceDN w:val="0"/>
        <w:spacing w:line="360" w:lineRule="auto"/>
        <w:ind w:left="2" w:leftChars="1"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三、不向项目有关人员及部门提供有可能影响公正的宴请和健身娱乐等活动； </w:t>
      </w:r>
    </w:p>
    <w:p w14:paraId="533AC68A">
      <w:pPr>
        <w:autoSpaceDE w:val="0"/>
        <w:autoSpaceDN w:val="0"/>
        <w:spacing w:line="360" w:lineRule="auto"/>
        <w:ind w:left="2" w:leftChars="1"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四、不为项目有关人员及部门出国（境）、旅游等提供方便；</w:t>
      </w:r>
    </w:p>
    <w:p w14:paraId="2F5ED056">
      <w:pPr>
        <w:autoSpaceDE w:val="0"/>
        <w:autoSpaceDN w:val="0"/>
        <w:spacing w:line="360" w:lineRule="auto"/>
        <w:ind w:left="481" w:leftChars="229"/>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五、不为项目有关人员个人装修住房、婚丧嫁娶、配偶子女工作安排等提供</w:t>
      </w:r>
    </w:p>
    <w:p w14:paraId="3D5F6B4B">
      <w:pPr>
        <w:autoSpaceDE w:val="0"/>
        <w:autoSpaceDN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好处；</w:t>
      </w:r>
    </w:p>
    <w:p w14:paraId="7A63B6AC">
      <w:pPr>
        <w:autoSpaceDE w:val="0"/>
        <w:autoSpaceDN w:val="0"/>
        <w:spacing w:line="360" w:lineRule="auto"/>
        <w:ind w:left="481" w:leftChars="229"/>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六、严格遵守《</w:t>
      </w:r>
      <w:r>
        <w:rPr>
          <w:rFonts w:hint="eastAsia" w:ascii="宋体" w:hAnsi="宋体" w:eastAsia="宋体" w:cs="宋体"/>
          <w:color w:val="auto"/>
          <w:sz w:val="24"/>
          <w:szCs w:val="24"/>
          <w:highlight w:val="none"/>
          <w:lang w:val="zh-CN"/>
        </w:rPr>
        <w:t>中华人民共和国</w:t>
      </w:r>
      <w:r>
        <w:rPr>
          <w:rFonts w:hint="eastAsia" w:ascii="宋体" w:hAnsi="宋体" w:eastAsia="宋体" w:cs="宋体"/>
          <w:color w:val="auto"/>
          <w:kern w:val="0"/>
          <w:sz w:val="24"/>
          <w:szCs w:val="24"/>
          <w:highlight w:val="none"/>
          <w:lang w:val="zh-CN"/>
        </w:rPr>
        <w:t>政府采购法》、《</w:t>
      </w:r>
      <w:r>
        <w:rPr>
          <w:rFonts w:hint="eastAsia" w:ascii="宋体" w:hAnsi="宋体" w:eastAsia="宋体" w:cs="宋体"/>
          <w:color w:val="auto"/>
          <w:sz w:val="24"/>
          <w:szCs w:val="24"/>
          <w:highlight w:val="none"/>
          <w:lang w:val="zh-CN"/>
        </w:rPr>
        <w:t>中华人民共和国</w:t>
      </w:r>
      <w:r>
        <w:rPr>
          <w:rFonts w:hint="eastAsia" w:ascii="宋体" w:hAnsi="宋体" w:eastAsia="宋体" w:cs="宋体"/>
          <w:color w:val="auto"/>
          <w:kern w:val="0"/>
          <w:sz w:val="24"/>
          <w:szCs w:val="24"/>
          <w:highlight w:val="none"/>
          <w:lang w:val="zh-CN"/>
        </w:rPr>
        <w:t>招标投标</w:t>
      </w:r>
      <w:r>
        <w:rPr>
          <w:rFonts w:hint="eastAsia" w:ascii="宋体" w:hAnsi="宋体" w:eastAsia="宋体" w:cs="宋体"/>
          <w:color w:val="auto"/>
          <w:kern w:val="0"/>
          <w:sz w:val="24"/>
          <w:szCs w:val="24"/>
          <w:highlight w:val="none"/>
          <w:lang w:val="en-US" w:eastAsia="zh-CN"/>
        </w:rPr>
        <w:t>法》、</w:t>
      </w:r>
    </w:p>
    <w:p w14:paraId="103D3C7D">
      <w:pPr>
        <w:autoSpaceDE w:val="0"/>
        <w:autoSpaceDN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zh-CN"/>
        </w:rPr>
        <w:t>《中华人民共和国民法典》</w:t>
      </w:r>
      <w:r>
        <w:rPr>
          <w:rFonts w:hint="eastAsia" w:ascii="宋体" w:hAnsi="宋体" w:eastAsia="宋体" w:cs="宋体"/>
          <w:color w:val="auto"/>
          <w:kern w:val="0"/>
          <w:sz w:val="24"/>
          <w:szCs w:val="24"/>
          <w:highlight w:val="none"/>
          <w:lang w:val="zh-CN"/>
        </w:rPr>
        <w:t xml:space="preserve">等法律法规，诚实守信，合法经营，坚决抵制各种违法违纪行为。 </w:t>
      </w:r>
    </w:p>
    <w:p w14:paraId="7D30E487">
      <w:pPr>
        <w:autoSpaceDE w:val="0"/>
        <w:autoSpaceDN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如违反上述承诺，你</w:t>
      </w:r>
      <w:r>
        <w:rPr>
          <w:rFonts w:hint="eastAsia" w:ascii="宋体" w:hAnsi="宋体" w:eastAsia="宋体" w:cs="宋体"/>
          <w:color w:val="auto"/>
          <w:sz w:val="24"/>
          <w:szCs w:val="24"/>
          <w:highlight w:val="none"/>
        </w:rPr>
        <w:t>单位</w:t>
      </w:r>
      <w:r>
        <w:rPr>
          <w:rFonts w:hint="eastAsia" w:ascii="宋体" w:hAnsi="宋体" w:eastAsia="宋体" w:cs="宋体"/>
          <w:color w:val="auto"/>
          <w:kern w:val="0"/>
          <w:sz w:val="24"/>
          <w:szCs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szCs w:val="24"/>
          <w:highlight w:val="none"/>
        </w:rPr>
        <w:t>单位</w:t>
      </w:r>
      <w:r>
        <w:rPr>
          <w:rFonts w:hint="eastAsia" w:ascii="宋体" w:hAnsi="宋体" w:eastAsia="宋体" w:cs="宋体"/>
          <w:color w:val="auto"/>
          <w:kern w:val="0"/>
          <w:sz w:val="24"/>
          <w:szCs w:val="24"/>
          <w:highlight w:val="none"/>
          <w:lang w:val="zh-CN"/>
        </w:rPr>
        <w:t>进行项目建设或其他经营活动，并通报市财政局。由此引起的相应损失均由我单位承担。</w:t>
      </w:r>
    </w:p>
    <w:p w14:paraId="76BDBC9E">
      <w:pPr>
        <w:autoSpaceDE w:val="0"/>
        <w:autoSpaceDN w:val="0"/>
        <w:spacing w:line="360" w:lineRule="auto"/>
        <w:ind w:left="2"/>
        <w:jc w:val="left"/>
        <w:rPr>
          <w:rFonts w:hint="eastAsia" w:ascii="宋体" w:hAnsi="宋体" w:eastAsia="宋体" w:cs="宋体"/>
          <w:color w:val="auto"/>
          <w:kern w:val="0"/>
          <w:sz w:val="24"/>
          <w:szCs w:val="24"/>
          <w:highlight w:val="none"/>
          <w:lang w:val="zh-CN"/>
        </w:rPr>
      </w:pPr>
    </w:p>
    <w:p w14:paraId="317761A9">
      <w:pPr>
        <w:autoSpaceDE w:val="0"/>
        <w:autoSpaceDN w:val="0"/>
        <w:spacing w:line="360" w:lineRule="auto"/>
        <w:ind w:left="2"/>
        <w:jc w:val="left"/>
        <w:rPr>
          <w:rFonts w:hint="eastAsia" w:ascii="宋体" w:hAnsi="宋体" w:eastAsia="宋体" w:cs="宋体"/>
          <w:color w:val="auto"/>
          <w:kern w:val="0"/>
          <w:sz w:val="24"/>
          <w:szCs w:val="24"/>
          <w:highlight w:val="none"/>
          <w:lang w:val="zh-CN"/>
        </w:rPr>
      </w:pPr>
    </w:p>
    <w:p w14:paraId="3B167E4B">
      <w:pPr>
        <w:autoSpaceDE w:val="0"/>
        <w:autoSpaceDN w:val="0"/>
        <w:spacing w:line="360" w:lineRule="auto"/>
        <w:ind w:left="2"/>
        <w:jc w:val="left"/>
        <w:rPr>
          <w:rFonts w:hint="eastAsia" w:ascii="宋体" w:hAnsi="宋体" w:eastAsia="宋体" w:cs="宋体"/>
          <w:color w:val="auto"/>
          <w:kern w:val="0"/>
          <w:sz w:val="24"/>
          <w:szCs w:val="24"/>
          <w:highlight w:val="none"/>
          <w:lang w:val="zh-CN"/>
        </w:rPr>
      </w:pPr>
    </w:p>
    <w:p w14:paraId="4B04656E">
      <w:pPr>
        <w:autoSpaceDE w:val="0"/>
        <w:autoSpaceDN w:val="0"/>
        <w:spacing w:line="360" w:lineRule="auto"/>
        <w:ind w:left="2" w:leftChars="1" w:right="1120" w:firstLine="4560" w:firstLineChars="19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kern w:val="0"/>
          <w:sz w:val="24"/>
          <w:szCs w:val="24"/>
          <w:highlight w:val="none"/>
          <w:lang w:val="zh-CN"/>
        </w:rPr>
        <w:t xml:space="preserve">)：                                                                                                                                                                                                               </w:t>
      </w:r>
    </w:p>
    <w:p w14:paraId="58829BDA">
      <w:pPr>
        <w:spacing w:line="360" w:lineRule="auto"/>
        <w:ind w:left="4620" w:leftChars="2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 xml:space="preserve">   年   月   日</w:t>
      </w:r>
    </w:p>
    <w:p w14:paraId="3887E930">
      <w:pPr>
        <w:spacing w:line="360" w:lineRule="auto"/>
        <w:jc w:val="center"/>
        <w:rPr>
          <w:rFonts w:hint="eastAsia" w:ascii="宋体" w:hAnsi="宋体" w:eastAsia="宋体" w:cs="宋体"/>
          <w:b/>
          <w:bCs/>
          <w:color w:val="auto"/>
          <w:sz w:val="24"/>
          <w:szCs w:val="24"/>
          <w:highlight w:val="none"/>
        </w:rPr>
      </w:pPr>
    </w:p>
    <w:p w14:paraId="6ED6E0BD">
      <w:pPr>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7B3A1DB8">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36EB120">
      <w:pPr>
        <w:jc w:val="center"/>
        <w:rPr>
          <w:rFonts w:hint="eastAsia" w:ascii="宋体" w:hAnsi="宋体" w:eastAsia="宋体" w:cs="宋体"/>
          <w:b/>
          <w:color w:val="auto"/>
          <w:kern w:val="0"/>
          <w:sz w:val="24"/>
          <w:szCs w:val="24"/>
          <w:highlight w:val="none"/>
        </w:rPr>
      </w:pPr>
    </w:p>
    <w:p w14:paraId="2A348566">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六</w:t>
      </w:r>
      <w:r>
        <w:rPr>
          <w:rFonts w:hint="eastAsia" w:ascii="宋体" w:hAnsi="宋体" w:eastAsia="宋体" w:cs="宋体"/>
          <w:b/>
          <w:color w:val="auto"/>
          <w:kern w:val="0"/>
          <w:sz w:val="24"/>
          <w:szCs w:val="24"/>
          <w:highlight w:val="none"/>
        </w:rPr>
        <w:t>、商务技术偏离表</w:t>
      </w:r>
    </w:p>
    <w:tbl>
      <w:tblPr>
        <w:tblStyle w:val="66"/>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328"/>
        <w:gridCol w:w="3287"/>
        <w:gridCol w:w="1425"/>
      </w:tblGrid>
      <w:tr w14:paraId="5CB8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1FDEB85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328" w:type="dxa"/>
          </w:tcPr>
          <w:p w14:paraId="453A6B3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招标文件章节及具体内容</w:t>
            </w:r>
          </w:p>
        </w:tc>
        <w:tc>
          <w:tcPr>
            <w:tcW w:w="3287" w:type="dxa"/>
          </w:tcPr>
          <w:p w14:paraId="0417C0C2">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投标文件章节及具体内容</w:t>
            </w:r>
          </w:p>
        </w:tc>
        <w:tc>
          <w:tcPr>
            <w:tcW w:w="1425" w:type="dxa"/>
          </w:tcPr>
          <w:p w14:paraId="05DE9AE2">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14:paraId="581A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24713650">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328" w:type="dxa"/>
          </w:tcPr>
          <w:p w14:paraId="6821EBFA">
            <w:pPr>
              <w:jc w:val="center"/>
              <w:rPr>
                <w:rFonts w:hint="eastAsia" w:ascii="宋体" w:hAnsi="宋体" w:eastAsia="宋体" w:cs="宋体"/>
                <w:b/>
                <w:color w:val="auto"/>
                <w:kern w:val="0"/>
                <w:sz w:val="24"/>
                <w:szCs w:val="24"/>
                <w:highlight w:val="none"/>
              </w:rPr>
            </w:pPr>
          </w:p>
        </w:tc>
        <w:tc>
          <w:tcPr>
            <w:tcW w:w="3287" w:type="dxa"/>
          </w:tcPr>
          <w:p w14:paraId="185A633D">
            <w:pPr>
              <w:jc w:val="center"/>
              <w:rPr>
                <w:rFonts w:hint="eastAsia" w:ascii="宋体" w:hAnsi="宋体" w:eastAsia="宋体" w:cs="宋体"/>
                <w:b/>
                <w:color w:val="auto"/>
                <w:kern w:val="0"/>
                <w:sz w:val="24"/>
                <w:szCs w:val="24"/>
                <w:highlight w:val="none"/>
              </w:rPr>
            </w:pPr>
          </w:p>
        </w:tc>
        <w:tc>
          <w:tcPr>
            <w:tcW w:w="1425" w:type="dxa"/>
          </w:tcPr>
          <w:p w14:paraId="7BB627D5">
            <w:pPr>
              <w:jc w:val="center"/>
              <w:rPr>
                <w:rFonts w:hint="eastAsia" w:ascii="宋体" w:hAnsi="宋体" w:eastAsia="宋体" w:cs="宋体"/>
                <w:b/>
                <w:color w:val="auto"/>
                <w:kern w:val="0"/>
                <w:sz w:val="24"/>
                <w:szCs w:val="24"/>
                <w:highlight w:val="none"/>
              </w:rPr>
            </w:pPr>
          </w:p>
        </w:tc>
      </w:tr>
      <w:tr w14:paraId="0832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3A52A85B">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328" w:type="dxa"/>
          </w:tcPr>
          <w:p w14:paraId="69392937">
            <w:pPr>
              <w:jc w:val="center"/>
              <w:rPr>
                <w:rFonts w:hint="eastAsia" w:ascii="宋体" w:hAnsi="宋体" w:eastAsia="宋体" w:cs="宋体"/>
                <w:b/>
                <w:color w:val="auto"/>
                <w:kern w:val="0"/>
                <w:sz w:val="24"/>
                <w:szCs w:val="24"/>
                <w:highlight w:val="none"/>
              </w:rPr>
            </w:pPr>
          </w:p>
        </w:tc>
        <w:tc>
          <w:tcPr>
            <w:tcW w:w="3287" w:type="dxa"/>
          </w:tcPr>
          <w:p w14:paraId="499DE585">
            <w:pPr>
              <w:jc w:val="center"/>
              <w:rPr>
                <w:rFonts w:hint="eastAsia" w:ascii="宋体" w:hAnsi="宋体" w:eastAsia="宋体" w:cs="宋体"/>
                <w:b/>
                <w:color w:val="auto"/>
                <w:kern w:val="0"/>
                <w:sz w:val="24"/>
                <w:szCs w:val="24"/>
                <w:highlight w:val="none"/>
              </w:rPr>
            </w:pPr>
          </w:p>
        </w:tc>
        <w:tc>
          <w:tcPr>
            <w:tcW w:w="1425" w:type="dxa"/>
          </w:tcPr>
          <w:p w14:paraId="7C2865E5">
            <w:pPr>
              <w:jc w:val="center"/>
              <w:rPr>
                <w:rFonts w:hint="eastAsia" w:ascii="宋体" w:hAnsi="宋体" w:eastAsia="宋体" w:cs="宋体"/>
                <w:b/>
                <w:color w:val="auto"/>
                <w:kern w:val="0"/>
                <w:sz w:val="24"/>
                <w:szCs w:val="24"/>
                <w:highlight w:val="none"/>
              </w:rPr>
            </w:pPr>
          </w:p>
        </w:tc>
      </w:tr>
      <w:tr w14:paraId="3C28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6EE8C17E">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3328" w:type="dxa"/>
          </w:tcPr>
          <w:p w14:paraId="4AA0D257">
            <w:pPr>
              <w:jc w:val="center"/>
              <w:rPr>
                <w:rFonts w:hint="eastAsia" w:ascii="宋体" w:hAnsi="宋体" w:eastAsia="宋体" w:cs="宋体"/>
                <w:b/>
                <w:color w:val="auto"/>
                <w:kern w:val="0"/>
                <w:sz w:val="24"/>
                <w:szCs w:val="24"/>
                <w:highlight w:val="none"/>
              </w:rPr>
            </w:pPr>
          </w:p>
        </w:tc>
        <w:tc>
          <w:tcPr>
            <w:tcW w:w="3287" w:type="dxa"/>
          </w:tcPr>
          <w:p w14:paraId="334DD44B">
            <w:pPr>
              <w:jc w:val="center"/>
              <w:rPr>
                <w:rFonts w:hint="eastAsia" w:ascii="宋体" w:hAnsi="宋体" w:eastAsia="宋体" w:cs="宋体"/>
                <w:b/>
                <w:color w:val="auto"/>
                <w:kern w:val="0"/>
                <w:sz w:val="24"/>
                <w:szCs w:val="24"/>
                <w:highlight w:val="none"/>
              </w:rPr>
            </w:pPr>
          </w:p>
        </w:tc>
        <w:tc>
          <w:tcPr>
            <w:tcW w:w="1425" w:type="dxa"/>
          </w:tcPr>
          <w:p w14:paraId="5A4335E1">
            <w:pPr>
              <w:jc w:val="center"/>
              <w:rPr>
                <w:rFonts w:hint="eastAsia" w:ascii="宋体" w:hAnsi="宋体" w:eastAsia="宋体" w:cs="宋体"/>
                <w:b/>
                <w:color w:val="auto"/>
                <w:kern w:val="0"/>
                <w:sz w:val="24"/>
                <w:szCs w:val="24"/>
                <w:highlight w:val="none"/>
              </w:rPr>
            </w:pPr>
          </w:p>
        </w:tc>
      </w:tr>
    </w:tbl>
    <w:p w14:paraId="1E69B65C">
      <w:pPr>
        <w:jc w:val="center"/>
        <w:rPr>
          <w:rFonts w:hint="eastAsia" w:ascii="宋体" w:hAnsi="宋体" w:eastAsia="宋体" w:cs="宋体"/>
          <w:b/>
          <w:color w:val="auto"/>
          <w:kern w:val="0"/>
          <w:sz w:val="24"/>
          <w:szCs w:val="24"/>
          <w:highlight w:val="none"/>
        </w:rPr>
      </w:pPr>
    </w:p>
    <w:p w14:paraId="40040D2D">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『编制说明』：</w:t>
      </w:r>
    </w:p>
    <w:p w14:paraId="7A42B307">
      <w:pPr>
        <w:numPr>
          <w:ilvl w:val="0"/>
          <w:numId w:val="0"/>
        </w:numPr>
        <w:adjustRightInd w:val="0"/>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eastAsia="宋体" w:cs="宋体"/>
          <w:b/>
          <w:bCs/>
          <w:color w:val="auto"/>
          <w:sz w:val="24"/>
          <w:szCs w:val="24"/>
          <w:highlight w:val="none"/>
          <w:lang w:val="en-US" w:eastAsia="zh-CN"/>
        </w:rPr>
        <w:t>投标人需按“第三部分  采购需求”中各项要求（包含技术需求及商务、其他要求）一一对应,在本表中如实填写具体响应(有技术参数的提供响应的技术参数)，未按要求填写的，有可能作负偏离处理。</w:t>
      </w:r>
    </w:p>
    <w:p w14:paraId="61A6DD91">
      <w:pPr>
        <w:numPr>
          <w:ilvl w:val="0"/>
          <w:numId w:val="0"/>
        </w:num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eastAsia="宋体" w:cs="宋体"/>
          <w:b/>
          <w:bCs/>
          <w:color w:val="auto"/>
          <w:sz w:val="24"/>
          <w:szCs w:val="24"/>
          <w:highlight w:val="none"/>
        </w:rPr>
        <w:t>偏离说明是指对</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rPr>
        <w:t>文件要求存在不同之处的解释说明。偏离系指：正偏离（高于采购需求）、负偏离（低于采购需求）、无偏离（满足采购需求）</w:t>
      </w:r>
    </w:p>
    <w:p w14:paraId="57A0C153">
      <w:pPr>
        <w:widowControl/>
        <w:spacing w:line="360" w:lineRule="auto"/>
        <w:jc w:val="left"/>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技术指标若有要求供应商提供相应佐证材料的，供应商未提供相应佐证材料或者供应商的响应承诺与其佐证材料不一致的，评审小组会将以不利于供应商的内容为准进行评审（负偏离）。</w:t>
      </w:r>
    </w:p>
    <w:p w14:paraId="2AAB7A69">
      <w:pPr>
        <w:pStyle w:val="64"/>
        <w:rPr>
          <w:rFonts w:hint="eastAsia" w:ascii="宋体" w:hAnsi="宋体" w:eastAsia="宋体" w:cs="宋体"/>
          <w:color w:val="auto"/>
          <w:sz w:val="24"/>
          <w:szCs w:val="24"/>
          <w:highlight w:val="none"/>
        </w:rPr>
      </w:pPr>
    </w:p>
    <w:p w14:paraId="729818FC">
      <w:pPr>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46FF0B4E">
      <w:pPr>
        <w:widowControl/>
        <w:adjustRightInd/>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3BD963F9">
      <w:pPr>
        <w:jc w:val="center"/>
        <w:rPr>
          <w:rFonts w:hint="eastAsia" w:ascii="宋体" w:hAnsi="宋体" w:eastAsia="宋体" w:cs="宋体"/>
          <w:color w:val="auto"/>
          <w:sz w:val="24"/>
          <w:szCs w:val="24"/>
          <w:highlight w:val="none"/>
        </w:rPr>
      </w:pPr>
      <w:r>
        <w:rPr>
          <w:rFonts w:hint="eastAsia" w:ascii="宋体" w:hAnsi="宋体" w:cs="宋体"/>
          <w:b/>
          <w:color w:val="auto"/>
          <w:kern w:val="0"/>
          <w:sz w:val="24"/>
          <w:szCs w:val="24"/>
          <w:highlight w:val="none"/>
          <w:lang w:val="en-US" w:eastAsia="zh-CN"/>
        </w:rPr>
        <w:t>七</w:t>
      </w:r>
      <w:r>
        <w:rPr>
          <w:rFonts w:hint="eastAsia" w:ascii="宋体" w:hAnsi="宋体" w:eastAsia="宋体" w:cs="宋体"/>
          <w:b/>
          <w:color w:val="auto"/>
          <w:kern w:val="0"/>
          <w:sz w:val="24"/>
          <w:szCs w:val="24"/>
          <w:highlight w:val="none"/>
        </w:rPr>
        <w:t>、评标标准相应的商务技术资料</w:t>
      </w:r>
    </w:p>
    <w:p w14:paraId="26240195">
      <w:pPr>
        <w:snapToGrid w:val="0"/>
        <w:spacing w:line="360" w:lineRule="auto"/>
        <w:ind w:firstLine="960" w:firstLineChars="400"/>
        <w:rPr>
          <w:rFonts w:hint="eastAsia" w:ascii="宋体" w:hAnsi="宋体" w:eastAsia="宋体" w:cs="宋体"/>
          <w:color w:val="auto"/>
          <w:sz w:val="24"/>
          <w:szCs w:val="24"/>
          <w:highlight w:val="none"/>
          <w:lang w:val="en-US" w:eastAsia="zh-CN"/>
        </w:rPr>
      </w:pPr>
    </w:p>
    <w:p w14:paraId="20BBB96C">
      <w:pPr>
        <w:snapToGrid w:val="0"/>
        <w:spacing w:line="360" w:lineRule="auto"/>
        <w:ind w:left="958" w:leftChars="456"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（1）系统设计方案</w:t>
      </w:r>
      <w:r>
        <w:rPr>
          <w:rFonts w:hint="eastAsia" w:ascii="宋体" w:hAnsi="宋体" w:cs="宋体"/>
          <w:color w:val="auto"/>
          <w:kern w:val="2"/>
          <w:sz w:val="24"/>
          <w:szCs w:val="24"/>
          <w:highlight w:val="none"/>
          <w:lang w:val="en-US" w:eastAsia="zh-CN" w:bidi="ar-SA"/>
        </w:rPr>
        <w:t>；</w:t>
      </w:r>
    </w:p>
    <w:p w14:paraId="4DA5625D">
      <w:pPr>
        <w:snapToGrid w:val="0"/>
        <w:spacing w:line="360" w:lineRule="auto"/>
        <w:ind w:left="958" w:leftChars="456"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项目实施方案</w:t>
      </w:r>
      <w:r>
        <w:rPr>
          <w:rFonts w:hint="eastAsia" w:ascii="宋体" w:hAnsi="宋体" w:cs="宋体"/>
          <w:color w:val="auto"/>
          <w:kern w:val="2"/>
          <w:sz w:val="24"/>
          <w:szCs w:val="24"/>
          <w:highlight w:val="none"/>
          <w:lang w:val="en-US" w:eastAsia="zh-CN" w:bidi="ar-SA"/>
        </w:rPr>
        <w:t>；</w:t>
      </w:r>
    </w:p>
    <w:p w14:paraId="7FAB320D">
      <w:pPr>
        <w:snapToGrid w:val="0"/>
        <w:spacing w:line="360" w:lineRule="auto"/>
        <w:ind w:left="958" w:leftChars="456"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）项目保障及售后服务</w:t>
      </w:r>
      <w:r>
        <w:rPr>
          <w:rFonts w:hint="eastAsia" w:ascii="宋体" w:hAnsi="宋体" w:cs="宋体"/>
          <w:color w:val="auto"/>
          <w:kern w:val="2"/>
          <w:sz w:val="24"/>
          <w:szCs w:val="24"/>
          <w:highlight w:val="none"/>
          <w:lang w:val="en-US" w:eastAsia="zh-CN" w:bidi="ar-SA"/>
        </w:rPr>
        <w:t>；</w:t>
      </w:r>
    </w:p>
    <w:p w14:paraId="4F02A380">
      <w:pPr>
        <w:snapToGrid w:val="0"/>
        <w:spacing w:line="360" w:lineRule="auto"/>
        <w:ind w:left="958" w:leftChars="456"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（4）项目实施团队；</w:t>
      </w:r>
    </w:p>
    <w:p w14:paraId="3A79E29B">
      <w:pPr>
        <w:snapToGrid w:val="0"/>
        <w:spacing w:line="360" w:lineRule="auto"/>
        <w:ind w:left="958" w:leftChars="456"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综合实力</w:t>
      </w:r>
      <w:r>
        <w:rPr>
          <w:rFonts w:hint="eastAsia" w:ascii="宋体" w:hAnsi="宋体" w:eastAsia="宋体" w:cs="宋体"/>
          <w:color w:val="auto"/>
          <w:kern w:val="2"/>
          <w:sz w:val="24"/>
          <w:szCs w:val="24"/>
          <w:highlight w:val="none"/>
          <w:lang w:val="en-US" w:eastAsia="zh-CN" w:bidi="ar-SA"/>
        </w:rPr>
        <w:t>（按评分标准要求提供）；</w:t>
      </w:r>
    </w:p>
    <w:p w14:paraId="4685AB77">
      <w:pPr>
        <w:snapToGrid w:val="0"/>
        <w:spacing w:line="360" w:lineRule="auto"/>
        <w:ind w:left="958" w:leftChars="456"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业绩一览表（按评分标准要求提供）；</w:t>
      </w:r>
    </w:p>
    <w:p w14:paraId="416F824E">
      <w:pPr>
        <w:rPr>
          <w:rFonts w:hint="eastAsia" w:ascii="宋体" w:hAnsi="宋体" w:eastAsia="宋体" w:cs="宋体"/>
          <w:color w:val="auto"/>
          <w:sz w:val="24"/>
          <w:szCs w:val="24"/>
          <w:highlight w:val="none"/>
          <w:lang w:val="en-US" w:eastAsia="zh-CN"/>
        </w:rPr>
      </w:pPr>
    </w:p>
    <w:p w14:paraId="5F1B93F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业绩一览表</w:t>
      </w:r>
    </w:p>
    <w:tbl>
      <w:tblPr>
        <w:tblStyle w:val="65"/>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242D7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B0EE264">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024C8C12">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w:t>
            </w:r>
          </w:p>
        </w:tc>
        <w:tc>
          <w:tcPr>
            <w:tcW w:w="1297" w:type="dxa"/>
            <w:tcBorders>
              <w:top w:val="single" w:color="auto" w:sz="4" w:space="0"/>
              <w:left w:val="single" w:color="auto" w:sz="4" w:space="0"/>
              <w:right w:val="single" w:color="auto" w:sz="4" w:space="0"/>
            </w:tcBorders>
            <w:vAlign w:val="center"/>
          </w:tcPr>
          <w:p w14:paraId="63DED484">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24D0B47C">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合同金额</w:t>
            </w:r>
          </w:p>
          <w:p w14:paraId="5AF8C1D5">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151FDED9">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03E7DF5B">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合同签订时间</w:t>
            </w:r>
          </w:p>
        </w:tc>
      </w:tr>
      <w:tr w14:paraId="4B461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13D2EF0">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65" w:type="dxa"/>
            <w:tcBorders>
              <w:top w:val="single" w:color="auto" w:sz="4" w:space="0"/>
              <w:left w:val="single" w:color="auto" w:sz="4" w:space="0"/>
              <w:bottom w:val="single" w:color="auto" w:sz="4" w:space="0"/>
              <w:right w:val="single" w:color="auto" w:sz="4" w:space="0"/>
            </w:tcBorders>
            <w:vAlign w:val="center"/>
          </w:tcPr>
          <w:p w14:paraId="67C29EF3">
            <w:pPr>
              <w:spacing w:line="360" w:lineRule="exact"/>
              <w:jc w:val="left"/>
              <w:rPr>
                <w:rFonts w:hint="eastAsia" w:ascii="宋体" w:hAnsi="宋体" w:eastAsia="宋体" w:cs="宋体"/>
                <w:color w:val="auto"/>
                <w:kern w:val="0"/>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3D514F51">
            <w:pPr>
              <w:spacing w:line="360" w:lineRule="exact"/>
              <w:jc w:val="left"/>
              <w:rPr>
                <w:rFonts w:hint="eastAsia" w:ascii="宋体" w:hAnsi="宋体" w:eastAsia="宋体" w:cs="宋体"/>
                <w:color w:val="auto"/>
                <w:kern w:val="0"/>
                <w:sz w:val="24"/>
                <w:szCs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72CED556">
            <w:pPr>
              <w:spacing w:line="360" w:lineRule="exact"/>
              <w:jc w:val="left"/>
              <w:rPr>
                <w:rFonts w:hint="eastAsia" w:ascii="宋体" w:hAnsi="宋体" w:eastAsia="宋体" w:cs="宋体"/>
                <w:color w:val="auto"/>
                <w:kern w:val="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E020423">
            <w:pPr>
              <w:spacing w:line="360" w:lineRule="exact"/>
              <w:jc w:val="left"/>
              <w:rPr>
                <w:rFonts w:hint="eastAsia" w:ascii="宋体" w:hAnsi="宋体" w:eastAsia="宋体" w:cs="宋体"/>
                <w:color w:val="auto"/>
                <w:kern w:val="0"/>
                <w:sz w:val="24"/>
                <w:szCs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016CA8A">
            <w:pPr>
              <w:spacing w:line="360" w:lineRule="exact"/>
              <w:jc w:val="left"/>
              <w:rPr>
                <w:rFonts w:hint="eastAsia" w:ascii="宋体" w:hAnsi="宋体" w:eastAsia="宋体" w:cs="宋体"/>
                <w:color w:val="auto"/>
                <w:kern w:val="0"/>
                <w:sz w:val="24"/>
                <w:szCs w:val="24"/>
                <w:highlight w:val="none"/>
              </w:rPr>
            </w:pPr>
          </w:p>
        </w:tc>
      </w:tr>
      <w:tr w14:paraId="208FD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2D959E2C">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365" w:type="dxa"/>
            <w:tcBorders>
              <w:top w:val="single" w:color="auto" w:sz="4" w:space="0"/>
              <w:left w:val="single" w:color="auto" w:sz="4" w:space="0"/>
              <w:bottom w:val="single" w:color="auto" w:sz="4" w:space="0"/>
              <w:right w:val="single" w:color="auto" w:sz="4" w:space="0"/>
            </w:tcBorders>
            <w:vAlign w:val="center"/>
          </w:tcPr>
          <w:p w14:paraId="0E8D6773">
            <w:pPr>
              <w:spacing w:line="360" w:lineRule="exact"/>
              <w:jc w:val="left"/>
              <w:rPr>
                <w:rFonts w:hint="eastAsia" w:ascii="宋体" w:hAnsi="宋体" w:eastAsia="宋体" w:cs="宋体"/>
                <w:color w:val="auto"/>
                <w:kern w:val="0"/>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0C64D902">
            <w:pPr>
              <w:spacing w:line="360" w:lineRule="exact"/>
              <w:jc w:val="left"/>
              <w:rPr>
                <w:rFonts w:hint="eastAsia" w:ascii="宋体" w:hAnsi="宋体" w:eastAsia="宋体" w:cs="宋体"/>
                <w:color w:val="auto"/>
                <w:kern w:val="0"/>
                <w:sz w:val="24"/>
                <w:szCs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E52239E">
            <w:pPr>
              <w:spacing w:line="360" w:lineRule="exact"/>
              <w:jc w:val="left"/>
              <w:rPr>
                <w:rFonts w:hint="eastAsia" w:ascii="宋体" w:hAnsi="宋体" w:eastAsia="宋体" w:cs="宋体"/>
                <w:color w:val="auto"/>
                <w:kern w:val="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271B90A">
            <w:pPr>
              <w:spacing w:line="360" w:lineRule="exact"/>
              <w:jc w:val="left"/>
              <w:rPr>
                <w:rFonts w:hint="eastAsia" w:ascii="宋体" w:hAnsi="宋体" w:eastAsia="宋体" w:cs="宋体"/>
                <w:color w:val="auto"/>
                <w:kern w:val="0"/>
                <w:sz w:val="24"/>
                <w:szCs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E8E8940">
            <w:pPr>
              <w:spacing w:line="360" w:lineRule="exact"/>
              <w:jc w:val="left"/>
              <w:rPr>
                <w:rFonts w:hint="eastAsia" w:ascii="宋体" w:hAnsi="宋体" w:eastAsia="宋体" w:cs="宋体"/>
                <w:color w:val="auto"/>
                <w:kern w:val="0"/>
                <w:sz w:val="24"/>
                <w:szCs w:val="24"/>
                <w:highlight w:val="none"/>
              </w:rPr>
            </w:pPr>
          </w:p>
        </w:tc>
      </w:tr>
      <w:tr w14:paraId="4CC18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4518065">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365" w:type="dxa"/>
            <w:tcBorders>
              <w:top w:val="single" w:color="auto" w:sz="4" w:space="0"/>
              <w:left w:val="single" w:color="auto" w:sz="4" w:space="0"/>
              <w:bottom w:val="single" w:color="auto" w:sz="4" w:space="0"/>
              <w:right w:val="single" w:color="auto" w:sz="4" w:space="0"/>
            </w:tcBorders>
            <w:vAlign w:val="center"/>
          </w:tcPr>
          <w:p w14:paraId="60B3ED95">
            <w:pPr>
              <w:spacing w:line="360" w:lineRule="exact"/>
              <w:jc w:val="left"/>
              <w:rPr>
                <w:rFonts w:hint="eastAsia" w:ascii="宋体" w:hAnsi="宋体" w:eastAsia="宋体" w:cs="宋体"/>
                <w:color w:val="auto"/>
                <w:kern w:val="0"/>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22ED1FCD">
            <w:pPr>
              <w:spacing w:line="360" w:lineRule="exact"/>
              <w:jc w:val="left"/>
              <w:rPr>
                <w:rFonts w:hint="eastAsia" w:ascii="宋体" w:hAnsi="宋体" w:eastAsia="宋体" w:cs="宋体"/>
                <w:color w:val="auto"/>
                <w:kern w:val="0"/>
                <w:sz w:val="24"/>
                <w:szCs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3982F15">
            <w:pPr>
              <w:spacing w:line="360" w:lineRule="exact"/>
              <w:jc w:val="left"/>
              <w:rPr>
                <w:rFonts w:hint="eastAsia" w:ascii="宋体" w:hAnsi="宋体" w:eastAsia="宋体" w:cs="宋体"/>
                <w:color w:val="auto"/>
                <w:kern w:val="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231387B">
            <w:pPr>
              <w:spacing w:line="360" w:lineRule="exact"/>
              <w:jc w:val="left"/>
              <w:rPr>
                <w:rFonts w:hint="eastAsia" w:ascii="宋体" w:hAnsi="宋体" w:eastAsia="宋体" w:cs="宋体"/>
                <w:color w:val="auto"/>
                <w:kern w:val="0"/>
                <w:sz w:val="24"/>
                <w:szCs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F408674">
            <w:pPr>
              <w:spacing w:line="360" w:lineRule="exact"/>
              <w:jc w:val="left"/>
              <w:rPr>
                <w:rFonts w:hint="eastAsia" w:ascii="宋体" w:hAnsi="宋体" w:eastAsia="宋体" w:cs="宋体"/>
                <w:color w:val="auto"/>
                <w:kern w:val="0"/>
                <w:sz w:val="24"/>
                <w:szCs w:val="24"/>
                <w:highlight w:val="none"/>
              </w:rPr>
            </w:pPr>
          </w:p>
        </w:tc>
      </w:tr>
      <w:tr w14:paraId="32823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6630401">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365" w:type="dxa"/>
            <w:tcBorders>
              <w:top w:val="single" w:color="auto" w:sz="4" w:space="0"/>
              <w:left w:val="single" w:color="auto" w:sz="4" w:space="0"/>
              <w:bottom w:val="single" w:color="auto" w:sz="4" w:space="0"/>
              <w:right w:val="single" w:color="auto" w:sz="4" w:space="0"/>
            </w:tcBorders>
            <w:vAlign w:val="center"/>
          </w:tcPr>
          <w:p w14:paraId="3AB20E0B">
            <w:pPr>
              <w:spacing w:line="360" w:lineRule="exact"/>
              <w:jc w:val="left"/>
              <w:rPr>
                <w:rFonts w:hint="eastAsia" w:ascii="宋体" w:hAnsi="宋体" w:eastAsia="宋体" w:cs="宋体"/>
                <w:color w:val="auto"/>
                <w:kern w:val="0"/>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3B1D8078">
            <w:pPr>
              <w:spacing w:line="360" w:lineRule="exact"/>
              <w:jc w:val="left"/>
              <w:rPr>
                <w:rFonts w:hint="eastAsia" w:ascii="宋体" w:hAnsi="宋体" w:eastAsia="宋体" w:cs="宋体"/>
                <w:color w:val="auto"/>
                <w:kern w:val="0"/>
                <w:sz w:val="24"/>
                <w:szCs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6719F2EB">
            <w:pPr>
              <w:spacing w:line="360" w:lineRule="exact"/>
              <w:jc w:val="left"/>
              <w:rPr>
                <w:rFonts w:hint="eastAsia" w:ascii="宋体" w:hAnsi="宋体" w:eastAsia="宋体" w:cs="宋体"/>
                <w:color w:val="auto"/>
                <w:kern w:val="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B6F437E">
            <w:pPr>
              <w:spacing w:line="360" w:lineRule="exact"/>
              <w:jc w:val="left"/>
              <w:rPr>
                <w:rFonts w:hint="eastAsia" w:ascii="宋体" w:hAnsi="宋体" w:eastAsia="宋体" w:cs="宋体"/>
                <w:color w:val="auto"/>
                <w:kern w:val="0"/>
                <w:sz w:val="24"/>
                <w:szCs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34873E9">
            <w:pPr>
              <w:spacing w:line="360" w:lineRule="exact"/>
              <w:jc w:val="left"/>
              <w:rPr>
                <w:rFonts w:hint="eastAsia" w:ascii="宋体" w:hAnsi="宋体" w:eastAsia="宋体" w:cs="宋体"/>
                <w:color w:val="auto"/>
                <w:kern w:val="0"/>
                <w:sz w:val="24"/>
                <w:szCs w:val="24"/>
                <w:highlight w:val="none"/>
              </w:rPr>
            </w:pPr>
          </w:p>
        </w:tc>
      </w:tr>
      <w:tr w14:paraId="7E9F4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1D422DA5">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365" w:type="dxa"/>
            <w:tcBorders>
              <w:top w:val="single" w:color="auto" w:sz="4" w:space="0"/>
              <w:left w:val="single" w:color="auto" w:sz="4" w:space="0"/>
              <w:bottom w:val="single" w:color="auto" w:sz="4" w:space="0"/>
              <w:right w:val="single" w:color="auto" w:sz="4" w:space="0"/>
            </w:tcBorders>
            <w:vAlign w:val="center"/>
          </w:tcPr>
          <w:p w14:paraId="46CE9AB8">
            <w:pPr>
              <w:spacing w:line="360" w:lineRule="exact"/>
              <w:jc w:val="left"/>
              <w:rPr>
                <w:rFonts w:hint="eastAsia" w:ascii="宋体" w:hAnsi="宋体" w:eastAsia="宋体" w:cs="宋体"/>
                <w:color w:val="auto"/>
                <w:kern w:val="0"/>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3686972F">
            <w:pPr>
              <w:spacing w:line="360" w:lineRule="exact"/>
              <w:jc w:val="left"/>
              <w:rPr>
                <w:rFonts w:hint="eastAsia" w:ascii="宋体" w:hAnsi="宋体" w:eastAsia="宋体" w:cs="宋体"/>
                <w:color w:val="auto"/>
                <w:kern w:val="0"/>
                <w:sz w:val="24"/>
                <w:szCs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48D97BF">
            <w:pPr>
              <w:spacing w:line="360" w:lineRule="exact"/>
              <w:jc w:val="left"/>
              <w:rPr>
                <w:rFonts w:hint="eastAsia" w:ascii="宋体" w:hAnsi="宋体" w:eastAsia="宋体" w:cs="宋体"/>
                <w:color w:val="auto"/>
                <w:kern w:val="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DC536C2">
            <w:pPr>
              <w:spacing w:line="360" w:lineRule="exact"/>
              <w:jc w:val="left"/>
              <w:rPr>
                <w:rFonts w:hint="eastAsia" w:ascii="宋体" w:hAnsi="宋体" w:eastAsia="宋体" w:cs="宋体"/>
                <w:color w:val="auto"/>
                <w:kern w:val="0"/>
                <w:sz w:val="24"/>
                <w:szCs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CCD85C0">
            <w:pPr>
              <w:spacing w:line="360" w:lineRule="exact"/>
              <w:jc w:val="left"/>
              <w:rPr>
                <w:rFonts w:hint="eastAsia" w:ascii="宋体" w:hAnsi="宋体" w:eastAsia="宋体" w:cs="宋体"/>
                <w:color w:val="auto"/>
                <w:kern w:val="0"/>
                <w:sz w:val="24"/>
                <w:szCs w:val="24"/>
                <w:highlight w:val="none"/>
              </w:rPr>
            </w:pPr>
          </w:p>
        </w:tc>
      </w:tr>
    </w:tbl>
    <w:p w14:paraId="447AE4FC">
      <w:pPr>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附合同复印件加盖公章</w:t>
      </w:r>
    </w:p>
    <w:p w14:paraId="600F69C0">
      <w:pPr>
        <w:spacing w:line="360" w:lineRule="auto"/>
        <w:ind w:firstLine="480" w:firstLineChars="200"/>
        <w:jc w:val="left"/>
        <w:rPr>
          <w:rFonts w:hint="eastAsia" w:ascii="宋体" w:hAnsi="宋体" w:eastAsia="宋体" w:cs="宋体"/>
          <w:color w:val="auto"/>
          <w:kern w:val="0"/>
          <w:sz w:val="24"/>
          <w:szCs w:val="24"/>
          <w:highlight w:val="none"/>
          <w:lang w:val="zh-CN"/>
        </w:rPr>
      </w:pPr>
    </w:p>
    <w:p w14:paraId="73026248">
      <w:pPr>
        <w:spacing w:line="360" w:lineRule="auto"/>
        <w:ind w:firstLine="480" w:firstLineChars="200"/>
        <w:jc w:val="left"/>
        <w:rPr>
          <w:rFonts w:hint="eastAsia" w:ascii="宋体" w:hAnsi="宋体" w:eastAsia="宋体" w:cs="宋体"/>
          <w:color w:val="auto"/>
          <w:kern w:val="0"/>
          <w:sz w:val="24"/>
          <w:szCs w:val="24"/>
          <w:highlight w:val="none"/>
          <w:lang w:val="zh-CN"/>
        </w:rPr>
      </w:pPr>
    </w:p>
    <w:p w14:paraId="4C563CC1">
      <w:pPr>
        <w:autoSpaceDE w:val="0"/>
        <w:autoSpaceDN w:val="0"/>
        <w:spacing w:line="360" w:lineRule="auto"/>
        <w:ind w:left="2" w:leftChars="1" w:right="1120" w:firstLine="4560" w:firstLineChars="19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章</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zh-CN"/>
        </w:rPr>
        <w:t xml:space="preserve">：                                                                                                                                                                                                               </w:t>
      </w:r>
    </w:p>
    <w:p w14:paraId="09C66F6A">
      <w:pPr>
        <w:spacing w:line="360" w:lineRule="auto"/>
        <w:ind w:left="4620" w:leftChars="2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 xml:space="preserve">   年   月   日</w:t>
      </w:r>
    </w:p>
    <w:p w14:paraId="70191410">
      <w:pPr>
        <w:spacing w:line="360" w:lineRule="auto"/>
        <w:jc w:val="center"/>
        <w:rPr>
          <w:rFonts w:hint="eastAsia" w:ascii="宋体" w:hAnsi="宋体" w:eastAsia="宋体" w:cs="宋体"/>
          <w:b/>
          <w:bCs/>
          <w:color w:val="auto"/>
          <w:sz w:val="24"/>
          <w:szCs w:val="24"/>
          <w:highlight w:val="none"/>
        </w:rPr>
      </w:pPr>
    </w:p>
    <w:p w14:paraId="31328146">
      <w:pPr>
        <w:pStyle w:val="63"/>
        <w:rPr>
          <w:rFonts w:hint="eastAsia" w:ascii="宋体" w:hAnsi="宋体" w:eastAsia="宋体" w:cs="宋体"/>
          <w:color w:val="auto"/>
          <w:sz w:val="24"/>
          <w:szCs w:val="24"/>
          <w:highlight w:val="none"/>
          <w:lang w:eastAsia="zh-CN"/>
        </w:rPr>
      </w:pPr>
    </w:p>
    <w:p w14:paraId="28D4BDEC">
      <w:pPr>
        <w:pStyle w:val="25"/>
        <w:rPr>
          <w:rFonts w:hint="eastAsia" w:ascii="宋体" w:hAnsi="宋体" w:eastAsia="宋体" w:cs="宋体"/>
          <w:b/>
          <w:bCs/>
          <w:color w:val="auto"/>
          <w:sz w:val="24"/>
          <w:szCs w:val="24"/>
          <w:highlight w:val="none"/>
          <w:lang w:val="en-US" w:eastAsia="zh-CN"/>
        </w:rPr>
      </w:pPr>
    </w:p>
    <w:p w14:paraId="342FE95A">
      <w:pPr>
        <w:snapToGrid w:val="0"/>
        <w:spacing w:line="360" w:lineRule="auto"/>
        <w:ind w:firstLine="960" w:firstLineChars="4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）投标人认为需要提供的其他资料；</w:t>
      </w:r>
    </w:p>
    <w:p w14:paraId="240CB6C1">
      <w:pPr>
        <w:pStyle w:val="25"/>
        <w:rPr>
          <w:rFonts w:hint="eastAsia" w:ascii="宋体" w:hAnsi="宋体" w:eastAsia="宋体" w:cs="宋体"/>
          <w:color w:val="auto"/>
          <w:sz w:val="24"/>
          <w:szCs w:val="24"/>
          <w:highlight w:val="none"/>
          <w:lang w:val="en-US"/>
        </w:rPr>
      </w:pPr>
    </w:p>
    <w:p w14:paraId="799A53F7">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5D8D2AE5">
      <w:pPr>
        <w:bidi w:val="0"/>
        <w:jc w:val="center"/>
        <w:rPr>
          <w:rFonts w:hint="eastAsia" w:ascii="宋体" w:hAnsi="宋体" w:eastAsia="宋体" w:cs="宋体"/>
          <w:b/>
          <w:bCs/>
          <w:color w:val="auto"/>
          <w:sz w:val="24"/>
          <w:szCs w:val="24"/>
          <w:highlight w:val="none"/>
        </w:rPr>
      </w:pPr>
      <w:bookmarkStart w:id="453" w:name="_Toc16712"/>
    </w:p>
    <w:p w14:paraId="1F672FF1">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报价文件部分</w:t>
      </w:r>
      <w:bookmarkEnd w:id="453"/>
    </w:p>
    <w:p w14:paraId="617408DF">
      <w:pPr>
        <w:spacing w:line="360" w:lineRule="auto"/>
        <w:jc w:val="center"/>
        <w:outlineLvl w:val="9"/>
        <w:rPr>
          <w:rFonts w:hint="eastAsia" w:ascii="宋体" w:hAnsi="宋体" w:eastAsia="宋体" w:cs="宋体"/>
          <w:b/>
          <w:color w:val="auto"/>
          <w:kern w:val="0"/>
          <w:sz w:val="24"/>
          <w:szCs w:val="24"/>
          <w:highlight w:val="none"/>
        </w:rPr>
      </w:pPr>
      <w:bookmarkStart w:id="454" w:name="_Toc31513"/>
    </w:p>
    <w:bookmarkEnd w:id="454"/>
    <w:p w14:paraId="4A2B7AB4">
      <w:pPr>
        <w:bidi w:val="0"/>
        <w:jc w:val="center"/>
        <w:rPr>
          <w:rFonts w:hint="eastAsia" w:ascii="宋体" w:hAnsi="宋体" w:eastAsia="宋体" w:cs="宋体"/>
          <w:b/>
          <w:bCs/>
          <w:color w:val="auto"/>
          <w:sz w:val="24"/>
          <w:szCs w:val="24"/>
          <w:highlight w:val="none"/>
          <w:lang w:eastAsia="zh-CN"/>
        </w:rPr>
      </w:pPr>
      <w:bookmarkStart w:id="455" w:name="_Toc21159"/>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开标一览表</w:t>
      </w:r>
      <w:bookmarkEnd w:id="455"/>
    </w:p>
    <w:p w14:paraId="70AD558E">
      <w:pPr>
        <w:snapToGrid w:val="0"/>
        <w:spacing w:before="50" w:after="50" w:line="360" w:lineRule="auto"/>
        <w:ind w:firstLine="720" w:firstLineChars="300"/>
        <w:rPr>
          <w:rFonts w:hint="eastAsia" w:ascii="宋体" w:hAnsi="宋体" w:eastAsia="宋体" w:cs="宋体"/>
          <w:color w:val="auto"/>
          <w:sz w:val="24"/>
          <w:szCs w:val="24"/>
          <w:highlight w:val="none"/>
        </w:rPr>
      </w:pPr>
    </w:p>
    <w:tbl>
      <w:tblPr>
        <w:tblStyle w:val="65"/>
        <w:tblW w:w="94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8"/>
        <w:gridCol w:w="2646"/>
        <w:gridCol w:w="3503"/>
        <w:gridCol w:w="1941"/>
      </w:tblGrid>
      <w:tr w14:paraId="60437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4" w:hRule="atLeast"/>
          <w:jc w:val="center"/>
        </w:trPr>
        <w:tc>
          <w:tcPr>
            <w:tcW w:w="1348" w:type="dxa"/>
            <w:vAlign w:val="center"/>
          </w:tcPr>
          <w:p w14:paraId="3386791F">
            <w:pPr>
              <w:spacing w:line="400" w:lineRule="exact"/>
              <w:jc w:val="center"/>
              <w:rPr>
                <w:rFonts w:hint="eastAsia" w:ascii="宋体" w:hAnsi="宋体" w:eastAsia="宋体" w:cs="宋体"/>
                <w:b/>
                <w:color w:val="auto"/>
                <w:sz w:val="24"/>
                <w:szCs w:val="24"/>
                <w:highlight w:val="none"/>
                <w:shd w:val="clear" w:color="auto" w:fill="auto"/>
                <w:lang w:val="en-US" w:eastAsia="zh-CN"/>
              </w:rPr>
            </w:pPr>
            <w:r>
              <w:rPr>
                <w:rFonts w:hint="eastAsia" w:ascii="宋体" w:hAnsi="宋体" w:cs="宋体"/>
                <w:b/>
                <w:color w:val="auto"/>
                <w:sz w:val="24"/>
                <w:szCs w:val="24"/>
                <w:highlight w:val="none"/>
                <w:shd w:val="clear" w:color="auto" w:fill="auto"/>
                <w:lang w:val="en-US" w:eastAsia="zh-CN"/>
              </w:rPr>
              <w:t>序号</w:t>
            </w:r>
          </w:p>
        </w:tc>
        <w:tc>
          <w:tcPr>
            <w:tcW w:w="2646" w:type="dxa"/>
            <w:vAlign w:val="center"/>
          </w:tcPr>
          <w:p w14:paraId="12314D2C">
            <w:pPr>
              <w:spacing w:line="400" w:lineRule="exact"/>
              <w:jc w:val="center"/>
              <w:rPr>
                <w:rFonts w:hint="eastAsia" w:ascii="宋体" w:hAnsi="宋体" w:eastAsia="宋体" w:cs="宋体"/>
                <w:b/>
                <w:color w:val="auto"/>
                <w:sz w:val="24"/>
                <w:szCs w:val="24"/>
                <w:highlight w:val="none"/>
                <w:shd w:val="clear" w:color="auto" w:fill="auto"/>
                <w:lang w:eastAsia="zh-CN"/>
              </w:rPr>
            </w:pPr>
            <w:r>
              <w:rPr>
                <w:rFonts w:hint="eastAsia" w:ascii="宋体" w:hAnsi="宋体" w:eastAsia="宋体" w:cs="宋体"/>
                <w:b/>
                <w:color w:val="auto"/>
                <w:sz w:val="24"/>
                <w:szCs w:val="24"/>
                <w:highlight w:val="none"/>
                <w:shd w:val="clear" w:color="auto" w:fill="auto"/>
                <w:lang w:eastAsia="zh-CN"/>
              </w:rPr>
              <w:t>采购内容</w:t>
            </w:r>
          </w:p>
        </w:tc>
        <w:tc>
          <w:tcPr>
            <w:tcW w:w="3503" w:type="dxa"/>
            <w:vAlign w:val="center"/>
          </w:tcPr>
          <w:p w14:paraId="11570E67">
            <w:pPr>
              <w:spacing w:line="400" w:lineRule="exact"/>
              <w:jc w:val="center"/>
              <w:rPr>
                <w:rFonts w:hint="eastAsia" w:ascii="宋体" w:hAnsi="宋体" w:eastAsia="宋体" w:cs="宋体"/>
                <w:b/>
                <w:color w:val="auto"/>
                <w:sz w:val="24"/>
                <w:szCs w:val="24"/>
                <w:highlight w:val="none"/>
                <w:shd w:val="clear" w:color="auto" w:fill="auto"/>
                <w:lang w:val="en-US" w:eastAsia="zh-CN"/>
              </w:rPr>
            </w:pPr>
            <w:r>
              <w:rPr>
                <w:rFonts w:hint="eastAsia" w:ascii="宋体" w:hAnsi="宋体" w:cs="宋体"/>
                <w:b/>
                <w:color w:val="auto"/>
                <w:sz w:val="24"/>
                <w:szCs w:val="24"/>
                <w:highlight w:val="none"/>
                <w:shd w:val="clear" w:color="auto" w:fill="auto"/>
                <w:lang w:val="en-US" w:eastAsia="zh-CN"/>
              </w:rPr>
              <w:t>投标报价</w:t>
            </w:r>
          </w:p>
        </w:tc>
        <w:tc>
          <w:tcPr>
            <w:tcW w:w="1941" w:type="dxa"/>
            <w:vAlign w:val="center"/>
          </w:tcPr>
          <w:p w14:paraId="58D42648">
            <w:pPr>
              <w:spacing w:line="400" w:lineRule="exact"/>
              <w:jc w:val="center"/>
              <w:rPr>
                <w:rFonts w:hint="eastAsia" w:ascii="宋体" w:hAnsi="宋体" w:eastAsia="宋体" w:cs="宋体"/>
                <w:b/>
                <w:color w:val="auto"/>
                <w:sz w:val="24"/>
                <w:szCs w:val="24"/>
                <w:highlight w:val="none"/>
                <w:shd w:val="clear" w:color="auto" w:fill="auto"/>
                <w:lang w:val="en-US" w:eastAsia="zh-CN"/>
              </w:rPr>
            </w:pPr>
            <w:r>
              <w:rPr>
                <w:rFonts w:hint="eastAsia" w:ascii="宋体" w:hAnsi="宋体" w:cs="宋体"/>
                <w:b/>
                <w:color w:val="auto"/>
                <w:sz w:val="24"/>
                <w:szCs w:val="24"/>
                <w:highlight w:val="none"/>
                <w:shd w:val="clear" w:color="auto" w:fill="auto"/>
                <w:lang w:val="en-US" w:eastAsia="zh-CN"/>
              </w:rPr>
              <w:t>备注</w:t>
            </w:r>
          </w:p>
        </w:tc>
      </w:tr>
      <w:tr w14:paraId="41CA4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9" w:hRule="atLeast"/>
          <w:jc w:val="center"/>
        </w:trPr>
        <w:tc>
          <w:tcPr>
            <w:tcW w:w="1348" w:type="dxa"/>
            <w:vAlign w:val="center"/>
          </w:tcPr>
          <w:p w14:paraId="30FD0D8F">
            <w:pPr>
              <w:spacing w:line="40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w:t>
            </w:r>
          </w:p>
        </w:tc>
        <w:tc>
          <w:tcPr>
            <w:tcW w:w="2646" w:type="dxa"/>
            <w:vAlign w:val="center"/>
          </w:tcPr>
          <w:p w14:paraId="326CF346">
            <w:pPr>
              <w:spacing w:line="400" w:lineRule="exact"/>
              <w:jc w:val="center"/>
              <w:rPr>
                <w:rFonts w:hint="eastAsia" w:ascii="宋体" w:hAnsi="宋体" w:eastAsia="宋体" w:cs="宋体"/>
                <w:color w:val="auto"/>
                <w:sz w:val="24"/>
                <w:szCs w:val="24"/>
                <w:highlight w:val="none"/>
                <w:shd w:val="clear" w:color="auto" w:fill="auto"/>
                <w:lang w:val="en-US" w:eastAsia="zh-CN"/>
              </w:rPr>
            </w:pPr>
          </w:p>
        </w:tc>
        <w:tc>
          <w:tcPr>
            <w:tcW w:w="3503" w:type="dxa"/>
            <w:vAlign w:val="center"/>
          </w:tcPr>
          <w:p w14:paraId="1A47BAB4">
            <w:pPr>
              <w:spacing w:line="400" w:lineRule="exact"/>
              <w:jc w:val="center"/>
              <w:rPr>
                <w:rFonts w:hint="eastAsia" w:ascii="宋体" w:hAnsi="宋体" w:eastAsia="宋体" w:cs="宋体"/>
                <w:color w:val="auto"/>
                <w:sz w:val="24"/>
                <w:szCs w:val="24"/>
                <w:highlight w:val="none"/>
                <w:shd w:val="clear" w:color="auto" w:fill="auto"/>
                <w:lang w:val="en-US" w:eastAsia="zh-CN"/>
              </w:rPr>
            </w:pPr>
          </w:p>
        </w:tc>
        <w:tc>
          <w:tcPr>
            <w:tcW w:w="1941" w:type="dxa"/>
            <w:vAlign w:val="center"/>
          </w:tcPr>
          <w:p w14:paraId="09CBC013">
            <w:pPr>
              <w:spacing w:line="400" w:lineRule="exact"/>
              <w:jc w:val="center"/>
              <w:rPr>
                <w:rFonts w:hint="eastAsia" w:ascii="宋体" w:hAnsi="宋体" w:eastAsia="宋体" w:cs="宋体"/>
                <w:color w:val="auto"/>
                <w:sz w:val="24"/>
                <w:szCs w:val="24"/>
                <w:highlight w:val="none"/>
                <w:shd w:val="clear" w:color="auto" w:fill="auto"/>
              </w:rPr>
            </w:pPr>
          </w:p>
        </w:tc>
      </w:tr>
      <w:tr w14:paraId="24B53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9" w:hRule="atLeast"/>
          <w:jc w:val="center"/>
        </w:trPr>
        <w:tc>
          <w:tcPr>
            <w:tcW w:w="3994" w:type="dxa"/>
            <w:gridSpan w:val="2"/>
            <w:vAlign w:val="center"/>
          </w:tcPr>
          <w:p w14:paraId="455A08FB">
            <w:pPr>
              <w:spacing w:line="40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color w:val="auto"/>
                <w:sz w:val="24"/>
                <w:szCs w:val="24"/>
                <w:highlight w:val="none"/>
                <w:shd w:val="clear" w:color="auto" w:fill="auto"/>
              </w:rPr>
              <w:t>投标总价（元）</w:t>
            </w:r>
          </w:p>
        </w:tc>
        <w:tc>
          <w:tcPr>
            <w:tcW w:w="3503" w:type="dxa"/>
            <w:vAlign w:val="center"/>
          </w:tcPr>
          <w:p w14:paraId="0A6D95E2">
            <w:pPr>
              <w:spacing w:line="400" w:lineRule="exact"/>
              <w:jc w:val="center"/>
              <w:rPr>
                <w:rFonts w:hint="eastAsia" w:ascii="宋体" w:hAnsi="宋体" w:eastAsia="宋体" w:cs="宋体"/>
                <w:color w:val="auto"/>
                <w:sz w:val="24"/>
                <w:szCs w:val="24"/>
                <w:highlight w:val="none"/>
                <w:shd w:val="clear" w:color="auto" w:fill="auto"/>
                <w:lang w:val="en-US" w:eastAsia="zh-CN"/>
              </w:rPr>
            </w:pPr>
          </w:p>
        </w:tc>
        <w:tc>
          <w:tcPr>
            <w:tcW w:w="1941" w:type="dxa"/>
            <w:vAlign w:val="center"/>
          </w:tcPr>
          <w:p w14:paraId="71B91B2D">
            <w:pPr>
              <w:spacing w:line="400" w:lineRule="exact"/>
              <w:jc w:val="center"/>
              <w:rPr>
                <w:rFonts w:hint="eastAsia" w:ascii="宋体" w:hAnsi="宋体" w:eastAsia="宋体" w:cs="宋体"/>
                <w:color w:val="auto"/>
                <w:sz w:val="24"/>
                <w:szCs w:val="24"/>
                <w:highlight w:val="none"/>
                <w:shd w:val="clear" w:color="auto" w:fill="auto"/>
              </w:rPr>
            </w:pPr>
          </w:p>
        </w:tc>
      </w:tr>
    </w:tbl>
    <w:p w14:paraId="7F118AD0">
      <w:pPr>
        <w:snapToGrid w:val="0"/>
        <w:spacing w:before="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33461A4">
      <w:pPr>
        <w:snapToGrid w:val="0"/>
        <w:spacing w:line="360" w:lineRule="auto"/>
        <w:ind w:left="480"/>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注：</w:t>
      </w:r>
    </w:p>
    <w:p w14:paraId="104FDE31">
      <w:pPr>
        <w:spacing w:line="360" w:lineRule="auto"/>
        <w:ind w:left="-2" w:leftChars="-1"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1、投标人需按本表格式填写</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否则视为</w:t>
      </w:r>
      <w:r>
        <w:rPr>
          <w:rFonts w:hint="eastAsia" w:ascii="宋体" w:hAnsi="宋体" w:eastAsia="宋体" w:cs="宋体"/>
          <w:b/>
          <w:color w:val="auto"/>
          <w:sz w:val="24"/>
          <w:szCs w:val="24"/>
          <w:highlight w:val="none"/>
        </w:rPr>
        <w:t>投标文件含有采购人不能接受的附加条件，投标无效</w:t>
      </w:r>
      <w:r>
        <w:rPr>
          <w:rFonts w:hint="eastAsia" w:ascii="宋体" w:hAnsi="宋体" w:eastAsia="宋体" w:cs="宋体"/>
          <w:color w:val="auto"/>
          <w:kern w:val="0"/>
          <w:sz w:val="24"/>
          <w:szCs w:val="24"/>
          <w:highlight w:val="none"/>
          <w:lang w:val="zh-CN"/>
        </w:rPr>
        <w:t>。</w:t>
      </w:r>
    </w:p>
    <w:p w14:paraId="13D5AF2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2、有关本项目实施所涉及的一切费用均计入报价。</w:t>
      </w:r>
      <w:r>
        <w:rPr>
          <w:rFonts w:hint="eastAsia" w:ascii="宋体" w:hAnsi="宋体" w:eastAsia="宋体" w:cs="宋体"/>
          <w:b/>
          <w:color w:val="auto"/>
          <w:kern w:val="0"/>
          <w:sz w:val="24"/>
          <w:szCs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szCs w:val="24"/>
          <w:highlight w:val="none"/>
          <w:lang w:val="zh-CN"/>
        </w:rPr>
        <w:t>，</w:t>
      </w:r>
      <w:r>
        <w:rPr>
          <w:rFonts w:hint="eastAsia" w:ascii="宋体" w:hAnsi="宋体" w:eastAsia="宋体" w:cs="宋体"/>
          <w:b/>
          <w:color w:val="auto"/>
          <w:kern w:val="0"/>
          <w:sz w:val="24"/>
          <w:szCs w:val="24"/>
          <w:highlight w:val="none"/>
          <w:lang w:val="zh-CN"/>
        </w:rPr>
        <w:t>不得出现“0元”“免费赠送”等形式的无偿报价，</w:t>
      </w:r>
      <w:r>
        <w:rPr>
          <w:rFonts w:hint="eastAsia" w:ascii="宋体" w:hAnsi="宋体" w:eastAsia="宋体" w:cs="宋体"/>
          <w:b/>
          <w:color w:val="auto"/>
          <w:kern w:val="0"/>
          <w:sz w:val="24"/>
          <w:szCs w:val="24"/>
          <w:highlight w:val="none"/>
        </w:rPr>
        <w:t>否则视为</w:t>
      </w:r>
      <w:r>
        <w:rPr>
          <w:rFonts w:hint="eastAsia" w:ascii="宋体" w:hAnsi="宋体" w:eastAsia="宋体" w:cs="宋体"/>
          <w:b/>
          <w:color w:val="auto"/>
          <w:sz w:val="24"/>
          <w:szCs w:val="24"/>
          <w:highlight w:val="none"/>
        </w:rPr>
        <w:t>投标文件含有采购人不能接受的附加条件，投标无效</w:t>
      </w:r>
      <w:r>
        <w:rPr>
          <w:rFonts w:hint="eastAsia" w:ascii="宋体" w:hAnsi="宋体" w:eastAsia="宋体" w:cs="宋体"/>
          <w:b/>
          <w:color w:val="auto"/>
          <w:kern w:val="0"/>
          <w:sz w:val="24"/>
          <w:szCs w:val="24"/>
          <w:highlight w:val="none"/>
          <w:lang w:val="zh-CN"/>
        </w:rPr>
        <w:t>；采购内容未包含在《开标一览表》名称栏中，投标人不能作出合理解释的，</w:t>
      </w:r>
      <w:r>
        <w:rPr>
          <w:rFonts w:hint="eastAsia" w:ascii="宋体" w:hAnsi="宋体" w:eastAsia="宋体" w:cs="宋体"/>
          <w:b/>
          <w:color w:val="auto"/>
          <w:kern w:val="0"/>
          <w:sz w:val="24"/>
          <w:szCs w:val="24"/>
          <w:highlight w:val="none"/>
        </w:rPr>
        <w:t>视为</w:t>
      </w:r>
      <w:r>
        <w:rPr>
          <w:rFonts w:hint="eastAsia" w:ascii="宋体" w:hAnsi="宋体" w:eastAsia="宋体" w:cs="宋体"/>
          <w:b/>
          <w:color w:val="auto"/>
          <w:sz w:val="24"/>
          <w:szCs w:val="24"/>
          <w:highlight w:val="none"/>
        </w:rPr>
        <w:t>投标文件含有采购人不能接受的附加条件的，投标无效。</w:t>
      </w:r>
    </w:p>
    <w:p w14:paraId="7C55C11D">
      <w:pPr>
        <w:snapToGrid w:val="0"/>
        <w:spacing w:line="360" w:lineRule="auto"/>
        <w:ind w:left="-3" w:leftChars="-72" w:right="-817" w:rightChars="-389" w:hanging="148" w:hangingChars="62"/>
        <w:rPr>
          <w:rFonts w:hint="eastAsia" w:ascii="宋体" w:hAnsi="宋体" w:eastAsia="宋体" w:cs="宋体"/>
          <w:color w:val="auto"/>
          <w:sz w:val="24"/>
          <w:szCs w:val="24"/>
          <w:highlight w:val="none"/>
        </w:rPr>
      </w:pPr>
    </w:p>
    <w:p w14:paraId="31FF29CF">
      <w:pPr>
        <w:snapToGrid w:val="0"/>
        <w:spacing w:line="360" w:lineRule="auto"/>
        <w:ind w:left="-3" w:leftChars="-72" w:right="-817" w:rightChars="-389" w:hanging="148" w:hangingChars="62"/>
        <w:rPr>
          <w:rFonts w:hint="eastAsia" w:ascii="宋体" w:hAnsi="宋体" w:eastAsia="宋体" w:cs="宋体"/>
          <w:color w:val="auto"/>
          <w:sz w:val="24"/>
          <w:szCs w:val="24"/>
          <w:highlight w:val="none"/>
        </w:rPr>
      </w:pPr>
    </w:p>
    <w:p w14:paraId="51AB5F8A">
      <w:pPr>
        <w:autoSpaceDE w:val="0"/>
        <w:autoSpaceDN w:val="0"/>
        <w:spacing w:line="360" w:lineRule="auto"/>
        <w:ind w:left="2" w:leftChars="1" w:right="1120" w:firstLine="4560" w:firstLineChars="19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kern w:val="0"/>
          <w:sz w:val="24"/>
          <w:szCs w:val="24"/>
          <w:highlight w:val="none"/>
          <w:lang w:val="zh-CN"/>
        </w:rPr>
        <w:t xml:space="preserve">)：                                                                                                                                                                                                               </w:t>
      </w:r>
    </w:p>
    <w:p w14:paraId="10152381">
      <w:pPr>
        <w:spacing w:line="360" w:lineRule="auto"/>
        <w:ind w:left="4620" w:leftChars="2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 xml:space="preserve">   年   月   日</w:t>
      </w:r>
    </w:p>
    <w:p w14:paraId="08E4B8A4">
      <w:pPr>
        <w:rPr>
          <w:rFonts w:hint="eastAsia" w:ascii="宋体" w:hAnsi="宋体" w:eastAsia="宋体" w:cs="宋体"/>
          <w:color w:val="auto"/>
          <w:sz w:val="24"/>
          <w:szCs w:val="24"/>
          <w:highlight w:val="none"/>
        </w:rPr>
      </w:pPr>
    </w:p>
    <w:p w14:paraId="6D443523">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1660FBF">
      <w:pPr>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二、投标报价明细表</w:t>
      </w:r>
    </w:p>
    <w:p w14:paraId="1C1909EF">
      <w:pPr>
        <w:rPr>
          <w:rFonts w:hint="eastAsia" w:ascii="宋体" w:hAnsi="宋体" w:eastAsia="宋体" w:cs="宋体"/>
          <w:color w:val="auto"/>
          <w:sz w:val="24"/>
          <w:szCs w:val="24"/>
          <w:highlight w:val="none"/>
          <w:lang w:val="en-US" w:eastAsia="zh-CN"/>
        </w:rPr>
      </w:pPr>
    </w:p>
    <w:tbl>
      <w:tblPr>
        <w:tblStyle w:val="65"/>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5465"/>
        <w:gridCol w:w="1352"/>
        <w:gridCol w:w="809"/>
        <w:gridCol w:w="1092"/>
      </w:tblGrid>
      <w:tr w14:paraId="324F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trPr>
        <w:tc>
          <w:tcPr>
            <w:tcW w:w="1003" w:type="dxa"/>
            <w:shd w:val="clear" w:color="auto" w:fill="auto"/>
            <w:vAlign w:val="center"/>
          </w:tcPr>
          <w:p w14:paraId="65274E05">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5466" w:type="dxa"/>
            <w:shd w:val="clear" w:color="auto" w:fill="auto"/>
            <w:vAlign w:val="center"/>
          </w:tcPr>
          <w:p w14:paraId="7F4D63FC">
            <w:pPr>
              <w:widowControl/>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内容</w:t>
            </w:r>
          </w:p>
        </w:tc>
        <w:tc>
          <w:tcPr>
            <w:tcW w:w="1352" w:type="dxa"/>
            <w:shd w:val="clear" w:color="auto" w:fill="auto"/>
            <w:vAlign w:val="center"/>
          </w:tcPr>
          <w:p w14:paraId="5AF51F73">
            <w:pPr>
              <w:widowControl/>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单价（元）</w:t>
            </w:r>
          </w:p>
        </w:tc>
        <w:tc>
          <w:tcPr>
            <w:tcW w:w="809" w:type="dxa"/>
            <w:shd w:val="clear" w:color="auto" w:fill="auto"/>
            <w:vAlign w:val="center"/>
          </w:tcPr>
          <w:p w14:paraId="15BF830E">
            <w:pPr>
              <w:widowControl/>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数量</w:t>
            </w:r>
          </w:p>
        </w:tc>
        <w:tc>
          <w:tcPr>
            <w:tcW w:w="1092" w:type="dxa"/>
            <w:shd w:val="clear" w:color="auto" w:fill="auto"/>
            <w:vAlign w:val="center"/>
          </w:tcPr>
          <w:p w14:paraId="7F479A7B">
            <w:pPr>
              <w:widowControl/>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小计（元）</w:t>
            </w:r>
          </w:p>
        </w:tc>
      </w:tr>
      <w:tr w14:paraId="6F5C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03" w:type="dxa"/>
            <w:shd w:val="clear" w:color="auto" w:fill="auto"/>
            <w:vAlign w:val="center"/>
          </w:tcPr>
          <w:p w14:paraId="09173A69">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5466" w:type="dxa"/>
            <w:shd w:val="clear" w:color="auto" w:fill="auto"/>
            <w:vAlign w:val="center"/>
          </w:tcPr>
          <w:p w14:paraId="75C6D7C5">
            <w:pPr>
              <w:widowControl/>
              <w:jc w:val="center"/>
              <w:rPr>
                <w:rFonts w:hint="eastAsia" w:ascii="宋体" w:hAnsi="宋体" w:eastAsia="宋体" w:cs="宋体"/>
                <w:b w:val="0"/>
                <w:bCs w:val="0"/>
                <w:color w:val="auto"/>
                <w:kern w:val="0"/>
                <w:sz w:val="24"/>
                <w:szCs w:val="24"/>
                <w:highlight w:val="none"/>
              </w:rPr>
            </w:pPr>
          </w:p>
        </w:tc>
        <w:tc>
          <w:tcPr>
            <w:tcW w:w="1352" w:type="dxa"/>
            <w:shd w:val="clear" w:color="auto" w:fill="auto"/>
            <w:vAlign w:val="center"/>
          </w:tcPr>
          <w:p w14:paraId="1F7EAA22">
            <w:pPr>
              <w:widowControl/>
              <w:jc w:val="center"/>
              <w:rPr>
                <w:rFonts w:hint="eastAsia" w:ascii="宋体" w:hAnsi="宋体" w:eastAsia="宋体" w:cs="宋体"/>
                <w:b w:val="0"/>
                <w:bCs w:val="0"/>
                <w:color w:val="auto"/>
                <w:kern w:val="0"/>
                <w:sz w:val="24"/>
                <w:szCs w:val="24"/>
                <w:highlight w:val="none"/>
              </w:rPr>
            </w:pPr>
          </w:p>
        </w:tc>
        <w:tc>
          <w:tcPr>
            <w:tcW w:w="809" w:type="dxa"/>
            <w:shd w:val="clear" w:color="auto" w:fill="auto"/>
            <w:vAlign w:val="center"/>
          </w:tcPr>
          <w:p w14:paraId="59B48B31">
            <w:pPr>
              <w:widowControl/>
              <w:jc w:val="center"/>
              <w:rPr>
                <w:rFonts w:hint="eastAsia" w:ascii="宋体" w:hAnsi="宋体" w:eastAsia="宋体" w:cs="宋体"/>
                <w:b w:val="0"/>
                <w:bCs w:val="0"/>
                <w:color w:val="auto"/>
                <w:kern w:val="0"/>
                <w:sz w:val="24"/>
                <w:szCs w:val="24"/>
                <w:highlight w:val="none"/>
              </w:rPr>
            </w:pPr>
          </w:p>
        </w:tc>
        <w:tc>
          <w:tcPr>
            <w:tcW w:w="1092" w:type="dxa"/>
            <w:shd w:val="clear" w:color="auto" w:fill="auto"/>
            <w:vAlign w:val="center"/>
          </w:tcPr>
          <w:p w14:paraId="05CEDD0D">
            <w:pPr>
              <w:widowControl/>
              <w:jc w:val="center"/>
              <w:rPr>
                <w:rFonts w:hint="eastAsia" w:ascii="宋体" w:hAnsi="宋体" w:eastAsia="宋体" w:cs="宋体"/>
                <w:b w:val="0"/>
                <w:bCs w:val="0"/>
                <w:color w:val="auto"/>
                <w:kern w:val="0"/>
                <w:sz w:val="24"/>
                <w:szCs w:val="24"/>
                <w:highlight w:val="none"/>
              </w:rPr>
            </w:pPr>
          </w:p>
        </w:tc>
      </w:tr>
      <w:tr w14:paraId="200C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03" w:type="dxa"/>
            <w:shd w:val="clear" w:color="auto" w:fill="auto"/>
            <w:vAlign w:val="center"/>
          </w:tcPr>
          <w:p w14:paraId="217EFFE6">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c>
          <w:tcPr>
            <w:tcW w:w="5466" w:type="dxa"/>
            <w:vAlign w:val="center"/>
          </w:tcPr>
          <w:p w14:paraId="57F0DF05">
            <w:pPr>
              <w:widowControl/>
              <w:jc w:val="center"/>
              <w:rPr>
                <w:rFonts w:hint="eastAsia" w:ascii="宋体" w:hAnsi="宋体" w:eastAsia="宋体" w:cs="宋体"/>
                <w:b w:val="0"/>
                <w:bCs w:val="0"/>
                <w:color w:val="auto"/>
                <w:kern w:val="0"/>
                <w:sz w:val="24"/>
                <w:szCs w:val="24"/>
                <w:highlight w:val="none"/>
              </w:rPr>
            </w:pPr>
          </w:p>
        </w:tc>
        <w:tc>
          <w:tcPr>
            <w:tcW w:w="1352" w:type="dxa"/>
            <w:shd w:val="clear" w:color="auto" w:fill="auto"/>
            <w:vAlign w:val="center"/>
          </w:tcPr>
          <w:p w14:paraId="34FED83C">
            <w:pPr>
              <w:widowControl/>
              <w:jc w:val="center"/>
              <w:rPr>
                <w:rFonts w:hint="eastAsia" w:ascii="宋体" w:hAnsi="宋体" w:eastAsia="宋体" w:cs="宋体"/>
                <w:b w:val="0"/>
                <w:bCs w:val="0"/>
                <w:color w:val="auto"/>
                <w:kern w:val="0"/>
                <w:sz w:val="24"/>
                <w:szCs w:val="24"/>
                <w:highlight w:val="none"/>
              </w:rPr>
            </w:pPr>
          </w:p>
        </w:tc>
        <w:tc>
          <w:tcPr>
            <w:tcW w:w="809" w:type="dxa"/>
            <w:shd w:val="clear" w:color="auto" w:fill="auto"/>
            <w:vAlign w:val="center"/>
          </w:tcPr>
          <w:p w14:paraId="41F33451">
            <w:pPr>
              <w:widowControl/>
              <w:jc w:val="center"/>
              <w:rPr>
                <w:rFonts w:hint="eastAsia" w:ascii="宋体" w:hAnsi="宋体" w:eastAsia="宋体" w:cs="宋体"/>
                <w:b w:val="0"/>
                <w:bCs w:val="0"/>
                <w:color w:val="auto"/>
                <w:kern w:val="0"/>
                <w:sz w:val="24"/>
                <w:szCs w:val="24"/>
                <w:highlight w:val="none"/>
              </w:rPr>
            </w:pPr>
          </w:p>
        </w:tc>
        <w:tc>
          <w:tcPr>
            <w:tcW w:w="1092" w:type="dxa"/>
            <w:shd w:val="clear" w:color="auto" w:fill="auto"/>
            <w:vAlign w:val="center"/>
          </w:tcPr>
          <w:p w14:paraId="130AF3B2">
            <w:pPr>
              <w:widowControl/>
              <w:jc w:val="center"/>
              <w:rPr>
                <w:rFonts w:hint="eastAsia" w:ascii="宋体" w:hAnsi="宋体" w:eastAsia="宋体" w:cs="宋体"/>
                <w:b w:val="0"/>
                <w:bCs w:val="0"/>
                <w:color w:val="auto"/>
                <w:kern w:val="0"/>
                <w:sz w:val="24"/>
                <w:szCs w:val="24"/>
                <w:highlight w:val="none"/>
              </w:rPr>
            </w:pPr>
          </w:p>
        </w:tc>
      </w:tr>
      <w:tr w14:paraId="4355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03" w:type="dxa"/>
            <w:shd w:val="clear" w:color="auto" w:fill="auto"/>
            <w:vAlign w:val="center"/>
          </w:tcPr>
          <w:p w14:paraId="5838CFEA">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w:t>
            </w:r>
          </w:p>
        </w:tc>
        <w:tc>
          <w:tcPr>
            <w:tcW w:w="5466" w:type="dxa"/>
            <w:vAlign w:val="center"/>
          </w:tcPr>
          <w:p w14:paraId="5C7E2D54">
            <w:pPr>
              <w:widowControl/>
              <w:jc w:val="center"/>
              <w:rPr>
                <w:rFonts w:hint="eastAsia" w:ascii="宋体" w:hAnsi="宋体" w:eastAsia="宋体" w:cs="宋体"/>
                <w:b w:val="0"/>
                <w:bCs w:val="0"/>
                <w:color w:val="auto"/>
                <w:kern w:val="0"/>
                <w:sz w:val="24"/>
                <w:szCs w:val="24"/>
                <w:highlight w:val="none"/>
              </w:rPr>
            </w:pPr>
          </w:p>
        </w:tc>
        <w:tc>
          <w:tcPr>
            <w:tcW w:w="1352" w:type="dxa"/>
            <w:shd w:val="clear" w:color="auto" w:fill="auto"/>
            <w:vAlign w:val="center"/>
          </w:tcPr>
          <w:p w14:paraId="526A7CCA">
            <w:pPr>
              <w:widowControl/>
              <w:jc w:val="center"/>
              <w:rPr>
                <w:rFonts w:hint="eastAsia" w:ascii="宋体" w:hAnsi="宋体" w:eastAsia="宋体" w:cs="宋体"/>
                <w:b w:val="0"/>
                <w:bCs w:val="0"/>
                <w:color w:val="auto"/>
                <w:kern w:val="0"/>
                <w:sz w:val="24"/>
                <w:szCs w:val="24"/>
                <w:highlight w:val="none"/>
              </w:rPr>
            </w:pPr>
          </w:p>
        </w:tc>
        <w:tc>
          <w:tcPr>
            <w:tcW w:w="809" w:type="dxa"/>
            <w:shd w:val="clear" w:color="auto" w:fill="auto"/>
            <w:vAlign w:val="center"/>
          </w:tcPr>
          <w:p w14:paraId="31812A0D">
            <w:pPr>
              <w:widowControl/>
              <w:jc w:val="center"/>
              <w:rPr>
                <w:rFonts w:hint="eastAsia" w:ascii="宋体" w:hAnsi="宋体" w:eastAsia="宋体" w:cs="宋体"/>
                <w:b w:val="0"/>
                <w:bCs w:val="0"/>
                <w:color w:val="auto"/>
                <w:kern w:val="0"/>
                <w:sz w:val="24"/>
                <w:szCs w:val="24"/>
                <w:highlight w:val="none"/>
              </w:rPr>
            </w:pPr>
          </w:p>
        </w:tc>
        <w:tc>
          <w:tcPr>
            <w:tcW w:w="1092" w:type="dxa"/>
            <w:shd w:val="clear" w:color="auto" w:fill="auto"/>
            <w:vAlign w:val="center"/>
          </w:tcPr>
          <w:p w14:paraId="6049C183">
            <w:pPr>
              <w:widowControl/>
              <w:jc w:val="center"/>
              <w:rPr>
                <w:rFonts w:hint="eastAsia" w:ascii="宋体" w:hAnsi="宋体" w:eastAsia="宋体" w:cs="宋体"/>
                <w:b w:val="0"/>
                <w:bCs w:val="0"/>
                <w:color w:val="auto"/>
                <w:kern w:val="0"/>
                <w:sz w:val="24"/>
                <w:szCs w:val="24"/>
                <w:highlight w:val="none"/>
              </w:rPr>
            </w:pPr>
          </w:p>
        </w:tc>
      </w:tr>
      <w:tr w14:paraId="2C5A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03" w:type="dxa"/>
            <w:shd w:val="clear" w:color="auto" w:fill="auto"/>
            <w:vAlign w:val="center"/>
          </w:tcPr>
          <w:p w14:paraId="2D64540D">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w:t>
            </w:r>
          </w:p>
        </w:tc>
        <w:tc>
          <w:tcPr>
            <w:tcW w:w="5466" w:type="dxa"/>
            <w:vAlign w:val="center"/>
          </w:tcPr>
          <w:p w14:paraId="574DF377">
            <w:pPr>
              <w:widowControl/>
              <w:jc w:val="center"/>
              <w:rPr>
                <w:rFonts w:hint="eastAsia" w:ascii="宋体" w:hAnsi="宋体" w:eastAsia="宋体" w:cs="宋体"/>
                <w:b w:val="0"/>
                <w:bCs w:val="0"/>
                <w:color w:val="auto"/>
                <w:kern w:val="0"/>
                <w:sz w:val="24"/>
                <w:szCs w:val="24"/>
                <w:highlight w:val="none"/>
              </w:rPr>
            </w:pPr>
          </w:p>
        </w:tc>
        <w:tc>
          <w:tcPr>
            <w:tcW w:w="1352" w:type="dxa"/>
            <w:shd w:val="clear" w:color="auto" w:fill="auto"/>
            <w:vAlign w:val="center"/>
          </w:tcPr>
          <w:p w14:paraId="413F41C5">
            <w:pPr>
              <w:widowControl/>
              <w:jc w:val="center"/>
              <w:rPr>
                <w:rFonts w:hint="eastAsia" w:ascii="宋体" w:hAnsi="宋体" w:eastAsia="宋体" w:cs="宋体"/>
                <w:b w:val="0"/>
                <w:bCs w:val="0"/>
                <w:color w:val="auto"/>
                <w:kern w:val="0"/>
                <w:sz w:val="24"/>
                <w:szCs w:val="24"/>
                <w:highlight w:val="none"/>
              </w:rPr>
            </w:pPr>
          </w:p>
        </w:tc>
        <w:tc>
          <w:tcPr>
            <w:tcW w:w="809" w:type="dxa"/>
            <w:shd w:val="clear" w:color="auto" w:fill="auto"/>
            <w:vAlign w:val="center"/>
          </w:tcPr>
          <w:p w14:paraId="7C989FDE">
            <w:pPr>
              <w:widowControl/>
              <w:jc w:val="center"/>
              <w:rPr>
                <w:rFonts w:hint="eastAsia" w:ascii="宋体" w:hAnsi="宋体" w:eastAsia="宋体" w:cs="宋体"/>
                <w:b w:val="0"/>
                <w:bCs w:val="0"/>
                <w:color w:val="auto"/>
                <w:kern w:val="0"/>
                <w:sz w:val="24"/>
                <w:szCs w:val="24"/>
                <w:highlight w:val="none"/>
              </w:rPr>
            </w:pPr>
          </w:p>
        </w:tc>
        <w:tc>
          <w:tcPr>
            <w:tcW w:w="1092" w:type="dxa"/>
            <w:shd w:val="clear" w:color="auto" w:fill="auto"/>
            <w:vAlign w:val="center"/>
          </w:tcPr>
          <w:p w14:paraId="2E9281A6">
            <w:pPr>
              <w:widowControl/>
              <w:jc w:val="center"/>
              <w:rPr>
                <w:rFonts w:hint="eastAsia" w:ascii="宋体" w:hAnsi="宋体" w:eastAsia="宋体" w:cs="宋体"/>
                <w:b w:val="0"/>
                <w:bCs w:val="0"/>
                <w:color w:val="auto"/>
                <w:kern w:val="0"/>
                <w:sz w:val="24"/>
                <w:szCs w:val="24"/>
                <w:highlight w:val="none"/>
              </w:rPr>
            </w:pPr>
          </w:p>
        </w:tc>
      </w:tr>
      <w:tr w14:paraId="70CA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03" w:type="dxa"/>
            <w:shd w:val="clear" w:color="auto" w:fill="auto"/>
            <w:vAlign w:val="center"/>
          </w:tcPr>
          <w:p w14:paraId="18B6E65D">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w:t>
            </w:r>
          </w:p>
        </w:tc>
        <w:tc>
          <w:tcPr>
            <w:tcW w:w="5466" w:type="dxa"/>
            <w:vAlign w:val="center"/>
          </w:tcPr>
          <w:p w14:paraId="1F101DD0">
            <w:pPr>
              <w:widowControl/>
              <w:jc w:val="center"/>
              <w:rPr>
                <w:rFonts w:hint="eastAsia" w:ascii="宋体" w:hAnsi="宋体" w:eastAsia="宋体" w:cs="宋体"/>
                <w:b w:val="0"/>
                <w:bCs w:val="0"/>
                <w:color w:val="auto"/>
                <w:kern w:val="0"/>
                <w:sz w:val="24"/>
                <w:szCs w:val="24"/>
                <w:highlight w:val="none"/>
              </w:rPr>
            </w:pPr>
          </w:p>
        </w:tc>
        <w:tc>
          <w:tcPr>
            <w:tcW w:w="1352" w:type="dxa"/>
            <w:shd w:val="clear" w:color="auto" w:fill="auto"/>
            <w:vAlign w:val="center"/>
          </w:tcPr>
          <w:p w14:paraId="304252D6">
            <w:pPr>
              <w:widowControl/>
              <w:jc w:val="center"/>
              <w:rPr>
                <w:rFonts w:hint="eastAsia" w:ascii="宋体" w:hAnsi="宋体" w:eastAsia="宋体" w:cs="宋体"/>
                <w:b w:val="0"/>
                <w:bCs w:val="0"/>
                <w:color w:val="auto"/>
                <w:kern w:val="0"/>
                <w:sz w:val="24"/>
                <w:szCs w:val="24"/>
                <w:highlight w:val="none"/>
              </w:rPr>
            </w:pPr>
          </w:p>
        </w:tc>
        <w:tc>
          <w:tcPr>
            <w:tcW w:w="809" w:type="dxa"/>
            <w:shd w:val="clear" w:color="auto" w:fill="auto"/>
            <w:vAlign w:val="center"/>
          </w:tcPr>
          <w:p w14:paraId="1BA1DF45">
            <w:pPr>
              <w:widowControl/>
              <w:jc w:val="center"/>
              <w:rPr>
                <w:rFonts w:hint="eastAsia" w:ascii="宋体" w:hAnsi="宋体" w:eastAsia="宋体" w:cs="宋体"/>
                <w:b w:val="0"/>
                <w:bCs w:val="0"/>
                <w:color w:val="auto"/>
                <w:kern w:val="0"/>
                <w:sz w:val="24"/>
                <w:szCs w:val="24"/>
                <w:highlight w:val="none"/>
              </w:rPr>
            </w:pPr>
          </w:p>
        </w:tc>
        <w:tc>
          <w:tcPr>
            <w:tcW w:w="1092" w:type="dxa"/>
            <w:shd w:val="clear" w:color="auto" w:fill="auto"/>
            <w:vAlign w:val="center"/>
          </w:tcPr>
          <w:p w14:paraId="118BC4DE">
            <w:pPr>
              <w:widowControl/>
              <w:jc w:val="center"/>
              <w:rPr>
                <w:rFonts w:hint="eastAsia" w:ascii="宋体" w:hAnsi="宋体" w:eastAsia="宋体" w:cs="宋体"/>
                <w:b w:val="0"/>
                <w:bCs w:val="0"/>
                <w:color w:val="auto"/>
                <w:kern w:val="0"/>
                <w:sz w:val="24"/>
                <w:szCs w:val="24"/>
                <w:highlight w:val="none"/>
              </w:rPr>
            </w:pPr>
          </w:p>
        </w:tc>
      </w:tr>
      <w:tr w14:paraId="175E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03" w:type="dxa"/>
            <w:shd w:val="clear" w:color="auto" w:fill="auto"/>
            <w:vAlign w:val="center"/>
          </w:tcPr>
          <w:p w14:paraId="52B03D65">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6</w:t>
            </w:r>
          </w:p>
        </w:tc>
        <w:tc>
          <w:tcPr>
            <w:tcW w:w="5466" w:type="dxa"/>
            <w:vAlign w:val="center"/>
          </w:tcPr>
          <w:p w14:paraId="136742AA">
            <w:pPr>
              <w:widowControl/>
              <w:jc w:val="center"/>
              <w:rPr>
                <w:rFonts w:hint="eastAsia" w:ascii="宋体" w:hAnsi="宋体" w:eastAsia="宋体" w:cs="宋体"/>
                <w:b w:val="0"/>
                <w:bCs w:val="0"/>
                <w:color w:val="auto"/>
                <w:kern w:val="0"/>
                <w:sz w:val="24"/>
                <w:szCs w:val="24"/>
                <w:highlight w:val="none"/>
              </w:rPr>
            </w:pPr>
          </w:p>
        </w:tc>
        <w:tc>
          <w:tcPr>
            <w:tcW w:w="1352" w:type="dxa"/>
            <w:shd w:val="clear" w:color="auto" w:fill="auto"/>
            <w:vAlign w:val="center"/>
          </w:tcPr>
          <w:p w14:paraId="6FA48893">
            <w:pPr>
              <w:widowControl/>
              <w:jc w:val="center"/>
              <w:rPr>
                <w:rFonts w:hint="eastAsia" w:ascii="宋体" w:hAnsi="宋体" w:eastAsia="宋体" w:cs="宋体"/>
                <w:b w:val="0"/>
                <w:bCs w:val="0"/>
                <w:color w:val="auto"/>
                <w:kern w:val="0"/>
                <w:sz w:val="24"/>
                <w:szCs w:val="24"/>
                <w:highlight w:val="none"/>
              </w:rPr>
            </w:pPr>
          </w:p>
        </w:tc>
        <w:tc>
          <w:tcPr>
            <w:tcW w:w="809" w:type="dxa"/>
            <w:shd w:val="clear" w:color="auto" w:fill="auto"/>
            <w:vAlign w:val="center"/>
          </w:tcPr>
          <w:p w14:paraId="2B969DB3">
            <w:pPr>
              <w:widowControl/>
              <w:jc w:val="center"/>
              <w:rPr>
                <w:rFonts w:hint="eastAsia" w:ascii="宋体" w:hAnsi="宋体" w:eastAsia="宋体" w:cs="宋体"/>
                <w:b w:val="0"/>
                <w:bCs w:val="0"/>
                <w:color w:val="auto"/>
                <w:kern w:val="0"/>
                <w:sz w:val="24"/>
                <w:szCs w:val="24"/>
                <w:highlight w:val="none"/>
              </w:rPr>
            </w:pPr>
          </w:p>
        </w:tc>
        <w:tc>
          <w:tcPr>
            <w:tcW w:w="1092" w:type="dxa"/>
            <w:shd w:val="clear" w:color="auto" w:fill="auto"/>
            <w:vAlign w:val="center"/>
          </w:tcPr>
          <w:p w14:paraId="132C029A">
            <w:pPr>
              <w:widowControl/>
              <w:jc w:val="center"/>
              <w:rPr>
                <w:rFonts w:hint="eastAsia" w:ascii="宋体" w:hAnsi="宋体" w:eastAsia="宋体" w:cs="宋体"/>
                <w:b w:val="0"/>
                <w:bCs w:val="0"/>
                <w:color w:val="auto"/>
                <w:kern w:val="0"/>
                <w:sz w:val="24"/>
                <w:szCs w:val="24"/>
                <w:highlight w:val="none"/>
              </w:rPr>
            </w:pPr>
          </w:p>
        </w:tc>
      </w:tr>
      <w:tr w14:paraId="0F4C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03" w:type="dxa"/>
            <w:shd w:val="clear" w:color="auto" w:fill="auto"/>
            <w:vAlign w:val="center"/>
          </w:tcPr>
          <w:p w14:paraId="6B85A9B7">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7</w:t>
            </w:r>
          </w:p>
        </w:tc>
        <w:tc>
          <w:tcPr>
            <w:tcW w:w="5466" w:type="dxa"/>
            <w:vAlign w:val="center"/>
          </w:tcPr>
          <w:p w14:paraId="3C44DF08">
            <w:pPr>
              <w:widowControl/>
              <w:jc w:val="center"/>
              <w:rPr>
                <w:rFonts w:hint="eastAsia" w:ascii="宋体" w:hAnsi="宋体" w:eastAsia="宋体" w:cs="宋体"/>
                <w:b w:val="0"/>
                <w:bCs w:val="0"/>
                <w:color w:val="auto"/>
                <w:kern w:val="0"/>
                <w:sz w:val="24"/>
                <w:szCs w:val="24"/>
                <w:highlight w:val="none"/>
              </w:rPr>
            </w:pPr>
          </w:p>
        </w:tc>
        <w:tc>
          <w:tcPr>
            <w:tcW w:w="1352" w:type="dxa"/>
            <w:shd w:val="clear" w:color="auto" w:fill="auto"/>
            <w:vAlign w:val="center"/>
          </w:tcPr>
          <w:p w14:paraId="638DDBBF">
            <w:pPr>
              <w:widowControl/>
              <w:jc w:val="center"/>
              <w:rPr>
                <w:rFonts w:hint="eastAsia" w:ascii="宋体" w:hAnsi="宋体" w:eastAsia="宋体" w:cs="宋体"/>
                <w:b w:val="0"/>
                <w:bCs w:val="0"/>
                <w:color w:val="auto"/>
                <w:kern w:val="0"/>
                <w:sz w:val="24"/>
                <w:szCs w:val="24"/>
                <w:highlight w:val="none"/>
              </w:rPr>
            </w:pPr>
          </w:p>
        </w:tc>
        <w:tc>
          <w:tcPr>
            <w:tcW w:w="809" w:type="dxa"/>
            <w:shd w:val="clear" w:color="auto" w:fill="auto"/>
            <w:vAlign w:val="center"/>
          </w:tcPr>
          <w:p w14:paraId="577FD083">
            <w:pPr>
              <w:widowControl/>
              <w:jc w:val="center"/>
              <w:rPr>
                <w:rFonts w:hint="eastAsia" w:ascii="宋体" w:hAnsi="宋体" w:eastAsia="宋体" w:cs="宋体"/>
                <w:b w:val="0"/>
                <w:bCs w:val="0"/>
                <w:color w:val="auto"/>
                <w:kern w:val="0"/>
                <w:sz w:val="24"/>
                <w:szCs w:val="24"/>
                <w:highlight w:val="none"/>
              </w:rPr>
            </w:pPr>
          </w:p>
        </w:tc>
        <w:tc>
          <w:tcPr>
            <w:tcW w:w="1092" w:type="dxa"/>
            <w:shd w:val="clear" w:color="auto" w:fill="auto"/>
            <w:vAlign w:val="center"/>
          </w:tcPr>
          <w:p w14:paraId="2AE25D7B">
            <w:pPr>
              <w:widowControl/>
              <w:jc w:val="center"/>
              <w:rPr>
                <w:rFonts w:hint="eastAsia" w:ascii="宋体" w:hAnsi="宋体" w:eastAsia="宋体" w:cs="宋体"/>
                <w:b w:val="0"/>
                <w:bCs w:val="0"/>
                <w:color w:val="auto"/>
                <w:kern w:val="0"/>
                <w:sz w:val="24"/>
                <w:szCs w:val="24"/>
                <w:highlight w:val="none"/>
              </w:rPr>
            </w:pPr>
          </w:p>
        </w:tc>
      </w:tr>
      <w:tr w14:paraId="507A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03" w:type="dxa"/>
            <w:shd w:val="clear" w:color="auto" w:fill="auto"/>
            <w:vAlign w:val="center"/>
          </w:tcPr>
          <w:p w14:paraId="5A6170A1">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8</w:t>
            </w:r>
          </w:p>
        </w:tc>
        <w:tc>
          <w:tcPr>
            <w:tcW w:w="5466" w:type="dxa"/>
            <w:vAlign w:val="center"/>
          </w:tcPr>
          <w:p w14:paraId="54F94F40">
            <w:pPr>
              <w:widowControl/>
              <w:jc w:val="center"/>
              <w:rPr>
                <w:rFonts w:hint="eastAsia" w:ascii="宋体" w:hAnsi="宋体" w:eastAsia="宋体" w:cs="宋体"/>
                <w:b w:val="0"/>
                <w:bCs w:val="0"/>
                <w:color w:val="auto"/>
                <w:kern w:val="0"/>
                <w:sz w:val="24"/>
                <w:szCs w:val="24"/>
                <w:highlight w:val="none"/>
              </w:rPr>
            </w:pPr>
          </w:p>
        </w:tc>
        <w:tc>
          <w:tcPr>
            <w:tcW w:w="1352" w:type="dxa"/>
            <w:shd w:val="clear" w:color="auto" w:fill="auto"/>
            <w:vAlign w:val="center"/>
          </w:tcPr>
          <w:p w14:paraId="01C3A3CC">
            <w:pPr>
              <w:widowControl/>
              <w:jc w:val="center"/>
              <w:rPr>
                <w:rFonts w:hint="eastAsia" w:ascii="宋体" w:hAnsi="宋体" w:eastAsia="宋体" w:cs="宋体"/>
                <w:b w:val="0"/>
                <w:bCs w:val="0"/>
                <w:color w:val="auto"/>
                <w:kern w:val="0"/>
                <w:sz w:val="24"/>
                <w:szCs w:val="24"/>
                <w:highlight w:val="none"/>
              </w:rPr>
            </w:pPr>
          </w:p>
        </w:tc>
        <w:tc>
          <w:tcPr>
            <w:tcW w:w="809" w:type="dxa"/>
            <w:shd w:val="clear" w:color="auto" w:fill="auto"/>
            <w:vAlign w:val="center"/>
          </w:tcPr>
          <w:p w14:paraId="7F2604F2">
            <w:pPr>
              <w:widowControl/>
              <w:jc w:val="center"/>
              <w:rPr>
                <w:rFonts w:hint="eastAsia" w:ascii="宋体" w:hAnsi="宋体" w:eastAsia="宋体" w:cs="宋体"/>
                <w:b w:val="0"/>
                <w:bCs w:val="0"/>
                <w:color w:val="auto"/>
                <w:kern w:val="0"/>
                <w:sz w:val="24"/>
                <w:szCs w:val="24"/>
                <w:highlight w:val="none"/>
              </w:rPr>
            </w:pPr>
          </w:p>
        </w:tc>
        <w:tc>
          <w:tcPr>
            <w:tcW w:w="1092" w:type="dxa"/>
            <w:shd w:val="clear" w:color="auto" w:fill="auto"/>
            <w:vAlign w:val="center"/>
          </w:tcPr>
          <w:p w14:paraId="4456E08A">
            <w:pPr>
              <w:widowControl/>
              <w:jc w:val="center"/>
              <w:rPr>
                <w:rFonts w:hint="eastAsia" w:ascii="宋体" w:hAnsi="宋体" w:eastAsia="宋体" w:cs="宋体"/>
                <w:b w:val="0"/>
                <w:bCs w:val="0"/>
                <w:color w:val="auto"/>
                <w:kern w:val="0"/>
                <w:sz w:val="24"/>
                <w:szCs w:val="24"/>
                <w:highlight w:val="none"/>
              </w:rPr>
            </w:pPr>
          </w:p>
        </w:tc>
      </w:tr>
      <w:tr w14:paraId="0C5E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03" w:type="dxa"/>
            <w:shd w:val="clear" w:color="auto" w:fill="auto"/>
            <w:vAlign w:val="center"/>
          </w:tcPr>
          <w:p w14:paraId="09D2B3A8">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9</w:t>
            </w:r>
          </w:p>
        </w:tc>
        <w:tc>
          <w:tcPr>
            <w:tcW w:w="5466" w:type="dxa"/>
            <w:vAlign w:val="center"/>
          </w:tcPr>
          <w:p w14:paraId="74CCE464">
            <w:pPr>
              <w:widowControl/>
              <w:jc w:val="center"/>
              <w:rPr>
                <w:rFonts w:hint="eastAsia" w:ascii="宋体" w:hAnsi="宋体" w:eastAsia="宋体" w:cs="宋体"/>
                <w:b w:val="0"/>
                <w:bCs w:val="0"/>
                <w:color w:val="auto"/>
                <w:kern w:val="0"/>
                <w:sz w:val="24"/>
                <w:szCs w:val="24"/>
                <w:highlight w:val="none"/>
              </w:rPr>
            </w:pPr>
          </w:p>
        </w:tc>
        <w:tc>
          <w:tcPr>
            <w:tcW w:w="1352" w:type="dxa"/>
            <w:shd w:val="clear" w:color="auto" w:fill="auto"/>
            <w:vAlign w:val="center"/>
          </w:tcPr>
          <w:p w14:paraId="6844AFE1">
            <w:pPr>
              <w:widowControl/>
              <w:jc w:val="center"/>
              <w:rPr>
                <w:rFonts w:hint="eastAsia" w:ascii="宋体" w:hAnsi="宋体" w:eastAsia="宋体" w:cs="宋体"/>
                <w:b w:val="0"/>
                <w:bCs w:val="0"/>
                <w:color w:val="auto"/>
                <w:kern w:val="0"/>
                <w:sz w:val="24"/>
                <w:szCs w:val="24"/>
                <w:highlight w:val="none"/>
              </w:rPr>
            </w:pPr>
          </w:p>
        </w:tc>
        <w:tc>
          <w:tcPr>
            <w:tcW w:w="809" w:type="dxa"/>
            <w:shd w:val="clear" w:color="auto" w:fill="auto"/>
            <w:vAlign w:val="center"/>
          </w:tcPr>
          <w:p w14:paraId="1EEBD9B0">
            <w:pPr>
              <w:widowControl/>
              <w:jc w:val="center"/>
              <w:rPr>
                <w:rFonts w:hint="eastAsia" w:ascii="宋体" w:hAnsi="宋体" w:eastAsia="宋体" w:cs="宋体"/>
                <w:b w:val="0"/>
                <w:bCs w:val="0"/>
                <w:color w:val="auto"/>
                <w:kern w:val="0"/>
                <w:sz w:val="24"/>
                <w:szCs w:val="24"/>
                <w:highlight w:val="none"/>
              </w:rPr>
            </w:pPr>
          </w:p>
        </w:tc>
        <w:tc>
          <w:tcPr>
            <w:tcW w:w="1092" w:type="dxa"/>
            <w:shd w:val="clear" w:color="auto" w:fill="auto"/>
            <w:vAlign w:val="center"/>
          </w:tcPr>
          <w:p w14:paraId="6B2F7149">
            <w:pPr>
              <w:widowControl/>
              <w:jc w:val="center"/>
              <w:rPr>
                <w:rFonts w:hint="eastAsia" w:ascii="宋体" w:hAnsi="宋体" w:eastAsia="宋体" w:cs="宋体"/>
                <w:b w:val="0"/>
                <w:bCs w:val="0"/>
                <w:color w:val="auto"/>
                <w:kern w:val="0"/>
                <w:sz w:val="24"/>
                <w:szCs w:val="24"/>
                <w:highlight w:val="none"/>
              </w:rPr>
            </w:pPr>
          </w:p>
        </w:tc>
      </w:tr>
      <w:tr w14:paraId="41AA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03" w:type="dxa"/>
            <w:shd w:val="clear" w:color="auto" w:fill="auto"/>
            <w:vAlign w:val="center"/>
          </w:tcPr>
          <w:p w14:paraId="501F251A">
            <w:pPr>
              <w:widowControl/>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10</w:t>
            </w:r>
          </w:p>
        </w:tc>
        <w:tc>
          <w:tcPr>
            <w:tcW w:w="5466" w:type="dxa"/>
            <w:shd w:val="clear" w:color="auto" w:fill="auto"/>
            <w:vAlign w:val="center"/>
          </w:tcPr>
          <w:p w14:paraId="4C1410BF">
            <w:pPr>
              <w:widowControl/>
              <w:jc w:val="center"/>
              <w:rPr>
                <w:rFonts w:hint="eastAsia" w:ascii="宋体" w:hAnsi="宋体" w:eastAsia="宋体" w:cs="宋体"/>
                <w:b w:val="0"/>
                <w:bCs w:val="0"/>
                <w:color w:val="auto"/>
                <w:kern w:val="0"/>
                <w:sz w:val="24"/>
                <w:szCs w:val="24"/>
                <w:highlight w:val="none"/>
              </w:rPr>
            </w:pPr>
          </w:p>
        </w:tc>
        <w:tc>
          <w:tcPr>
            <w:tcW w:w="1352" w:type="dxa"/>
            <w:shd w:val="clear" w:color="auto" w:fill="auto"/>
            <w:vAlign w:val="center"/>
          </w:tcPr>
          <w:p w14:paraId="7ED5DD08">
            <w:pPr>
              <w:widowControl/>
              <w:jc w:val="center"/>
              <w:rPr>
                <w:rFonts w:hint="eastAsia" w:ascii="宋体" w:hAnsi="宋体" w:eastAsia="宋体" w:cs="宋体"/>
                <w:b w:val="0"/>
                <w:bCs w:val="0"/>
                <w:color w:val="auto"/>
                <w:kern w:val="0"/>
                <w:sz w:val="24"/>
                <w:szCs w:val="24"/>
                <w:highlight w:val="none"/>
              </w:rPr>
            </w:pPr>
          </w:p>
        </w:tc>
        <w:tc>
          <w:tcPr>
            <w:tcW w:w="809" w:type="dxa"/>
            <w:shd w:val="clear" w:color="auto" w:fill="auto"/>
            <w:vAlign w:val="center"/>
          </w:tcPr>
          <w:p w14:paraId="7403D9E3">
            <w:pPr>
              <w:widowControl/>
              <w:jc w:val="center"/>
              <w:rPr>
                <w:rFonts w:hint="eastAsia" w:ascii="宋体" w:hAnsi="宋体" w:eastAsia="宋体" w:cs="宋体"/>
                <w:b w:val="0"/>
                <w:bCs w:val="0"/>
                <w:color w:val="auto"/>
                <w:kern w:val="0"/>
                <w:sz w:val="24"/>
                <w:szCs w:val="24"/>
                <w:highlight w:val="none"/>
              </w:rPr>
            </w:pPr>
          </w:p>
        </w:tc>
        <w:tc>
          <w:tcPr>
            <w:tcW w:w="1092" w:type="dxa"/>
            <w:shd w:val="clear" w:color="auto" w:fill="auto"/>
            <w:vAlign w:val="center"/>
          </w:tcPr>
          <w:p w14:paraId="3B0261F3">
            <w:pPr>
              <w:widowControl/>
              <w:jc w:val="center"/>
              <w:rPr>
                <w:rFonts w:hint="eastAsia" w:ascii="宋体" w:hAnsi="宋体" w:eastAsia="宋体" w:cs="宋体"/>
                <w:b w:val="0"/>
                <w:bCs w:val="0"/>
                <w:color w:val="auto"/>
                <w:kern w:val="0"/>
                <w:sz w:val="24"/>
                <w:szCs w:val="24"/>
                <w:highlight w:val="none"/>
              </w:rPr>
            </w:pPr>
          </w:p>
        </w:tc>
      </w:tr>
      <w:tr w14:paraId="18EC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9722" w:type="dxa"/>
            <w:gridSpan w:val="5"/>
            <w:shd w:val="clear" w:color="auto" w:fill="auto"/>
            <w:vAlign w:val="center"/>
          </w:tcPr>
          <w:p w14:paraId="44269869">
            <w:pPr>
              <w:widowControl/>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投标总价（元）：</w:t>
            </w:r>
          </w:p>
        </w:tc>
      </w:tr>
    </w:tbl>
    <w:p w14:paraId="6EBB6045">
      <w:pPr>
        <w:snapToGrid w:val="0"/>
        <w:spacing w:line="360" w:lineRule="auto"/>
        <w:ind w:firstLine="480" w:firstLineChars="200"/>
        <w:jc w:val="left"/>
        <w:rPr>
          <w:rFonts w:hint="eastAsia" w:ascii="宋体" w:hAnsi="宋体" w:eastAsia="宋体" w:cs="宋体"/>
          <w:color w:val="auto"/>
          <w:sz w:val="24"/>
          <w:szCs w:val="24"/>
          <w:highlight w:val="none"/>
          <w:shd w:val="clear" w:color="auto" w:fill="auto"/>
        </w:rPr>
      </w:pPr>
    </w:p>
    <w:p w14:paraId="24593299">
      <w:pPr>
        <w:snapToGrid w:val="0"/>
        <w:spacing w:line="360" w:lineRule="auto"/>
        <w:ind w:firstLine="480" w:firstLineChars="20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注: 1、投标人可根据项目实际情况调整本表格式，但必须包含上述内容</w:t>
      </w:r>
      <w:r>
        <w:rPr>
          <w:rFonts w:hint="eastAsia" w:ascii="宋体" w:hAnsi="宋体" w:cs="宋体"/>
          <w:color w:val="auto"/>
          <w:sz w:val="24"/>
          <w:szCs w:val="24"/>
          <w:highlight w:val="none"/>
          <w:shd w:val="clear" w:color="auto" w:fill="auto"/>
          <w:lang w:val="en-US" w:eastAsia="zh-CN"/>
        </w:rPr>
        <w:t>。</w:t>
      </w:r>
    </w:p>
    <w:p w14:paraId="5EAB5DBA">
      <w:pPr>
        <w:snapToGrid w:val="0"/>
        <w:spacing w:line="360" w:lineRule="auto"/>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以上报价应与“开标一览表”中的“投标总价”相一致。</w:t>
      </w:r>
    </w:p>
    <w:p w14:paraId="46DE19EC">
      <w:pPr>
        <w:tabs>
          <w:tab w:val="left" w:pos="1418"/>
        </w:tabs>
        <w:snapToGrid w:val="0"/>
        <w:spacing w:before="50" w:after="50"/>
        <w:ind w:left="1418" w:hanging="567"/>
        <w:jc w:val="center"/>
        <w:rPr>
          <w:rFonts w:hint="eastAsia" w:ascii="宋体" w:hAnsi="宋体" w:eastAsia="宋体" w:cs="宋体"/>
          <w:color w:val="auto"/>
          <w:spacing w:val="20"/>
          <w:sz w:val="24"/>
          <w:szCs w:val="24"/>
          <w:highlight w:val="none"/>
          <w:u w:val="single"/>
          <w:shd w:val="clear" w:color="auto" w:fill="auto"/>
        </w:rPr>
      </w:pPr>
    </w:p>
    <w:p w14:paraId="73A9F5AF">
      <w:pPr>
        <w:pStyle w:val="92"/>
        <w:rPr>
          <w:rFonts w:hint="eastAsia" w:ascii="宋体" w:hAnsi="宋体" w:eastAsia="宋体" w:cs="宋体"/>
          <w:color w:val="auto"/>
          <w:sz w:val="24"/>
          <w:szCs w:val="24"/>
          <w:highlight w:val="none"/>
        </w:rPr>
      </w:pPr>
    </w:p>
    <w:p w14:paraId="15920065">
      <w:pPr>
        <w:rPr>
          <w:rFonts w:hint="eastAsia" w:ascii="宋体" w:hAnsi="宋体" w:eastAsia="宋体" w:cs="宋体"/>
          <w:color w:val="auto"/>
          <w:sz w:val="24"/>
          <w:szCs w:val="24"/>
          <w:highlight w:val="none"/>
          <w:shd w:val="clear" w:color="auto" w:fill="auto"/>
        </w:rPr>
      </w:pPr>
    </w:p>
    <w:p w14:paraId="4ABB999B">
      <w:pPr>
        <w:autoSpaceDE w:val="0"/>
        <w:autoSpaceDN w:val="0"/>
        <w:spacing w:line="360" w:lineRule="auto"/>
        <w:ind w:left="2" w:leftChars="1" w:right="1120" w:firstLine="4560" w:firstLineChars="19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w:t>
      </w:r>
      <w:r>
        <w:rPr>
          <w:rFonts w:hint="eastAsia" w:ascii="宋体" w:hAnsi="宋体" w:cs="宋体"/>
          <w:color w:val="auto"/>
          <w:kern w:val="0"/>
          <w:sz w:val="24"/>
          <w:szCs w:val="24"/>
          <w:highlight w:val="none"/>
          <w:lang w:val="zh-CN"/>
        </w:rPr>
        <w:t>（</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章</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zh-CN"/>
        </w:rPr>
        <w:t xml:space="preserve">：                                                                                                                                                                                                               </w:t>
      </w:r>
    </w:p>
    <w:p w14:paraId="737ED685">
      <w:pPr>
        <w:spacing w:line="360" w:lineRule="auto"/>
        <w:ind w:left="4620" w:leftChars="2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 xml:space="preserve">   年   月   日</w:t>
      </w:r>
    </w:p>
    <w:p w14:paraId="5A6018A6">
      <w:pPr>
        <w:spacing w:line="360" w:lineRule="auto"/>
        <w:ind w:right="420" w:firstLine="2409" w:firstLineChars="1000"/>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 xml:space="preserve">       </w:t>
      </w:r>
    </w:p>
    <w:p w14:paraId="315F3AE0">
      <w:pPr>
        <w:spacing w:line="360" w:lineRule="auto"/>
        <w:ind w:right="420" w:firstLine="2409" w:firstLineChars="1000"/>
        <w:rPr>
          <w:rFonts w:hint="eastAsia" w:ascii="宋体" w:hAnsi="宋体" w:eastAsia="宋体" w:cs="宋体"/>
          <w:b/>
          <w:color w:val="auto"/>
          <w:kern w:val="0"/>
          <w:sz w:val="24"/>
          <w:szCs w:val="24"/>
          <w:highlight w:val="none"/>
        </w:rPr>
      </w:pPr>
    </w:p>
    <w:p w14:paraId="13059590">
      <w:pPr>
        <w:spacing w:line="360" w:lineRule="auto"/>
        <w:ind w:right="420" w:firstLine="2409" w:firstLineChars="1000"/>
        <w:rPr>
          <w:rFonts w:hint="eastAsia" w:ascii="宋体" w:hAnsi="宋体" w:eastAsia="宋体" w:cs="宋体"/>
          <w:b/>
          <w:color w:val="auto"/>
          <w:kern w:val="0"/>
          <w:sz w:val="24"/>
          <w:szCs w:val="24"/>
          <w:highlight w:val="none"/>
        </w:rPr>
      </w:pPr>
    </w:p>
    <w:p w14:paraId="1A58315F">
      <w:pPr>
        <w:spacing w:line="360" w:lineRule="auto"/>
        <w:ind w:right="420" w:firstLine="2409" w:firstLineChars="1000"/>
        <w:rPr>
          <w:rFonts w:hint="eastAsia" w:ascii="宋体" w:hAnsi="宋体" w:eastAsia="宋体" w:cs="宋体"/>
          <w:b/>
          <w:color w:val="auto"/>
          <w:kern w:val="0"/>
          <w:sz w:val="24"/>
          <w:szCs w:val="24"/>
          <w:highlight w:val="none"/>
        </w:rPr>
      </w:pPr>
    </w:p>
    <w:p w14:paraId="05A8D907">
      <w:pPr>
        <w:pStyle w:val="702"/>
        <w:numPr>
          <w:ilvl w:val="0"/>
          <w:numId w:val="0"/>
        </w:numPr>
        <w:bidi w:val="0"/>
        <w:jc w:val="center"/>
        <w:rPr>
          <w:rFonts w:hint="eastAsia" w:ascii="宋体" w:hAnsi="宋体" w:eastAsia="宋体" w:cs="宋体"/>
          <w:b/>
          <w:bCs/>
          <w:color w:val="auto"/>
          <w:sz w:val="24"/>
          <w:szCs w:val="24"/>
          <w:highlight w:val="none"/>
          <w:lang w:val="en-US" w:eastAsia="zh-CN"/>
        </w:rPr>
        <w:sectPr>
          <w:headerReference r:id="rId12" w:type="first"/>
          <w:footerReference r:id="rId15" w:type="first"/>
          <w:headerReference r:id="rId11" w:type="default"/>
          <w:footerReference r:id="rId13" w:type="default"/>
          <w:footerReference r:id="rId14" w:type="even"/>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bookmarkStart w:id="456" w:name="_Toc8239"/>
    </w:p>
    <w:bookmarkEnd w:id="456"/>
    <w:p w14:paraId="01645CF9">
      <w:pPr>
        <w:rPr>
          <w:rFonts w:hint="eastAsia" w:ascii="宋体" w:hAnsi="宋体" w:eastAsia="宋体" w:cs="宋体"/>
          <w:b/>
          <w:bCs/>
          <w:color w:val="auto"/>
          <w:sz w:val="24"/>
          <w:szCs w:val="24"/>
          <w:highlight w:val="none"/>
        </w:rPr>
      </w:pPr>
      <w:bookmarkStart w:id="457" w:name="_Toc465665161"/>
      <w:bookmarkStart w:id="458" w:name="_Toc20847"/>
    </w:p>
    <w:p w14:paraId="280E6E86">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bookmarkEnd w:id="457"/>
      <w:bookmarkEnd w:id="458"/>
    </w:p>
    <w:p w14:paraId="5A0F4B7E">
      <w:pPr>
        <w:spacing w:line="360" w:lineRule="auto"/>
        <w:rPr>
          <w:rFonts w:hint="eastAsia" w:ascii="宋体" w:hAnsi="宋体" w:eastAsia="宋体" w:cs="宋体"/>
          <w:b/>
          <w:color w:val="auto"/>
          <w:spacing w:val="6"/>
          <w:sz w:val="24"/>
          <w:szCs w:val="24"/>
          <w:highlight w:val="none"/>
        </w:rPr>
      </w:pPr>
    </w:p>
    <w:p w14:paraId="265D42C8">
      <w:pP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附件1：</w:t>
      </w:r>
    </w:p>
    <w:p w14:paraId="63FF750A">
      <w:pPr>
        <w:spacing w:line="360" w:lineRule="auto"/>
        <w:jc w:val="center"/>
        <w:rPr>
          <w:rFonts w:hint="eastAsia" w:ascii="宋体" w:hAnsi="宋体" w:eastAsia="宋体" w:cs="宋体"/>
          <w:b/>
          <w:color w:val="auto"/>
          <w:spacing w:val="6"/>
          <w:sz w:val="24"/>
          <w:szCs w:val="24"/>
          <w:highlight w:val="none"/>
        </w:rPr>
      </w:pPr>
      <w:bookmarkStart w:id="459" w:name="OLE_LINK14"/>
      <w:bookmarkStart w:id="460" w:name="OLE_LINK13"/>
      <w:r>
        <w:rPr>
          <w:rFonts w:hint="eastAsia" w:ascii="宋体" w:hAnsi="宋体" w:eastAsia="宋体" w:cs="宋体"/>
          <w:b/>
          <w:color w:val="auto"/>
          <w:spacing w:val="6"/>
          <w:sz w:val="24"/>
          <w:szCs w:val="24"/>
          <w:highlight w:val="none"/>
        </w:rPr>
        <w:t>残疾人福利性单位声明函</w:t>
      </w:r>
    </w:p>
    <w:bookmarkEnd w:id="459"/>
    <w:bookmarkEnd w:id="460"/>
    <w:p w14:paraId="168B0902">
      <w:pPr>
        <w:spacing w:line="360" w:lineRule="auto"/>
        <w:rPr>
          <w:rFonts w:hint="eastAsia" w:ascii="宋体" w:hAnsi="宋体" w:eastAsia="宋体" w:cs="宋体"/>
          <w:b/>
          <w:color w:val="auto"/>
          <w:spacing w:val="6"/>
          <w:sz w:val="24"/>
          <w:szCs w:val="24"/>
          <w:highlight w:val="none"/>
        </w:rPr>
      </w:pPr>
    </w:p>
    <w:p w14:paraId="65F63B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_单位的_</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__项目采购活动提供本单位制造的货物（由本单位承担工程/提供服务），或者提供其他残疾人福利性单位制造的货物（不包括使用非残疾人福利性单位注册商标的货物）。</w:t>
      </w:r>
    </w:p>
    <w:p w14:paraId="69A401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61059517">
      <w:pPr>
        <w:spacing w:line="360" w:lineRule="auto"/>
        <w:ind w:firstLine="480" w:firstLineChars="200"/>
        <w:rPr>
          <w:rFonts w:hint="eastAsia" w:ascii="宋体" w:hAnsi="宋体" w:eastAsia="宋体" w:cs="宋体"/>
          <w:color w:val="auto"/>
          <w:sz w:val="24"/>
          <w:szCs w:val="24"/>
          <w:highlight w:val="none"/>
        </w:rPr>
      </w:pPr>
    </w:p>
    <w:p w14:paraId="288686E3">
      <w:pPr>
        <w:spacing w:line="360" w:lineRule="auto"/>
        <w:ind w:firstLine="480" w:firstLineChars="200"/>
        <w:rPr>
          <w:rFonts w:hint="eastAsia" w:ascii="宋体" w:hAnsi="宋体" w:eastAsia="宋体" w:cs="宋体"/>
          <w:color w:val="auto"/>
          <w:sz w:val="24"/>
          <w:szCs w:val="24"/>
          <w:highlight w:val="none"/>
        </w:rPr>
      </w:pPr>
    </w:p>
    <w:p w14:paraId="29E49056">
      <w:pPr>
        <w:tabs>
          <w:tab w:val="left" w:pos="4860"/>
        </w:tabs>
        <w:spacing w:line="360" w:lineRule="auto"/>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投标人名称（</w:t>
      </w:r>
      <w:r>
        <w:rPr>
          <w:rFonts w:hint="eastAsia" w:ascii="宋体" w:hAnsi="宋体" w:eastAsia="宋体" w:cs="宋体"/>
          <w:color w:val="auto"/>
          <w:kern w:val="0"/>
          <w:sz w:val="24"/>
          <w:szCs w:val="24"/>
          <w:highlight w:val="none"/>
          <w:lang w:val="en-US" w:eastAsia="zh-CN"/>
        </w:rPr>
        <w:t>电子盖章</w:t>
      </w:r>
      <w:r>
        <w:rPr>
          <w:rFonts w:hint="eastAsia" w:ascii="宋体" w:hAnsi="宋体" w:eastAsia="宋体" w:cs="宋体"/>
          <w:color w:val="auto"/>
          <w:kern w:val="0"/>
          <w:sz w:val="24"/>
          <w:szCs w:val="24"/>
          <w:highlight w:val="none"/>
          <w:lang w:val="zh-CN"/>
        </w:rPr>
        <w:t>）：</w:t>
      </w:r>
    </w:p>
    <w:p w14:paraId="79CF3BDD">
      <w:pPr>
        <w:tabs>
          <w:tab w:val="left" w:pos="4860"/>
        </w:tabs>
        <w:spacing w:line="360" w:lineRule="auto"/>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38B29EC9">
      <w:pPr>
        <w:spacing w:line="360" w:lineRule="auto"/>
        <w:ind w:firstLine="480" w:firstLineChars="200"/>
        <w:rPr>
          <w:rFonts w:hint="eastAsia" w:ascii="宋体" w:hAnsi="宋体" w:eastAsia="宋体" w:cs="宋体"/>
          <w:color w:val="auto"/>
          <w:sz w:val="24"/>
          <w:szCs w:val="24"/>
          <w:highlight w:val="none"/>
        </w:rPr>
      </w:pPr>
    </w:p>
    <w:p w14:paraId="241B623F">
      <w:pPr>
        <w:spacing w:line="360" w:lineRule="auto"/>
        <w:ind w:firstLine="480" w:firstLineChars="200"/>
        <w:rPr>
          <w:rFonts w:hint="eastAsia" w:ascii="宋体" w:hAnsi="宋体" w:eastAsia="宋体" w:cs="宋体"/>
          <w:color w:val="auto"/>
          <w:sz w:val="24"/>
          <w:szCs w:val="24"/>
          <w:highlight w:val="none"/>
        </w:rPr>
      </w:pPr>
    </w:p>
    <w:p w14:paraId="621ACDEC">
      <w:pPr>
        <w:spacing w:line="360" w:lineRule="auto"/>
        <w:ind w:firstLine="480" w:firstLineChars="200"/>
        <w:rPr>
          <w:rFonts w:hint="eastAsia" w:ascii="宋体" w:hAnsi="宋体" w:eastAsia="宋体" w:cs="宋体"/>
          <w:color w:val="auto"/>
          <w:sz w:val="24"/>
          <w:szCs w:val="24"/>
          <w:highlight w:val="none"/>
        </w:rPr>
      </w:pPr>
    </w:p>
    <w:p w14:paraId="5626B40C">
      <w:pPr>
        <w:spacing w:line="360" w:lineRule="auto"/>
        <w:ind w:firstLine="480" w:firstLineChars="200"/>
        <w:rPr>
          <w:rFonts w:hint="eastAsia" w:ascii="宋体" w:hAnsi="宋体" w:eastAsia="宋体" w:cs="宋体"/>
          <w:color w:val="auto"/>
          <w:sz w:val="24"/>
          <w:szCs w:val="24"/>
          <w:highlight w:val="none"/>
        </w:rPr>
      </w:pPr>
    </w:p>
    <w:p w14:paraId="03377148">
      <w:pPr>
        <w:spacing w:line="360" w:lineRule="auto"/>
        <w:ind w:firstLine="480" w:firstLineChars="200"/>
        <w:rPr>
          <w:rFonts w:hint="eastAsia" w:ascii="宋体" w:hAnsi="宋体" w:eastAsia="宋体" w:cs="宋体"/>
          <w:color w:val="auto"/>
          <w:sz w:val="24"/>
          <w:szCs w:val="24"/>
          <w:highlight w:val="none"/>
        </w:rPr>
      </w:pPr>
    </w:p>
    <w:p w14:paraId="71B59931">
      <w:pPr>
        <w:spacing w:line="360" w:lineRule="auto"/>
        <w:rPr>
          <w:rFonts w:hint="eastAsia" w:ascii="宋体" w:hAnsi="宋体" w:eastAsia="宋体" w:cs="宋体"/>
          <w:b/>
          <w:color w:val="auto"/>
          <w:sz w:val="24"/>
          <w:szCs w:val="24"/>
          <w:highlight w:val="none"/>
        </w:rPr>
      </w:pPr>
    </w:p>
    <w:p w14:paraId="7A0F0C05">
      <w:pPr>
        <w:spacing w:line="360" w:lineRule="auto"/>
        <w:rPr>
          <w:rFonts w:hint="eastAsia" w:ascii="宋体" w:hAnsi="宋体" w:eastAsia="宋体" w:cs="宋体"/>
          <w:b/>
          <w:color w:val="auto"/>
          <w:sz w:val="24"/>
          <w:szCs w:val="24"/>
          <w:highlight w:val="none"/>
        </w:rPr>
      </w:pPr>
    </w:p>
    <w:p w14:paraId="1B7AEE19">
      <w:pPr>
        <w:spacing w:line="360" w:lineRule="auto"/>
        <w:rPr>
          <w:rFonts w:hint="eastAsia" w:ascii="宋体" w:hAnsi="宋体" w:eastAsia="宋体" w:cs="宋体"/>
          <w:b/>
          <w:color w:val="auto"/>
          <w:sz w:val="24"/>
          <w:szCs w:val="24"/>
          <w:highlight w:val="none"/>
        </w:rPr>
      </w:pPr>
    </w:p>
    <w:p w14:paraId="5372E4C4">
      <w:pPr>
        <w:spacing w:line="360" w:lineRule="auto"/>
        <w:rPr>
          <w:rFonts w:hint="eastAsia" w:ascii="宋体" w:hAnsi="宋体" w:eastAsia="宋体" w:cs="宋体"/>
          <w:b/>
          <w:color w:val="auto"/>
          <w:sz w:val="24"/>
          <w:szCs w:val="24"/>
          <w:highlight w:val="none"/>
        </w:rPr>
      </w:pPr>
    </w:p>
    <w:p w14:paraId="04F1BBA2">
      <w:pPr>
        <w:spacing w:line="360" w:lineRule="auto"/>
        <w:rPr>
          <w:rFonts w:hint="eastAsia" w:ascii="宋体" w:hAnsi="宋体" w:eastAsia="宋体" w:cs="宋体"/>
          <w:b/>
          <w:color w:val="auto"/>
          <w:sz w:val="24"/>
          <w:szCs w:val="24"/>
          <w:highlight w:val="none"/>
        </w:rPr>
      </w:pPr>
    </w:p>
    <w:p w14:paraId="17852A56">
      <w:pPr>
        <w:spacing w:line="360" w:lineRule="auto"/>
        <w:rPr>
          <w:rFonts w:hint="eastAsia" w:ascii="宋体" w:hAnsi="宋体" w:eastAsia="宋体" w:cs="宋体"/>
          <w:b/>
          <w:color w:val="auto"/>
          <w:sz w:val="24"/>
          <w:szCs w:val="24"/>
          <w:highlight w:val="none"/>
        </w:rPr>
      </w:pPr>
    </w:p>
    <w:p w14:paraId="6658513F">
      <w:pPr>
        <w:spacing w:line="360" w:lineRule="auto"/>
        <w:rPr>
          <w:rFonts w:hint="eastAsia" w:ascii="宋体" w:hAnsi="宋体" w:eastAsia="宋体" w:cs="宋体"/>
          <w:b/>
          <w:color w:val="auto"/>
          <w:sz w:val="24"/>
          <w:szCs w:val="24"/>
          <w:highlight w:val="none"/>
        </w:rPr>
      </w:pPr>
    </w:p>
    <w:p w14:paraId="32CAE78F">
      <w:pPr>
        <w:spacing w:line="360" w:lineRule="auto"/>
        <w:rPr>
          <w:rFonts w:hint="eastAsia" w:ascii="宋体" w:hAnsi="宋体" w:eastAsia="宋体" w:cs="宋体"/>
          <w:b/>
          <w:color w:val="auto"/>
          <w:sz w:val="24"/>
          <w:szCs w:val="24"/>
          <w:highlight w:val="none"/>
        </w:rPr>
      </w:pPr>
    </w:p>
    <w:p w14:paraId="38DC2B7D">
      <w:pPr>
        <w:spacing w:line="360" w:lineRule="auto"/>
        <w:rPr>
          <w:rFonts w:hint="eastAsia" w:ascii="宋体" w:hAnsi="宋体" w:eastAsia="宋体" w:cs="宋体"/>
          <w:b/>
          <w:color w:val="auto"/>
          <w:sz w:val="24"/>
          <w:szCs w:val="24"/>
          <w:highlight w:val="none"/>
        </w:rPr>
      </w:pPr>
    </w:p>
    <w:p w14:paraId="5E9EC8C0">
      <w:pPr>
        <w:autoSpaceDE w:val="0"/>
        <w:autoSpaceDN w:val="0"/>
        <w:jc w:val="center"/>
        <w:rPr>
          <w:rFonts w:hint="eastAsia" w:ascii="宋体" w:hAnsi="宋体" w:eastAsia="宋体" w:cs="宋体"/>
          <w:b/>
          <w:color w:val="auto"/>
          <w:spacing w:val="6"/>
          <w:sz w:val="24"/>
          <w:szCs w:val="24"/>
          <w:highlight w:val="none"/>
        </w:rPr>
      </w:pPr>
    </w:p>
    <w:p w14:paraId="181D222B">
      <w:pPr>
        <w:autoSpaceDE w:val="0"/>
        <w:autoSpaceDN w:val="0"/>
        <w:jc w:val="center"/>
        <w:rPr>
          <w:rFonts w:hint="eastAsia" w:ascii="宋体" w:hAnsi="宋体" w:eastAsia="宋体" w:cs="宋体"/>
          <w:b/>
          <w:color w:val="auto"/>
          <w:spacing w:val="6"/>
          <w:sz w:val="24"/>
          <w:szCs w:val="24"/>
          <w:highlight w:val="none"/>
        </w:rPr>
      </w:pPr>
    </w:p>
    <w:p w14:paraId="2A3D6534">
      <w:pPr>
        <w:autoSpaceDE w:val="0"/>
        <w:autoSpaceDN w:val="0"/>
        <w:jc w:val="center"/>
        <w:rPr>
          <w:rFonts w:hint="eastAsia" w:ascii="宋体" w:hAnsi="宋体" w:eastAsia="宋体" w:cs="宋体"/>
          <w:b/>
          <w:color w:val="auto"/>
          <w:spacing w:val="6"/>
          <w:sz w:val="24"/>
          <w:szCs w:val="24"/>
          <w:highlight w:val="none"/>
        </w:rPr>
      </w:pPr>
    </w:p>
    <w:p w14:paraId="49203AE1">
      <w:pPr>
        <w:autoSpaceDE w:val="0"/>
        <w:autoSpaceDN w:val="0"/>
        <w:jc w:val="center"/>
        <w:rPr>
          <w:rFonts w:hint="eastAsia" w:ascii="宋体" w:hAnsi="宋体" w:eastAsia="宋体" w:cs="宋体"/>
          <w:b/>
          <w:bCs/>
          <w:color w:val="auto"/>
          <w:sz w:val="24"/>
          <w:szCs w:val="24"/>
          <w:highlight w:val="none"/>
        </w:rPr>
      </w:pPr>
      <w:r>
        <w:rPr>
          <w:rFonts w:hint="eastAsia" w:ascii="宋体" w:hAnsi="宋体" w:eastAsia="宋体" w:cs="宋体"/>
          <w:b/>
          <w:color w:val="auto"/>
          <w:spacing w:val="6"/>
          <w:sz w:val="24"/>
          <w:szCs w:val="24"/>
          <w:highlight w:val="none"/>
        </w:rPr>
        <w:t>附件</w:t>
      </w:r>
      <w:r>
        <w:rPr>
          <w:rFonts w:hint="eastAsia" w:ascii="宋体" w:hAnsi="宋体" w:eastAsia="宋体" w:cs="宋体"/>
          <w:b/>
          <w:color w:val="auto"/>
          <w:spacing w:val="6"/>
          <w:sz w:val="24"/>
          <w:szCs w:val="24"/>
          <w:highlight w:val="none"/>
          <w:lang w:val="en-US" w:eastAsia="zh-CN"/>
        </w:rPr>
        <w:t>2</w:t>
      </w:r>
      <w:r>
        <w:rPr>
          <w:rFonts w:hint="eastAsia" w:ascii="宋体" w:hAnsi="宋体" w:eastAsia="宋体" w:cs="宋体"/>
          <w:b/>
          <w:color w:val="auto"/>
          <w:spacing w:val="6"/>
          <w:sz w:val="24"/>
          <w:szCs w:val="24"/>
          <w:highlight w:val="none"/>
        </w:rPr>
        <w:t>：</w:t>
      </w:r>
      <w:r>
        <w:rPr>
          <w:rFonts w:hint="eastAsia" w:ascii="宋体" w:hAnsi="宋体" w:eastAsia="宋体" w:cs="宋体"/>
          <w:b/>
          <w:bCs/>
          <w:color w:val="auto"/>
          <w:sz w:val="24"/>
          <w:szCs w:val="24"/>
          <w:highlight w:val="none"/>
        </w:rPr>
        <w:t>业务专用章使用说明函</w:t>
      </w:r>
    </w:p>
    <w:p w14:paraId="436C7AFB">
      <w:pPr>
        <w:spacing w:line="360" w:lineRule="auto"/>
        <w:rPr>
          <w:rFonts w:hint="eastAsia" w:ascii="宋体" w:hAnsi="宋体" w:eastAsia="宋体" w:cs="宋体"/>
          <w:color w:val="auto"/>
          <w:sz w:val="24"/>
          <w:szCs w:val="24"/>
          <w:highlight w:val="none"/>
          <w:u w:val="single"/>
        </w:rPr>
      </w:pPr>
    </w:p>
    <w:p w14:paraId="0E4632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（采购人）、（采购代理机构）：</w:t>
      </w:r>
    </w:p>
    <w:p w14:paraId="24552E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我方</w:t>
      </w:r>
      <w:r>
        <w:rPr>
          <w:rFonts w:hint="eastAsia" w:ascii="宋体" w:hAnsi="宋体" w:eastAsia="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w:t>
      </w:r>
      <w:r>
        <w:rPr>
          <w:rFonts w:hint="eastAsia" w:ascii="宋体" w:hAnsi="宋体" w:eastAsia="宋体" w:cs="宋体"/>
          <w:color w:val="auto"/>
          <w:sz w:val="24"/>
          <w:szCs w:val="24"/>
          <w:highlight w:val="none"/>
        </w:rPr>
        <w:t>投标人全称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是中华人民共和国依法登记注册的合法企业，</w:t>
      </w:r>
      <w:r>
        <w:rPr>
          <w:rFonts w:hint="eastAsia" w:ascii="宋体" w:hAnsi="宋体" w:eastAsia="宋体" w:cs="宋体"/>
          <w:bCs/>
          <w:color w:val="auto"/>
          <w:sz w:val="24"/>
          <w:szCs w:val="24"/>
          <w:highlight w:val="none"/>
        </w:rPr>
        <w:t>在参加</w:t>
      </w:r>
      <w:r>
        <w:rPr>
          <w:rFonts w:hint="eastAsia" w:ascii="宋体" w:hAnsi="宋体" w:eastAsia="宋体" w:cs="宋体"/>
          <w:color w:val="auto"/>
          <w:sz w:val="24"/>
          <w:szCs w:val="24"/>
          <w:highlight w:val="none"/>
        </w:rPr>
        <w:t>你方组织的（项目名称）【招标编号：（采购编号）】</w:t>
      </w:r>
      <w:r>
        <w:rPr>
          <w:rFonts w:hint="eastAsia" w:ascii="宋体" w:hAnsi="宋体" w:eastAsia="宋体" w:cs="宋体"/>
          <w:bCs/>
          <w:color w:val="auto"/>
          <w:sz w:val="24"/>
          <w:szCs w:val="24"/>
          <w:highlight w:val="none"/>
        </w:rPr>
        <w:t>投标活动中作如下说明：</w:t>
      </w:r>
      <w:r>
        <w:rPr>
          <w:rFonts w:hint="eastAsia" w:ascii="宋体" w:hAnsi="宋体" w:eastAsia="宋体" w:cs="宋体"/>
          <w:color w:val="auto"/>
          <w:sz w:val="24"/>
          <w:szCs w:val="24"/>
          <w:highlight w:val="none"/>
        </w:rPr>
        <w:t xml:space="preserve">我方所使用的“XX专用章”与法定名称章具有同等的法律效力，对使用“XX专用章”的行为予以完全承认，并愿意承担相应责任。   </w:t>
      </w:r>
    </w:p>
    <w:p w14:paraId="180591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特此说明。</w:t>
      </w:r>
    </w:p>
    <w:p w14:paraId="225E3AC0">
      <w:pPr>
        <w:spacing w:line="360" w:lineRule="auto"/>
        <w:ind w:firstLine="494"/>
        <w:rPr>
          <w:rFonts w:hint="eastAsia" w:ascii="宋体" w:hAnsi="宋体" w:eastAsia="宋体" w:cs="宋体"/>
          <w:color w:val="auto"/>
          <w:sz w:val="24"/>
          <w:szCs w:val="24"/>
          <w:highlight w:val="none"/>
        </w:rPr>
      </w:pPr>
    </w:p>
    <w:p w14:paraId="16BDA1AF">
      <w:pPr>
        <w:spacing w:line="360" w:lineRule="auto"/>
        <w:ind w:firstLine="494"/>
        <w:rPr>
          <w:rFonts w:hint="eastAsia" w:ascii="宋体" w:hAnsi="宋体" w:eastAsia="宋体" w:cs="宋体"/>
          <w:color w:val="auto"/>
          <w:sz w:val="24"/>
          <w:szCs w:val="24"/>
          <w:highlight w:val="none"/>
        </w:rPr>
      </w:pPr>
    </w:p>
    <w:p w14:paraId="196D4B44">
      <w:pPr>
        <w:spacing w:line="360" w:lineRule="auto"/>
        <w:ind w:firstLine="494"/>
        <w:rPr>
          <w:rFonts w:hint="eastAsia" w:ascii="宋体" w:hAnsi="宋体" w:eastAsia="宋体" w:cs="宋体"/>
          <w:color w:val="auto"/>
          <w:sz w:val="24"/>
          <w:szCs w:val="24"/>
          <w:highlight w:val="none"/>
        </w:rPr>
      </w:pPr>
    </w:p>
    <w:p w14:paraId="5184598D">
      <w:pPr>
        <w:spacing w:line="360" w:lineRule="auto"/>
        <w:ind w:right="480"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w:t>
      </w:r>
      <w:r>
        <w:rPr>
          <w:rFonts w:hint="eastAsia" w:ascii="宋体" w:hAnsi="宋体" w:eastAsia="宋体" w:cs="宋体"/>
          <w:color w:val="auto"/>
          <w:sz w:val="24"/>
          <w:szCs w:val="24"/>
          <w:highlight w:val="none"/>
          <w:lang w:val="en-US" w:eastAsia="zh-CN"/>
        </w:rPr>
        <w:t>电子盖章</w:t>
      </w:r>
      <w:r>
        <w:rPr>
          <w:rFonts w:hint="eastAsia" w:ascii="宋体" w:hAnsi="宋体" w:eastAsia="宋体" w:cs="宋体"/>
          <w:color w:val="auto"/>
          <w:sz w:val="24"/>
          <w:szCs w:val="24"/>
          <w:highlight w:val="none"/>
        </w:rPr>
        <w:t>）：</w:t>
      </w:r>
    </w:p>
    <w:p w14:paraId="09AD2115">
      <w:pPr>
        <w:ind w:right="1440" w:firstLine="49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0C2F3D1E">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w:t>
      </w:r>
    </w:p>
    <w:p w14:paraId="41450037">
      <w:pPr>
        <w:spacing w:line="360" w:lineRule="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7"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txbx>
                        <w:txbxContent>
                          <w:p w14:paraId="09D6EF41">
                            <w:pPr>
                              <w:jc w:val="center"/>
                            </w:pPr>
                          </w:p>
                        </w:txbxContent>
                      </wps:txbx>
                      <wps:bodyPr vert="horz" wrap="square" lIns="91440" tIns="45720" rIns="91440" bIns="45720" anchor="t"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xz/jB2AAAAAoBAAAPAAAA&#10;AAAAAAEAIAAAACIAAABkcnMvZG93bnJldi54bWxQSwECFAAUAAAACACHTuJAwQQOORUCAABQBAAA&#10;DgAAAAAAAAABACAAAAAnAQAAZHJzL2Uyb0RvYy54bWxQSwUGAAAAAAYABgBZAQAArgUAAAAA&#10;">
                <v:fill on="t" focussize="0,0"/>
                <v:stroke color="#000000" joinstyle="miter"/>
                <v:imagedata o:title=""/>
                <o:lock v:ext="edit" aspectratio="f"/>
                <v:textbox>
                  <w:txbxContent>
                    <w:p w14:paraId="09D6EF41">
                      <w:pPr>
                        <w:jc w:val="center"/>
                      </w:pPr>
                    </w:p>
                  </w:txbxContent>
                </v:textbox>
              </v:rect>
            </w:pict>
          </mc:Fallback>
        </mc:AlternateContent>
      </w:r>
      <w:r>
        <w:rPr>
          <w:rFonts w:hint="eastAsia" w:ascii="宋体" w:hAnsi="宋体" w:eastAsia="宋体" w:cs="宋体"/>
          <w:b/>
          <w:bCs/>
          <w:color w:val="auto"/>
          <w:sz w:val="24"/>
          <w:szCs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8"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txbx>
                        <w:txbxContent>
                          <w:p w14:paraId="2DA07C11">
                            <w:pPr>
                              <w:jc w:val="center"/>
                            </w:pPr>
                          </w:p>
                        </w:txbxContent>
                      </wps:txbx>
                      <wps:bodyPr vert="horz" wrap="square" lIns="91440" tIns="45720" rIns="91440" bIns="45720" anchor="t" upright="1">
                        <a:noAutofit/>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d07BY2AAAAAoBAAAPAAAA&#10;AAAAAAEAIAAAACIAAABkcnMvZG93bnJldi54bWxQSwECFAAUAAAACACHTuJAWW8saBUCAABQBAAA&#10;DgAAAAAAAAABACAAAAAnAQAAZHJzL2Uyb0RvYy54bWxQSwUGAAAAAAYABgBZAQAArgUAAAAA&#10;">
                <v:fill on="t" focussize="0,0"/>
                <v:stroke color="#000000" joinstyle="miter"/>
                <v:imagedata o:title=""/>
                <o:lock v:ext="edit" aspectratio="f"/>
                <v:textbox>
                  <w:txbxContent>
                    <w:p w14:paraId="2DA07C11">
                      <w:pPr>
                        <w:jc w:val="center"/>
                      </w:pPr>
                    </w:p>
                  </w:txbxContent>
                </v:textbox>
              </v:rect>
            </w:pict>
          </mc:Fallback>
        </mc:AlternateContent>
      </w:r>
      <w:r>
        <w:rPr>
          <w:rFonts w:hint="eastAsia" w:ascii="宋体" w:hAnsi="宋体" w:eastAsia="宋体" w:cs="宋体"/>
          <w:color w:val="auto"/>
          <w:sz w:val="24"/>
          <w:szCs w:val="24"/>
          <w:highlight w:val="none"/>
        </w:rPr>
        <w:t>投标单位法定名称章（印模）                投标单位“XX专用章”（印模）</w:t>
      </w:r>
    </w:p>
    <w:p w14:paraId="360B69FA">
      <w:pPr>
        <w:autoSpaceDE w:val="0"/>
        <w:autoSpaceDN w:val="0"/>
        <w:jc w:val="center"/>
        <w:rPr>
          <w:rFonts w:hint="eastAsia" w:ascii="宋体" w:hAnsi="宋体" w:eastAsia="宋体" w:cs="宋体"/>
          <w:b/>
          <w:color w:val="auto"/>
          <w:spacing w:val="6"/>
          <w:sz w:val="24"/>
          <w:szCs w:val="24"/>
          <w:highlight w:val="none"/>
        </w:rPr>
      </w:pPr>
    </w:p>
    <w:p w14:paraId="61C36B32">
      <w:pPr>
        <w:autoSpaceDE w:val="0"/>
        <w:autoSpaceDN w:val="0"/>
        <w:jc w:val="center"/>
        <w:rPr>
          <w:rFonts w:hint="eastAsia" w:ascii="宋体" w:hAnsi="宋体" w:eastAsia="宋体" w:cs="宋体"/>
          <w:b/>
          <w:color w:val="auto"/>
          <w:spacing w:val="6"/>
          <w:sz w:val="24"/>
          <w:szCs w:val="24"/>
          <w:highlight w:val="none"/>
        </w:rPr>
      </w:pPr>
    </w:p>
    <w:p w14:paraId="6CF14B98">
      <w:pPr>
        <w:autoSpaceDE w:val="0"/>
        <w:autoSpaceDN w:val="0"/>
        <w:jc w:val="center"/>
        <w:rPr>
          <w:rFonts w:hint="eastAsia" w:ascii="宋体" w:hAnsi="宋体" w:eastAsia="宋体" w:cs="宋体"/>
          <w:b/>
          <w:color w:val="auto"/>
          <w:spacing w:val="6"/>
          <w:sz w:val="24"/>
          <w:szCs w:val="24"/>
          <w:highlight w:val="none"/>
        </w:rPr>
      </w:pPr>
    </w:p>
    <w:p w14:paraId="0FCB0BBB">
      <w:pPr>
        <w:autoSpaceDE w:val="0"/>
        <w:autoSpaceDN w:val="0"/>
        <w:jc w:val="center"/>
        <w:rPr>
          <w:rFonts w:hint="eastAsia" w:ascii="宋体" w:hAnsi="宋体" w:eastAsia="宋体" w:cs="宋体"/>
          <w:b/>
          <w:color w:val="auto"/>
          <w:spacing w:val="6"/>
          <w:sz w:val="24"/>
          <w:szCs w:val="24"/>
          <w:highlight w:val="none"/>
        </w:rPr>
      </w:pPr>
    </w:p>
    <w:p w14:paraId="630D6FBF">
      <w:pPr>
        <w:autoSpaceDE w:val="0"/>
        <w:autoSpaceDN w:val="0"/>
        <w:jc w:val="center"/>
        <w:rPr>
          <w:rFonts w:hint="eastAsia" w:ascii="宋体" w:hAnsi="宋体" w:eastAsia="宋体" w:cs="宋体"/>
          <w:b/>
          <w:color w:val="auto"/>
          <w:spacing w:val="6"/>
          <w:sz w:val="24"/>
          <w:szCs w:val="24"/>
          <w:highlight w:val="none"/>
        </w:rPr>
      </w:pPr>
    </w:p>
    <w:p w14:paraId="50143BC4">
      <w:pPr>
        <w:autoSpaceDE w:val="0"/>
        <w:autoSpaceDN w:val="0"/>
        <w:jc w:val="center"/>
        <w:rPr>
          <w:rFonts w:hint="eastAsia" w:ascii="宋体" w:hAnsi="宋体" w:eastAsia="宋体" w:cs="宋体"/>
          <w:b/>
          <w:color w:val="auto"/>
          <w:spacing w:val="6"/>
          <w:sz w:val="24"/>
          <w:szCs w:val="24"/>
          <w:highlight w:val="none"/>
        </w:rPr>
      </w:pPr>
    </w:p>
    <w:p w14:paraId="60FAD2C6">
      <w:pPr>
        <w:autoSpaceDE w:val="0"/>
        <w:autoSpaceDN w:val="0"/>
        <w:jc w:val="center"/>
        <w:rPr>
          <w:rFonts w:hint="eastAsia" w:ascii="宋体" w:hAnsi="宋体" w:eastAsia="宋体" w:cs="宋体"/>
          <w:b/>
          <w:color w:val="auto"/>
          <w:spacing w:val="6"/>
          <w:sz w:val="24"/>
          <w:szCs w:val="24"/>
          <w:highlight w:val="none"/>
        </w:rPr>
      </w:pPr>
    </w:p>
    <w:p w14:paraId="665D9B7B">
      <w:pPr>
        <w:autoSpaceDE w:val="0"/>
        <w:autoSpaceDN w:val="0"/>
        <w:jc w:val="center"/>
        <w:rPr>
          <w:rFonts w:hint="eastAsia" w:ascii="宋体" w:hAnsi="宋体" w:eastAsia="宋体" w:cs="宋体"/>
          <w:b/>
          <w:color w:val="auto"/>
          <w:spacing w:val="6"/>
          <w:sz w:val="24"/>
          <w:szCs w:val="24"/>
          <w:highlight w:val="none"/>
        </w:rPr>
      </w:pPr>
    </w:p>
    <w:p w14:paraId="5FE8684A">
      <w:pPr>
        <w:autoSpaceDE w:val="0"/>
        <w:autoSpaceDN w:val="0"/>
        <w:jc w:val="center"/>
        <w:rPr>
          <w:rFonts w:hint="eastAsia" w:ascii="宋体" w:hAnsi="宋体" w:eastAsia="宋体" w:cs="宋体"/>
          <w:b/>
          <w:color w:val="auto"/>
          <w:spacing w:val="6"/>
          <w:sz w:val="24"/>
          <w:szCs w:val="24"/>
          <w:highlight w:val="none"/>
        </w:rPr>
      </w:pPr>
    </w:p>
    <w:p w14:paraId="7CE728EB">
      <w:pPr>
        <w:autoSpaceDE w:val="0"/>
        <w:autoSpaceDN w:val="0"/>
        <w:jc w:val="center"/>
        <w:rPr>
          <w:rFonts w:hint="eastAsia" w:ascii="宋体" w:hAnsi="宋体" w:eastAsia="宋体" w:cs="宋体"/>
          <w:b/>
          <w:color w:val="auto"/>
          <w:spacing w:val="6"/>
          <w:sz w:val="24"/>
          <w:szCs w:val="24"/>
          <w:highlight w:val="none"/>
        </w:rPr>
      </w:pPr>
    </w:p>
    <w:p w14:paraId="281F080E">
      <w:pPr>
        <w:autoSpaceDE w:val="0"/>
        <w:autoSpaceDN w:val="0"/>
        <w:jc w:val="center"/>
        <w:rPr>
          <w:rFonts w:hint="eastAsia" w:ascii="宋体" w:hAnsi="宋体" w:eastAsia="宋体" w:cs="宋体"/>
          <w:b/>
          <w:color w:val="auto"/>
          <w:spacing w:val="6"/>
          <w:sz w:val="24"/>
          <w:szCs w:val="24"/>
          <w:highlight w:val="none"/>
        </w:rPr>
      </w:pPr>
    </w:p>
    <w:p w14:paraId="65B60F64">
      <w:pPr>
        <w:autoSpaceDE w:val="0"/>
        <w:autoSpaceDN w:val="0"/>
        <w:jc w:val="center"/>
        <w:rPr>
          <w:rFonts w:hint="eastAsia" w:ascii="宋体" w:hAnsi="宋体" w:eastAsia="宋体" w:cs="宋体"/>
          <w:b/>
          <w:color w:val="auto"/>
          <w:spacing w:val="6"/>
          <w:sz w:val="24"/>
          <w:szCs w:val="24"/>
          <w:highlight w:val="none"/>
        </w:rPr>
      </w:pPr>
    </w:p>
    <w:p w14:paraId="1561C573">
      <w:pPr>
        <w:autoSpaceDE w:val="0"/>
        <w:autoSpaceDN w:val="0"/>
        <w:jc w:val="center"/>
        <w:rPr>
          <w:rFonts w:hint="eastAsia" w:ascii="宋体" w:hAnsi="宋体" w:eastAsia="宋体" w:cs="宋体"/>
          <w:b/>
          <w:color w:val="auto"/>
          <w:spacing w:val="6"/>
          <w:sz w:val="24"/>
          <w:szCs w:val="24"/>
          <w:highlight w:val="none"/>
        </w:rPr>
      </w:pPr>
    </w:p>
    <w:p w14:paraId="63F3CC6B">
      <w:pPr>
        <w:autoSpaceDE w:val="0"/>
        <w:autoSpaceDN w:val="0"/>
        <w:jc w:val="center"/>
        <w:rPr>
          <w:rFonts w:hint="eastAsia" w:ascii="宋体" w:hAnsi="宋体" w:eastAsia="宋体" w:cs="宋体"/>
          <w:b/>
          <w:color w:val="auto"/>
          <w:spacing w:val="6"/>
          <w:sz w:val="24"/>
          <w:szCs w:val="24"/>
          <w:highlight w:val="none"/>
        </w:rPr>
      </w:pPr>
    </w:p>
    <w:p w14:paraId="4526E125">
      <w:pPr>
        <w:autoSpaceDE w:val="0"/>
        <w:autoSpaceDN w:val="0"/>
        <w:jc w:val="center"/>
        <w:rPr>
          <w:rFonts w:hint="eastAsia" w:ascii="宋体" w:hAnsi="宋体" w:eastAsia="宋体" w:cs="宋体"/>
          <w:b/>
          <w:color w:val="auto"/>
          <w:spacing w:val="6"/>
          <w:sz w:val="24"/>
          <w:szCs w:val="24"/>
          <w:highlight w:val="none"/>
        </w:rPr>
      </w:pPr>
    </w:p>
    <w:p w14:paraId="378E9DCD">
      <w:pPr>
        <w:autoSpaceDE w:val="0"/>
        <w:autoSpaceDN w:val="0"/>
        <w:jc w:val="center"/>
        <w:rPr>
          <w:rFonts w:hint="eastAsia" w:ascii="宋体" w:hAnsi="宋体" w:eastAsia="宋体" w:cs="宋体"/>
          <w:b/>
          <w:color w:val="auto"/>
          <w:spacing w:val="6"/>
          <w:sz w:val="24"/>
          <w:szCs w:val="24"/>
          <w:highlight w:val="none"/>
        </w:rPr>
      </w:pPr>
    </w:p>
    <w:p w14:paraId="4E6DD68C">
      <w:pPr>
        <w:autoSpaceDE w:val="0"/>
        <w:autoSpaceDN w:val="0"/>
        <w:jc w:val="center"/>
        <w:rPr>
          <w:rFonts w:hint="eastAsia" w:ascii="宋体" w:hAnsi="宋体" w:eastAsia="宋体" w:cs="宋体"/>
          <w:b/>
          <w:color w:val="auto"/>
          <w:spacing w:val="6"/>
          <w:sz w:val="24"/>
          <w:szCs w:val="24"/>
          <w:highlight w:val="none"/>
        </w:rPr>
      </w:pPr>
    </w:p>
    <w:p w14:paraId="7E8C1997">
      <w:pPr>
        <w:rPr>
          <w:rFonts w:hint="eastAsia" w:ascii="宋体" w:hAnsi="宋体" w:eastAsia="宋体" w:cs="宋体"/>
          <w:b/>
          <w:bCs/>
          <w:color w:val="auto"/>
          <w:sz w:val="24"/>
          <w:szCs w:val="24"/>
          <w:highlight w:val="none"/>
        </w:rPr>
      </w:pPr>
      <w:bookmarkStart w:id="461" w:name="_Toc27865"/>
      <w:r>
        <w:rPr>
          <w:rFonts w:hint="eastAsia" w:ascii="宋体" w:hAnsi="宋体" w:eastAsia="宋体" w:cs="宋体"/>
          <w:b/>
          <w:bCs/>
          <w:color w:val="auto"/>
          <w:sz w:val="24"/>
          <w:szCs w:val="24"/>
          <w:highlight w:val="none"/>
        </w:rPr>
        <w:br w:type="page"/>
      </w:r>
    </w:p>
    <w:p w14:paraId="51CC785F">
      <w:pPr>
        <w:bidi w:val="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：联合协议</w:t>
      </w:r>
      <w:bookmarkEnd w:id="461"/>
    </w:p>
    <w:p w14:paraId="2D1DB4F0">
      <w:pPr>
        <w:pStyle w:val="64"/>
        <w:rPr>
          <w:rFonts w:hint="eastAsia" w:ascii="宋体" w:hAnsi="宋体" w:eastAsia="宋体" w:cs="宋体"/>
          <w:color w:val="auto"/>
          <w:sz w:val="24"/>
          <w:szCs w:val="24"/>
          <w:highlight w:val="none"/>
        </w:rPr>
      </w:pPr>
    </w:p>
    <w:p w14:paraId="5AB577C1">
      <w:pPr>
        <w:widowControl/>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（以联合体形式投标的，提供联合协议；本项目不接受联合体投标或者投标人不以联合体形式投标的，则不需要提供）</w:t>
      </w:r>
    </w:p>
    <w:p w14:paraId="73E310CF">
      <w:pPr>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招标编号：（采购编号）</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 xml:space="preserve">投标。 </w:t>
      </w:r>
    </w:p>
    <w:p w14:paraId="416FC62D">
      <w:pPr>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10A4842E">
      <w:pPr>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授权代表根据招标文件规定及投标内容而对采购人、采购代理机构所作的任何合法承诺，包括书面澄清及相应等均对联合投标各方产生约束力。</w:t>
      </w:r>
    </w:p>
    <w:p w14:paraId="12CA9457">
      <w:pPr>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p>
    <w:p w14:paraId="5EE0C8E5">
      <w:pPr>
        <w:snapToGrid w:val="0"/>
        <w:spacing w:line="360" w:lineRule="auto"/>
        <w:ind w:firstLine="576"/>
        <w:rPr>
          <w:rFonts w:hint="eastAsia" w:ascii="宋体" w:hAnsi="宋体" w:eastAsia="宋体" w:cs="宋体"/>
          <w:color w:val="auto"/>
          <w:kern w:val="0"/>
          <w:sz w:val="24"/>
          <w:szCs w:val="24"/>
          <w:highlight w:val="none"/>
          <w:lang w:val="zh-CN"/>
        </w:rPr>
      </w:pPr>
      <w:bookmarkStart w:id="462" w:name="_Hlk101134295"/>
      <w:r>
        <w:rPr>
          <w:rFonts w:hint="eastAsia" w:ascii="宋体" w:hAnsi="宋体" w:eastAsia="宋体" w:cs="宋体"/>
          <w:color w:val="auto"/>
          <w:kern w:val="0"/>
          <w:sz w:val="24"/>
          <w:szCs w:val="24"/>
          <w:highlight w:val="none"/>
          <w:u w:val="single"/>
        </w:rPr>
        <w:t>（联合体成员1）</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14:paraId="351EC9E9">
      <w:pPr>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（联合体成员2）</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14:paraId="007C1097">
      <w:pPr>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p>
    <w:bookmarkEnd w:id="462"/>
    <w:p w14:paraId="1707B57B">
      <w:pPr>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四、联合体成员中小企业合同份额。</w:t>
      </w:r>
    </w:p>
    <w:p w14:paraId="7F1324BB">
      <w:pPr>
        <w:snapToGrid w:val="0"/>
        <w:spacing w:line="360" w:lineRule="auto"/>
        <w:ind w:firstLine="576"/>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u w:val="single"/>
        </w:rPr>
        <w:t>（联合体成员X,……）</w:t>
      </w:r>
      <w:r>
        <w:rPr>
          <w:rFonts w:hint="eastAsia" w:ascii="宋体" w:hAnsi="宋体" w:eastAsia="宋体" w:cs="宋体"/>
          <w:color w:val="auto"/>
          <w:kern w:val="0"/>
          <w:sz w:val="24"/>
          <w:szCs w:val="24"/>
          <w:highlight w:val="none"/>
        </w:rPr>
        <w:t>提供的全部</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由小微企业制造，其合同份额占到合同总金额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%以上；</w:t>
      </w:r>
      <w:r>
        <w:rPr>
          <w:rFonts w:hint="eastAsia" w:ascii="宋体" w:hAnsi="宋体" w:eastAsia="宋体" w:cs="宋体"/>
          <w:color w:val="auto"/>
          <w:kern w:val="0"/>
          <w:sz w:val="24"/>
          <w:szCs w:val="24"/>
          <w:highlight w:val="none"/>
          <w:lang w:val="zh-CN"/>
        </w:rPr>
        <w:t>……。</w:t>
      </w:r>
      <w:r>
        <w:rPr>
          <w:rFonts w:hint="eastAsia" w:ascii="宋体" w:hAnsi="宋体" w:eastAsia="宋体" w:cs="宋体"/>
          <w:b/>
          <w:color w:val="auto"/>
          <w:kern w:val="0"/>
          <w:sz w:val="24"/>
          <w:szCs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szCs w:val="24"/>
          <w:highlight w:val="none"/>
        </w:rPr>
        <w:t>拟享受以上价格扣除政策的，填写有关内容。</w:t>
      </w:r>
      <w:r>
        <w:rPr>
          <w:rFonts w:hint="eastAsia" w:ascii="宋体" w:hAnsi="宋体" w:eastAsia="宋体" w:cs="宋体"/>
          <w:b/>
          <w:color w:val="auto"/>
          <w:kern w:val="0"/>
          <w:sz w:val="24"/>
          <w:szCs w:val="24"/>
          <w:highlight w:val="none"/>
          <w:lang w:val="zh-CN"/>
        </w:rPr>
        <w:t>）</w:t>
      </w:r>
    </w:p>
    <w:p w14:paraId="0C3F979C">
      <w:pPr>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2、中小企业合同金额达到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sz w:val="24"/>
          <w:szCs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szCs w:val="24"/>
          <w:highlight w:val="none"/>
          <w:lang w:val="zh-CN"/>
        </w:rPr>
        <w:t>）</w:t>
      </w:r>
    </w:p>
    <w:p w14:paraId="344D5F60">
      <w:pPr>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19B7E368">
      <w:pPr>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5451A4A6">
      <w:pPr>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55847D57">
      <w:pPr>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76089010">
      <w:pPr>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3、本协议提交采购人、采购代理机构后，联合体各方不得以任何形式对上述内容进行修改或撤销。</w:t>
      </w:r>
    </w:p>
    <w:p w14:paraId="12B72F06">
      <w:pPr>
        <w:snapToGrid w:val="0"/>
        <w:spacing w:line="360" w:lineRule="auto"/>
        <w:ind w:firstLine="5040" w:firstLineChars="21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w:t>
      </w:r>
      <w:r>
        <w:rPr>
          <w:rFonts w:hint="eastAsia" w:ascii="宋体" w:hAnsi="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电子签章</w:t>
      </w:r>
      <w:r>
        <w:rPr>
          <w:rFonts w:hint="eastAsia" w:ascii="宋体" w:hAnsi="宋体" w:cs="宋体"/>
          <w:color w:val="auto"/>
          <w:kern w:val="0"/>
          <w:sz w:val="24"/>
          <w:szCs w:val="24"/>
          <w:highlight w:val="none"/>
          <w:lang w:val="en-US" w:eastAsia="zh-CN"/>
        </w:rPr>
        <w:t>/公章）</w:t>
      </w:r>
      <w:r>
        <w:rPr>
          <w:rFonts w:hint="eastAsia" w:ascii="宋体" w:hAnsi="宋体" w:eastAsia="宋体" w:cs="宋体"/>
          <w:color w:val="auto"/>
          <w:kern w:val="0"/>
          <w:sz w:val="24"/>
          <w:szCs w:val="24"/>
          <w:highlight w:val="none"/>
          <w:lang w:val="zh-CN"/>
        </w:rPr>
        <w:t>：</w:t>
      </w:r>
    </w:p>
    <w:p w14:paraId="4F3F94E7">
      <w:pPr>
        <w:snapToGrid w:val="0"/>
        <w:spacing w:line="360" w:lineRule="auto"/>
        <w:ind w:firstLine="5040" w:firstLineChars="21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w:t>
      </w:r>
      <w:r>
        <w:rPr>
          <w:rFonts w:hint="eastAsia" w:ascii="宋体" w:hAnsi="宋体" w:cs="宋体"/>
          <w:color w:val="auto"/>
          <w:kern w:val="0"/>
          <w:sz w:val="24"/>
          <w:szCs w:val="24"/>
          <w:highlight w:val="none"/>
          <w:lang w:val="zh-CN"/>
        </w:rPr>
        <w:t>（</w:t>
      </w:r>
      <w:r>
        <w:rPr>
          <w:rFonts w:hint="eastAsia" w:ascii="宋体" w:hAnsi="宋体" w:cs="宋体"/>
          <w:color w:val="auto"/>
          <w:kern w:val="0"/>
          <w:sz w:val="24"/>
          <w:highlight w:val="none"/>
          <w:lang w:val="zh-CN"/>
        </w:rPr>
        <w:t>电子签名/公章）</w:t>
      </w:r>
      <w:r>
        <w:rPr>
          <w:rFonts w:hint="eastAsia" w:ascii="宋体" w:hAnsi="宋体" w:eastAsia="宋体" w:cs="宋体"/>
          <w:color w:val="auto"/>
          <w:kern w:val="0"/>
          <w:sz w:val="24"/>
          <w:szCs w:val="24"/>
          <w:highlight w:val="none"/>
          <w:lang w:val="zh-CN"/>
        </w:rPr>
        <w:t>：</w:t>
      </w:r>
    </w:p>
    <w:p w14:paraId="318073F6">
      <w:pPr>
        <w:snapToGrid w:val="0"/>
        <w:spacing w:line="360" w:lineRule="auto"/>
        <w:ind w:right="96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p>
    <w:p w14:paraId="79B6BE47">
      <w:pPr>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56A61D2B">
      <w:pPr>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22C2EE9A">
      <w:pPr>
        <w:autoSpaceDE w:val="0"/>
        <w:autoSpaceDN w:val="0"/>
        <w:jc w:val="center"/>
        <w:rPr>
          <w:rFonts w:hint="eastAsia" w:ascii="宋体" w:hAnsi="宋体" w:eastAsia="宋体" w:cs="宋体"/>
          <w:b/>
          <w:color w:val="auto"/>
          <w:spacing w:val="6"/>
          <w:sz w:val="24"/>
          <w:szCs w:val="24"/>
          <w:highlight w:val="none"/>
        </w:rPr>
      </w:pPr>
    </w:p>
    <w:p w14:paraId="600F949D">
      <w:pPr>
        <w:autoSpaceDE w:val="0"/>
        <w:autoSpaceDN w:val="0"/>
        <w:jc w:val="center"/>
        <w:rPr>
          <w:rFonts w:hint="eastAsia" w:ascii="宋体" w:hAnsi="宋体" w:eastAsia="宋体" w:cs="宋体"/>
          <w:b/>
          <w:color w:val="auto"/>
          <w:spacing w:val="6"/>
          <w:sz w:val="24"/>
          <w:szCs w:val="24"/>
          <w:highlight w:val="none"/>
        </w:rPr>
      </w:pPr>
    </w:p>
    <w:p w14:paraId="4C2165A6">
      <w:pPr>
        <w:autoSpaceDE w:val="0"/>
        <w:autoSpaceDN w:val="0"/>
        <w:jc w:val="center"/>
        <w:rPr>
          <w:rFonts w:hint="eastAsia" w:ascii="宋体" w:hAnsi="宋体" w:eastAsia="宋体" w:cs="宋体"/>
          <w:b/>
          <w:color w:val="auto"/>
          <w:spacing w:val="6"/>
          <w:sz w:val="24"/>
          <w:szCs w:val="24"/>
          <w:highlight w:val="none"/>
        </w:rPr>
      </w:pPr>
    </w:p>
    <w:p w14:paraId="198A1B96">
      <w:pPr>
        <w:autoSpaceDE w:val="0"/>
        <w:autoSpaceDN w:val="0"/>
        <w:jc w:val="center"/>
        <w:rPr>
          <w:rFonts w:hint="eastAsia" w:ascii="宋体" w:hAnsi="宋体" w:eastAsia="宋体" w:cs="宋体"/>
          <w:b/>
          <w:color w:val="auto"/>
          <w:spacing w:val="6"/>
          <w:sz w:val="24"/>
          <w:szCs w:val="24"/>
          <w:highlight w:val="none"/>
        </w:rPr>
      </w:pPr>
    </w:p>
    <w:p w14:paraId="31BDE888">
      <w:pPr>
        <w:autoSpaceDE w:val="0"/>
        <w:autoSpaceDN w:val="0"/>
        <w:jc w:val="center"/>
        <w:rPr>
          <w:rFonts w:hint="eastAsia" w:ascii="宋体" w:hAnsi="宋体" w:eastAsia="宋体" w:cs="宋体"/>
          <w:b/>
          <w:color w:val="auto"/>
          <w:spacing w:val="6"/>
          <w:sz w:val="24"/>
          <w:szCs w:val="24"/>
          <w:highlight w:val="none"/>
        </w:rPr>
      </w:pPr>
    </w:p>
    <w:p w14:paraId="68250F74">
      <w:pPr>
        <w:autoSpaceDE w:val="0"/>
        <w:autoSpaceDN w:val="0"/>
        <w:jc w:val="center"/>
        <w:rPr>
          <w:rFonts w:hint="eastAsia" w:ascii="宋体" w:hAnsi="宋体" w:eastAsia="宋体" w:cs="宋体"/>
          <w:b/>
          <w:color w:val="auto"/>
          <w:spacing w:val="6"/>
          <w:sz w:val="24"/>
          <w:szCs w:val="24"/>
          <w:highlight w:val="none"/>
        </w:rPr>
      </w:pPr>
    </w:p>
    <w:p w14:paraId="1C2712BC">
      <w:pPr>
        <w:autoSpaceDE w:val="0"/>
        <w:autoSpaceDN w:val="0"/>
        <w:jc w:val="center"/>
        <w:rPr>
          <w:rFonts w:hint="eastAsia" w:ascii="宋体" w:hAnsi="宋体" w:eastAsia="宋体" w:cs="宋体"/>
          <w:b/>
          <w:color w:val="auto"/>
          <w:spacing w:val="6"/>
          <w:sz w:val="24"/>
          <w:szCs w:val="24"/>
          <w:highlight w:val="none"/>
        </w:rPr>
      </w:pPr>
    </w:p>
    <w:p w14:paraId="25F2675E">
      <w:pPr>
        <w:autoSpaceDE w:val="0"/>
        <w:autoSpaceDN w:val="0"/>
        <w:jc w:val="center"/>
        <w:rPr>
          <w:rFonts w:hint="eastAsia" w:ascii="宋体" w:hAnsi="宋体" w:eastAsia="宋体" w:cs="宋体"/>
          <w:b/>
          <w:color w:val="auto"/>
          <w:spacing w:val="6"/>
          <w:sz w:val="24"/>
          <w:szCs w:val="24"/>
          <w:highlight w:val="none"/>
        </w:rPr>
      </w:pPr>
    </w:p>
    <w:p w14:paraId="2CC679B6">
      <w:pPr>
        <w:autoSpaceDE w:val="0"/>
        <w:autoSpaceDN w:val="0"/>
        <w:jc w:val="center"/>
        <w:rPr>
          <w:rFonts w:hint="eastAsia" w:ascii="宋体" w:hAnsi="宋体" w:eastAsia="宋体" w:cs="宋体"/>
          <w:b/>
          <w:color w:val="auto"/>
          <w:spacing w:val="6"/>
          <w:sz w:val="24"/>
          <w:szCs w:val="24"/>
          <w:highlight w:val="none"/>
        </w:rPr>
      </w:pPr>
    </w:p>
    <w:p w14:paraId="01B83B8E">
      <w:pPr>
        <w:autoSpaceDE w:val="0"/>
        <w:autoSpaceDN w:val="0"/>
        <w:jc w:val="center"/>
        <w:rPr>
          <w:rFonts w:hint="eastAsia" w:ascii="宋体" w:hAnsi="宋体" w:eastAsia="宋体" w:cs="宋体"/>
          <w:b/>
          <w:color w:val="auto"/>
          <w:spacing w:val="6"/>
          <w:sz w:val="24"/>
          <w:szCs w:val="24"/>
          <w:highlight w:val="none"/>
        </w:rPr>
      </w:pPr>
    </w:p>
    <w:p w14:paraId="2353FF28">
      <w:pPr>
        <w:autoSpaceDE w:val="0"/>
        <w:autoSpaceDN w:val="0"/>
        <w:jc w:val="center"/>
        <w:rPr>
          <w:rFonts w:hint="eastAsia" w:ascii="宋体" w:hAnsi="宋体" w:eastAsia="宋体" w:cs="宋体"/>
          <w:b/>
          <w:color w:val="auto"/>
          <w:spacing w:val="6"/>
          <w:sz w:val="24"/>
          <w:szCs w:val="24"/>
          <w:highlight w:val="none"/>
        </w:rPr>
      </w:pPr>
    </w:p>
    <w:p w14:paraId="72A49836">
      <w:pPr>
        <w:autoSpaceDE w:val="0"/>
        <w:autoSpaceDN w:val="0"/>
        <w:jc w:val="center"/>
        <w:rPr>
          <w:rFonts w:hint="eastAsia" w:ascii="宋体" w:hAnsi="宋体" w:eastAsia="宋体" w:cs="宋体"/>
          <w:b/>
          <w:color w:val="auto"/>
          <w:spacing w:val="6"/>
          <w:sz w:val="24"/>
          <w:szCs w:val="24"/>
          <w:highlight w:val="none"/>
        </w:rPr>
      </w:pPr>
    </w:p>
    <w:p w14:paraId="1C4E77D4">
      <w:pPr>
        <w:autoSpaceDE w:val="0"/>
        <w:autoSpaceDN w:val="0"/>
        <w:jc w:val="center"/>
        <w:rPr>
          <w:rFonts w:hint="eastAsia" w:ascii="宋体" w:hAnsi="宋体" w:eastAsia="宋体" w:cs="宋体"/>
          <w:b/>
          <w:color w:val="auto"/>
          <w:spacing w:val="6"/>
          <w:sz w:val="24"/>
          <w:szCs w:val="24"/>
          <w:highlight w:val="none"/>
        </w:rPr>
      </w:pPr>
    </w:p>
    <w:p w14:paraId="69769068">
      <w:pPr>
        <w:autoSpaceDE w:val="0"/>
        <w:autoSpaceDN w:val="0"/>
        <w:jc w:val="center"/>
        <w:rPr>
          <w:rFonts w:hint="eastAsia" w:ascii="宋体" w:hAnsi="宋体" w:eastAsia="宋体" w:cs="宋体"/>
          <w:b/>
          <w:color w:val="auto"/>
          <w:spacing w:val="6"/>
          <w:sz w:val="24"/>
          <w:szCs w:val="24"/>
          <w:highlight w:val="none"/>
        </w:rPr>
      </w:pPr>
    </w:p>
    <w:p w14:paraId="6780BCB2">
      <w:pPr>
        <w:autoSpaceDE w:val="0"/>
        <w:autoSpaceDN w:val="0"/>
        <w:jc w:val="center"/>
        <w:rPr>
          <w:rFonts w:hint="eastAsia" w:ascii="宋体" w:hAnsi="宋体" w:eastAsia="宋体" w:cs="宋体"/>
          <w:b/>
          <w:color w:val="auto"/>
          <w:spacing w:val="6"/>
          <w:sz w:val="24"/>
          <w:szCs w:val="24"/>
          <w:highlight w:val="none"/>
        </w:rPr>
      </w:pPr>
    </w:p>
    <w:p w14:paraId="41B846BB">
      <w:pPr>
        <w:autoSpaceDE w:val="0"/>
        <w:autoSpaceDN w:val="0"/>
        <w:jc w:val="center"/>
        <w:rPr>
          <w:rFonts w:hint="eastAsia" w:ascii="宋体" w:hAnsi="宋体" w:eastAsia="宋体" w:cs="宋体"/>
          <w:b/>
          <w:color w:val="auto"/>
          <w:spacing w:val="6"/>
          <w:sz w:val="24"/>
          <w:szCs w:val="24"/>
          <w:highlight w:val="none"/>
        </w:rPr>
      </w:pPr>
    </w:p>
    <w:p w14:paraId="67211018">
      <w:pPr>
        <w:autoSpaceDE w:val="0"/>
        <w:autoSpaceDN w:val="0"/>
        <w:jc w:val="center"/>
        <w:rPr>
          <w:rFonts w:hint="eastAsia" w:ascii="宋体" w:hAnsi="宋体" w:eastAsia="宋体" w:cs="宋体"/>
          <w:b/>
          <w:color w:val="auto"/>
          <w:spacing w:val="6"/>
          <w:sz w:val="24"/>
          <w:szCs w:val="24"/>
          <w:highlight w:val="none"/>
        </w:rPr>
      </w:pPr>
    </w:p>
    <w:p w14:paraId="6F77F875">
      <w:pPr>
        <w:autoSpaceDE w:val="0"/>
        <w:autoSpaceDN w:val="0"/>
        <w:jc w:val="center"/>
        <w:rPr>
          <w:rFonts w:hint="eastAsia" w:ascii="宋体" w:hAnsi="宋体" w:eastAsia="宋体" w:cs="宋体"/>
          <w:b/>
          <w:color w:val="auto"/>
          <w:spacing w:val="6"/>
          <w:sz w:val="24"/>
          <w:szCs w:val="24"/>
          <w:highlight w:val="none"/>
        </w:rPr>
      </w:pPr>
    </w:p>
    <w:p w14:paraId="4E3DCFDA">
      <w:pPr>
        <w:autoSpaceDE w:val="0"/>
        <w:autoSpaceDN w:val="0"/>
        <w:jc w:val="center"/>
        <w:rPr>
          <w:rFonts w:hint="eastAsia" w:ascii="宋体" w:hAnsi="宋体" w:eastAsia="宋体" w:cs="宋体"/>
          <w:b/>
          <w:color w:val="auto"/>
          <w:spacing w:val="6"/>
          <w:sz w:val="24"/>
          <w:szCs w:val="24"/>
          <w:highlight w:val="none"/>
        </w:rPr>
      </w:pPr>
    </w:p>
    <w:p w14:paraId="6450578D">
      <w:pPr>
        <w:autoSpaceDE w:val="0"/>
        <w:autoSpaceDN w:val="0"/>
        <w:jc w:val="center"/>
        <w:rPr>
          <w:rFonts w:hint="eastAsia" w:ascii="宋体" w:hAnsi="宋体" w:eastAsia="宋体" w:cs="宋体"/>
          <w:b/>
          <w:color w:val="auto"/>
          <w:spacing w:val="6"/>
          <w:sz w:val="24"/>
          <w:szCs w:val="24"/>
          <w:highlight w:val="none"/>
        </w:rPr>
      </w:pPr>
    </w:p>
    <w:p w14:paraId="0FFBB10E">
      <w:pPr>
        <w:autoSpaceDE w:val="0"/>
        <w:autoSpaceDN w:val="0"/>
        <w:jc w:val="center"/>
        <w:rPr>
          <w:rFonts w:hint="eastAsia" w:ascii="宋体" w:hAnsi="宋体" w:eastAsia="宋体" w:cs="宋体"/>
          <w:b/>
          <w:color w:val="auto"/>
          <w:spacing w:val="6"/>
          <w:sz w:val="24"/>
          <w:szCs w:val="24"/>
          <w:highlight w:val="none"/>
        </w:rPr>
      </w:pPr>
    </w:p>
    <w:p w14:paraId="05FED4FD">
      <w:pPr>
        <w:autoSpaceDE w:val="0"/>
        <w:autoSpaceDN w:val="0"/>
        <w:jc w:val="center"/>
        <w:rPr>
          <w:rFonts w:hint="eastAsia" w:ascii="宋体" w:hAnsi="宋体" w:eastAsia="宋体" w:cs="宋体"/>
          <w:b/>
          <w:color w:val="auto"/>
          <w:spacing w:val="6"/>
          <w:sz w:val="24"/>
          <w:szCs w:val="24"/>
          <w:highlight w:val="none"/>
        </w:rPr>
      </w:pPr>
    </w:p>
    <w:p w14:paraId="38E32BDE">
      <w:pPr>
        <w:autoSpaceDE w:val="0"/>
        <w:autoSpaceDN w:val="0"/>
        <w:jc w:val="center"/>
        <w:rPr>
          <w:rFonts w:hint="eastAsia" w:ascii="宋体" w:hAnsi="宋体" w:eastAsia="宋体" w:cs="宋体"/>
          <w:b/>
          <w:color w:val="auto"/>
          <w:spacing w:val="6"/>
          <w:sz w:val="24"/>
          <w:szCs w:val="24"/>
          <w:highlight w:val="none"/>
        </w:rPr>
      </w:pPr>
    </w:p>
    <w:p w14:paraId="5D324A18">
      <w:pPr>
        <w:autoSpaceDE w:val="0"/>
        <w:autoSpaceDN w:val="0"/>
        <w:jc w:val="center"/>
        <w:rPr>
          <w:rFonts w:hint="eastAsia" w:ascii="宋体" w:hAnsi="宋体" w:eastAsia="宋体" w:cs="宋体"/>
          <w:b/>
          <w:color w:val="auto"/>
          <w:spacing w:val="6"/>
          <w:sz w:val="24"/>
          <w:szCs w:val="24"/>
          <w:highlight w:val="none"/>
        </w:rPr>
      </w:pPr>
    </w:p>
    <w:p w14:paraId="63F3CF9A">
      <w:pPr>
        <w:autoSpaceDE w:val="0"/>
        <w:autoSpaceDN w:val="0"/>
        <w:jc w:val="center"/>
        <w:rPr>
          <w:rFonts w:hint="eastAsia" w:ascii="宋体" w:hAnsi="宋体" w:eastAsia="宋体" w:cs="宋体"/>
          <w:b/>
          <w:color w:val="auto"/>
          <w:spacing w:val="6"/>
          <w:sz w:val="24"/>
          <w:szCs w:val="24"/>
          <w:highlight w:val="none"/>
        </w:rPr>
      </w:pPr>
    </w:p>
    <w:p w14:paraId="11FAE253">
      <w:pP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br w:type="page"/>
      </w:r>
    </w:p>
    <w:p w14:paraId="08C1BDA3">
      <w:pPr>
        <w:bidi w:val="0"/>
        <w:jc w:val="center"/>
        <w:rPr>
          <w:rFonts w:hint="eastAsia" w:ascii="宋体" w:hAnsi="宋体" w:eastAsia="宋体" w:cs="宋体"/>
          <w:b/>
          <w:bCs/>
          <w:color w:val="auto"/>
          <w:sz w:val="24"/>
          <w:szCs w:val="24"/>
          <w:highlight w:val="none"/>
          <w:lang w:eastAsia="zh-CN"/>
        </w:rPr>
      </w:pPr>
      <w:bookmarkStart w:id="463" w:name="_Toc22286"/>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：分包意向协议</w:t>
      </w:r>
      <w:bookmarkEnd w:id="463"/>
    </w:p>
    <w:p w14:paraId="5AC7A079">
      <w:pPr>
        <w:pStyle w:val="64"/>
        <w:rPr>
          <w:rFonts w:hint="eastAsia" w:ascii="宋体" w:hAnsi="宋体" w:eastAsia="宋体" w:cs="宋体"/>
          <w:color w:val="auto"/>
          <w:sz w:val="24"/>
          <w:szCs w:val="24"/>
          <w:highlight w:val="none"/>
        </w:rPr>
      </w:pPr>
    </w:p>
    <w:p w14:paraId="418B89FA">
      <w:pPr>
        <w:widowControl/>
        <w:spacing w:line="360" w:lineRule="auto"/>
        <w:ind w:firstLine="120" w:firstLine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szCs w:val="24"/>
          <w:highlight w:val="none"/>
        </w:rPr>
        <w:t>）</w:t>
      </w:r>
    </w:p>
    <w:p w14:paraId="36CB4331">
      <w:pPr>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lang w:val="zh-CN"/>
        </w:rPr>
        <w:t>若成为</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招标编号：（采购编号）</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的中标供应商，将依法采取分包方式履行合同。</w:t>
      </w: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rPr>
        <w:t>与</w:t>
      </w:r>
      <w:r>
        <w:rPr>
          <w:rFonts w:hint="eastAsia" w:ascii="宋体" w:hAnsi="宋体" w:eastAsia="宋体" w:cs="宋体"/>
          <w:color w:val="auto"/>
          <w:kern w:val="0"/>
          <w:sz w:val="24"/>
          <w:szCs w:val="24"/>
          <w:highlight w:val="none"/>
          <w:u w:val="single"/>
        </w:rPr>
        <w:t>（所有分包供应商名称）</w:t>
      </w:r>
      <w:r>
        <w:rPr>
          <w:rFonts w:hint="eastAsia" w:ascii="宋体" w:hAnsi="宋体" w:eastAsia="宋体" w:cs="宋体"/>
          <w:color w:val="auto"/>
          <w:kern w:val="0"/>
          <w:sz w:val="24"/>
          <w:szCs w:val="24"/>
          <w:highlight w:val="none"/>
        </w:rPr>
        <w:t>达成分包意向协议</w:t>
      </w:r>
      <w:r>
        <w:rPr>
          <w:rFonts w:hint="eastAsia" w:ascii="宋体" w:hAnsi="宋体" w:eastAsia="宋体" w:cs="宋体"/>
          <w:color w:val="auto"/>
          <w:kern w:val="0"/>
          <w:sz w:val="24"/>
          <w:szCs w:val="24"/>
          <w:highlight w:val="none"/>
          <w:lang w:val="zh-CN"/>
        </w:rPr>
        <w:t xml:space="preserve">。 </w:t>
      </w:r>
    </w:p>
    <w:p w14:paraId="049843E0">
      <w:pPr>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一、分包标的及数量</w:t>
      </w:r>
    </w:p>
    <w:p w14:paraId="7FFC47BE">
      <w:pPr>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lang w:val="zh-CN"/>
        </w:rPr>
        <w:t>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XX工作内容   </w:t>
      </w:r>
      <w:r>
        <w:rPr>
          <w:rFonts w:hint="eastAsia" w:ascii="宋体" w:hAnsi="宋体" w:eastAsia="宋体" w:cs="宋体"/>
          <w:color w:val="auto"/>
          <w:sz w:val="24"/>
          <w:szCs w:val="24"/>
          <w:highlight w:val="none"/>
        </w:rPr>
        <w:t>分包给</w:t>
      </w:r>
      <w:r>
        <w:rPr>
          <w:rFonts w:hint="eastAsia" w:ascii="宋体" w:hAnsi="宋体" w:eastAsia="宋体" w:cs="宋体"/>
          <w:color w:val="auto"/>
          <w:kern w:val="0"/>
          <w:sz w:val="24"/>
          <w:szCs w:val="24"/>
          <w:highlight w:val="none"/>
          <w:u w:val="single"/>
        </w:rPr>
        <w:t>（分包供应商1名称）</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（分包供应商1名称），</w:t>
      </w:r>
      <w:r>
        <w:rPr>
          <w:rFonts w:hint="eastAsia" w:ascii="宋体" w:hAnsi="宋体" w:eastAsia="宋体" w:cs="宋体"/>
          <w:color w:val="auto"/>
          <w:kern w:val="0"/>
          <w:sz w:val="24"/>
          <w:szCs w:val="24"/>
          <w:highlight w:val="none"/>
          <w:lang w:val="zh-CN"/>
        </w:rPr>
        <w:t>具备承</w:t>
      </w:r>
      <w:r>
        <w:rPr>
          <w:rFonts w:hint="eastAsia" w:ascii="宋体" w:hAnsi="宋体" w:eastAsia="宋体" w:cs="宋体"/>
          <w:color w:val="auto"/>
          <w:kern w:val="0"/>
          <w:sz w:val="24"/>
          <w:szCs w:val="24"/>
          <w:highlight w:val="none"/>
        </w:rPr>
        <w:t>担</w:t>
      </w:r>
      <w:r>
        <w:rPr>
          <w:rFonts w:hint="eastAsia" w:ascii="宋体" w:hAnsi="宋体" w:eastAsia="宋体" w:cs="宋体"/>
          <w:color w:val="auto"/>
          <w:kern w:val="0"/>
          <w:sz w:val="24"/>
          <w:szCs w:val="24"/>
          <w:highlight w:val="none"/>
          <w:u w:val="single"/>
          <w:lang w:val="zh-CN"/>
        </w:rPr>
        <w:t>XX工作内容</w:t>
      </w:r>
      <w:r>
        <w:rPr>
          <w:rFonts w:hint="eastAsia" w:ascii="宋体" w:hAnsi="宋体" w:eastAsia="宋体" w:cs="宋体"/>
          <w:color w:val="auto"/>
          <w:kern w:val="0"/>
          <w:sz w:val="24"/>
          <w:szCs w:val="24"/>
          <w:highlight w:val="none"/>
          <w:lang w:val="zh-CN"/>
        </w:rPr>
        <w:t>相应资质条件且不得再次分包；</w:t>
      </w:r>
    </w:p>
    <w:p w14:paraId="014C8E39">
      <w:pPr>
        <w:pStyle w:val="3"/>
        <w:numPr>
          <w:ilvl w:val="1"/>
          <w:numId w:val="0"/>
        </w:numPr>
        <w:ind w:left="567" w:leftChars="0" w:hanging="567" w:firstLineChars="0"/>
        <w:rPr>
          <w:rFonts w:hint="eastAsia" w:ascii="宋体" w:hAnsi="宋体" w:eastAsia="宋体" w:cs="宋体"/>
          <w:color w:val="auto"/>
          <w:kern w:val="0"/>
          <w:sz w:val="24"/>
          <w:szCs w:val="24"/>
          <w:highlight w:val="none"/>
        </w:rPr>
      </w:pPr>
      <w:bookmarkStart w:id="464" w:name="_Toc17735"/>
      <w:r>
        <w:rPr>
          <w:rFonts w:hint="default" w:ascii="宋体" w:hAnsi="宋体" w:eastAsia="宋体" w:cs="宋体"/>
          <w:b/>
          <w:bCs/>
          <w:color w:val="auto"/>
          <w:kern w:val="0"/>
          <w:sz w:val="24"/>
          <w:szCs w:val="24"/>
          <w:highlight w:val="none"/>
          <w:lang w:val="zh-CN" w:eastAsia="zh-CN" w:bidi="ar-SA"/>
        </w:rPr>
        <w:t>1.2.</w:t>
      </w:r>
      <w:r>
        <w:rPr>
          <w:rFonts w:hint="eastAsia" w:ascii="宋体" w:hAnsi="宋体" w:eastAsia="宋体" w:cs="宋体"/>
          <w:color w:val="auto"/>
          <w:kern w:val="0"/>
          <w:sz w:val="24"/>
          <w:szCs w:val="24"/>
          <w:highlight w:val="none"/>
        </w:rPr>
        <w:t>……</w:t>
      </w:r>
      <w:bookmarkEnd w:id="464"/>
    </w:p>
    <w:p w14:paraId="4253AC1A">
      <w:pPr>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二、分包供应商中小企业合同份额</w:t>
      </w:r>
    </w:p>
    <w:p w14:paraId="11D71FC0">
      <w:pPr>
        <w:snapToGrid w:val="0"/>
        <w:spacing w:line="360" w:lineRule="auto"/>
        <w:ind w:firstLine="576"/>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（分包供应商X,……）提供的</w:t>
      </w:r>
      <w:r>
        <w:rPr>
          <w:rFonts w:hint="eastAsia" w:ascii="宋体" w:hAnsi="宋体" w:cs="宋体"/>
          <w:color w:val="auto"/>
          <w:kern w:val="0"/>
          <w:sz w:val="24"/>
          <w:szCs w:val="24"/>
          <w:highlight w:val="none"/>
          <w:u w:val="single"/>
          <w:lang w:val="en-US" w:eastAsia="zh-CN"/>
        </w:rPr>
        <w:t>服务</w:t>
      </w:r>
      <w:r>
        <w:rPr>
          <w:rFonts w:hint="eastAsia" w:ascii="宋体" w:hAnsi="宋体" w:eastAsia="宋体" w:cs="宋体"/>
          <w:color w:val="auto"/>
          <w:kern w:val="0"/>
          <w:sz w:val="24"/>
          <w:szCs w:val="24"/>
          <w:highlight w:val="none"/>
          <w:u w:val="single"/>
        </w:rPr>
        <w:t>全部由小微企业制造，</w:t>
      </w:r>
      <w:r>
        <w:rPr>
          <w:rFonts w:hint="eastAsia" w:ascii="宋体" w:hAnsi="宋体" w:eastAsia="宋体" w:cs="宋体"/>
          <w:color w:val="auto"/>
          <w:kern w:val="0"/>
          <w:sz w:val="24"/>
          <w:szCs w:val="24"/>
          <w:highlight w:val="none"/>
        </w:rPr>
        <w:t>其合同份额占到合同总金额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%以上</w:t>
      </w:r>
      <w:r>
        <w:rPr>
          <w:rFonts w:hint="eastAsia" w:ascii="宋体" w:hAnsi="宋体" w:eastAsia="宋体" w:cs="宋体"/>
          <w:color w:val="auto"/>
          <w:sz w:val="24"/>
          <w:szCs w:val="24"/>
          <w:highlight w:val="none"/>
        </w:rPr>
        <w:t>。</w:t>
      </w:r>
      <w:r>
        <w:rPr>
          <w:rFonts w:hint="eastAsia" w:ascii="宋体" w:hAnsi="宋体" w:eastAsia="宋体" w:cs="宋体"/>
          <w:b/>
          <w:color w:val="auto"/>
          <w:kern w:val="0"/>
          <w:sz w:val="24"/>
          <w:szCs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szCs w:val="24"/>
          <w:highlight w:val="none"/>
        </w:rPr>
        <w:t>拟享受以上价格扣除政策的，填写有关内容。</w:t>
      </w:r>
      <w:r>
        <w:rPr>
          <w:rFonts w:hint="eastAsia" w:ascii="宋体" w:hAnsi="宋体" w:eastAsia="宋体" w:cs="宋体"/>
          <w:b/>
          <w:color w:val="auto"/>
          <w:kern w:val="0"/>
          <w:sz w:val="24"/>
          <w:szCs w:val="24"/>
          <w:highlight w:val="none"/>
          <w:lang w:val="zh-CN"/>
        </w:rPr>
        <w:t>）</w:t>
      </w:r>
    </w:p>
    <w:p w14:paraId="0FADCF9F">
      <w:pPr>
        <w:spacing w:line="360" w:lineRule="auto"/>
        <w:ind w:firstLine="480" w:firstLineChars="200"/>
        <w:rPr>
          <w:rFonts w:hint="eastAsia" w:ascii="宋体" w:hAnsi="宋体" w:eastAsia="宋体" w:cs="宋体"/>
          <w:b/>
          <w:bCs/>
          <w:color w:val="auto"/>
          <w:kern w:val="0"/>
          <w:sz w:val="24"/>
          <w:szCs w:val="24"/>
          <w:highlight w:val="none"/>
          <w:lang w:val="zh-CN"/>
        </w:rPr>
      </w:pPr>
      <w:r>
        <w:rPr>
          <w:rFonts w:hint="eastAsia" w:ascii="宋体" w:hAnsi="宋体" w:eastAsia="宋体" w:cs="宋体"/>
          <w:color w:val="auto"/>
          <w:sz w:val="24"/>
          <w:szCs w:val="24"/>
          <w:highlight w:val="none"/>
        </w:rPr>
        <w:t>2、</w:t>
      </w:r>
      <w:bookmarkStart w:id="465" w:name="_Hlk101133173"/>
      <w:r>
        <w:rPr>
          <w:rFonts w:hint="eastAsia" w:ascii="宋体" w:hAnsi="宋体" w:eastAsia="宋体" w:cs="宋体"/>
          <w:color w:val="auto"/>
          <w:sz w:val="24"/>
          <w:szCs w:val="24"/>
          <w:highlight w:val="none"/>
        </w:rPr>
        <w:t>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sz w:val="24"/>
          <w:szCs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szCs w:val="24"/>
          <w:highlight w:val="none"/>
          <w:lang w:val="zh-CN"/>
        </w:rPr>
        <w:t>分包意向协议</w:t>
      </w:r>
      <w:r>
        <w:rPr>
          <w:rFonts w:hint="eastAsia" w:ascii="宋体" w:hAnsi="宋体" w:eastAsia="宋体" w:cs="宋体"/>
          <w:b/>
          <w:bCs/>
          <w:color w:val="auto"/>
          <w:sz w:val="24"/>
          <w:szCs w:val="24"/>
          <w:highlight w:val="none"/>
        </w:rPr>
        <w:t>中中小企业、小微企业合同金额应当达到的比例要求填写。</w:t>
      </w:r>
      <w:r>
        <w:rPr>
          <w:rFonts w:hint="eastAsia" w:ascii="宋体" w:hAnsi="宋体" w:eastAsia="宋体" w:cs="宋体"/>
          <w:b/>
          <w:bCs/>
          <w:color w:val="auto"/>
          <w:kern w:val="0"/>
          <w:sz w:val="24"/>
          <w:szCs w:val="24"/>
          <w:highlight w:val="none"/>
          <w:lang w:val="zh-CN"/>
        </w:rPr>
        <w:t>）</w:t>
      </w:r>
      <w:bookmarkEnd w:id="465"/>
    </w:p>
    <w:p w14:paraId="6B8F2769">
      <w:pPr>
        <w:snapToGrid w:val="0"/>
        <w:spacing w:line="24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三、分包工作履行期限、地点、方式</w:t>
      </w:r>
    </w:p>
    <w:p w14:paraId="3930A22C">
      <w:pPr>
        <w:snapToGrid w:val="0"/>
        <w:spacing w:line="240" w:lineRule="auto"/>
        <w:ind w:firstLine="57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3E302A1C">
      <w:pPr>
        <w:snapToGrid w:val="0"/>
        <w:spacing w:line="24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四、质量</w:t>
      </w:r>
    </w:p>
    <w:p w14:paraId="0F60C7F2">
      <w:pPr>
        <w:snapToGrid w:val="0"/>
        <w:spacing w:line="24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u w:val="single"/>
        </w:rPr>
        <w:t xml:space="preserve">                                                                                       </w:t>
      </w:r>
    </w:p>
    <w:p w14:paraId="273BB599">
      <w:pPr>
        <w:snapToGrid w:val="0"/>
        <w:spacing w:line="24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五、价款或者报酬</w:t>
      </w:r>
    </w:p>
    <w:p w14:paraId="1DF25D49">
      <w:pPr>
        <w:snapToGrid w:val="0"/>
        <w:spacing w:line="240" w:lineRule="auto"/>
        <w:ind w:left="573" w:leftChars="273"/>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u w:val="single"/>
        </w:rPr>
        <w:t xml:space="preserve">                                                                                     </w:t>
      </w:r>
    </w:p>
    <w:p w14:paraId="54AF1063">
      <w:pPr>
        <w:snapToGrid w:val="0"/>
        <w:spacing w:line="240" w:lineRule="auto"/>
        <w:ind w:left="573" w:leftChars="273"/>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六、违约责任</w:t>
      </w:r>
    </w:p>
    <w:p w14:paraId="23863779">
      <w:pPr>
        <w:snapToGrid w:val="0"/>
        <w:spacing w:line="24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u w:val="single"/>
        </w:rPr>
        <w:t xml:space="preserve">                                                                                     </w:t>
      </w:r>
    </w:p>
    <w:p w14:paraId="41FD5874">
      <w:pPr>
        <w:snapToGrid w:val="0"/>
        <w:spacing w:line="24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七、争议解决的办法</w:t>
      </w:r>
    </w:p>
    <w:p w14:paraId="6F6D4B13">
      <w:pPr>
        <w:snapToGrid w:val="0"/>
        <w:spacing w:line="24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u w:val="single"/>
        </w:rPr>
        <w:t xml:space="preserve">                                                                                  </w:t>
      </w:r>
    </w:p>
    <w:p w14:paraId="54C25053">
      <w:pPr>
        <w:snapToGrid w:val="0"/>
        <w:spacing w:line="360" w:lineRule="auto"/>
        <w:ind w:left="5758" w:leftChars="342" w:hanging="5040" w:hangingChars="21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投标人名称(</w:t>
      </w:r>
      <w:r>
        <w:rPr>
          <w:rFonts w:hint="eastAsia" w:ascii="宋体" w:hAnsi="宋体" w:eastAsia="宋体" w:cs="宋体"/>
          <w:color w:val="auto"/>
          <w:kern w:val="0"/>
          <w:sz w:val="24"/>
          <w:szCs w:val="24"/>
          <w:highlight w:val="none"/>
          <w:lang w:val="en-US" w:eastAsia="zh-CN"/>
        </w:rPr>
        <w:t>电子签章</w:t>
      </w:r>
      <w:r>
        <w:rPr>
          <w:rFonts w:hint="eastAsia" w:ascii="宋体" w:hAnsi="宋体" w:eastAsia="宋体" w:cs="宋体"/>
          <w:color w:val="auto"/>
          <w:kern w:val="0"/>
          <w:sz w:val="24"/>
          <w:szCs w:val="24"/>
          <w:highlight w:val="none"/>
          <w:lang w:val="zh-CN"/>
        </w:rPr>
        <w:t>)：</w:t>
      </w:r>
    </w:p>
    <w:p w14:paraId="477BBC2F">
      <w:pPr>
        <w:snapToGrid w:val="0"/>
        <w:spacing w:line="360" w:lineRule="auto"/>
        <w:ind w:left="5746" w:leftChars="2736"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分包供应商名称(</w:t>
      </w:r>
      <w:r>
        <w:rPr>
          <w:rFonts w:hint="eastAsia" w:ascii="宋体" w:hAnsi="宋体" w:cs="宋体"/>
          <w:color w:val="auto"/>
          <w:kern w:val="0"/>
          <w:sz w:val="24"/>
          <w:highlight w:val="none"/>
          <w:lang w:val="zh-CN"/>
        </w:rPr>
        <w:t>电子签</w:t>
      </w:r>
      <w:r>
        <w:rPr>
          <w:rFonts w:hint="eastAsia" w:ascii="宋体" w:hAnsi="宋体" w:eastAsia="宋体" w:cs="宋体"/>
          <w:color w:val="auto"/>
          <w:kern w:val="0"/>
          <w:sz w:val="24"/>
          <w:szCs w:val="24"/>
          <w:highlight w:val="none"/>
          <w:lang w:val="en-US" w:eastAsia="zh-CN"/>
        </w:rPr>
        <w:t>章</w:t>
      </w:r>
      <w:r>
        <w:rPr>
          <w:rFonts w:hint="eastAsia" w:ascii="宋体" w:hAnsi="宋体" w:cs="宋体"/>
          <w:color w:val="auto"/>
          <w:kern w:val="0"/>
          <w:sz w:val="24"/>
          <w:highlight w:val="none"/>
          <w:lang w:val="zh-CN"/>
        </w:rPr>
        <w:t>/公章</w:t>
      </w:r>
      <w:r>
        <w:rPr>
          <w:rFonts w:hint="eastAsia" w:ascii="宋体" w:hAnsi="宋体" w:eastAsia="宋体" w:cs="宋体"/>
          <w:color w:val="auto"/>
          <w:kern w:val="0"/>
          <w:sz w:val="24"/>
          <w:szCs w:val="24"/>
          <w:highlight w:val="none"/>
          <w:lang w:val="zh-CN"/>
        </w:rPr>
        <w:t>)：</w:t>
      </w:r>
    </w:p>
    <w:p w14:paraId="2597C648">
      <w:pPr>
        <w:snapToGrid w:val="0"/>
        <w:spacing w:line="360" w:lineRule="auto"/>
        <w:ind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w:t>
      </w:r>
    </w:p>
    <w:p w14:paraId="3D0E2ACB">
      <w:pPr>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53D88E4A">
      <w:pPr>
        <w:spacing w:line="360" w:lineRule="auto"/>
        <w:ind w:right="420"/>
        <w:rPr>
          <w:rFonts w:hint="eastAsia" w:ascii="宋体" w:hAnsi="宋体" w:eastAsia="宋体" w:cs="宋体"/>
          <w:b/>
          <w:color w:val="auto"/>
          <w:spacing w:val="6"/>
          <w:sz w:val="24"/>
          <w:szCs w:val="24"/>
          <w:highlight w:val="none"/>
        </w:rPr>
      </w:pPr>
      <w:r>
        <w:rPr>
          <w:rFonts w:hint="eastAsia" w:ascii="宋体" w:hAnsi="宋体" w:eastAsia="宋体" w:cs="宋体"/>
          <w:color w:val="auto"/>
          <w:sz w:val="24"/>
          <w:szCs w:val="24"/>
          <w:highlight w:val="none"/>
        </w:rPr>
        <w:t>注：按本格式和要求提供。</w:t>
      </w:r>
    </w:p>
    <w:p w14:paraId="684D01F6">
      <w:pPr>
        <w:bidi w:val="0"/>
        <w:jc w:val="center"/>
        <w:rPr>
          <w:rFonts w:hint="eastAsia" w:ascii="宋体" w:hAnsi="宋体" w:eastAsia="宋体" w:cs="宋体"/>
          <w:b/>
          <w:bCs/>
          <w:color w:val="auto"/>
          <w:sz w:val="24"/>
          <w:szCs w:val="24"/>
          <w:highlight w:val="none"/>
        </w:rPr>
      </w:pPr>
      <w:bookmarkStart w:id="466" w:name="_Toc3460"/>
    </w:p>
    <w:p w14:paraId="47C73C48">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：中小企业声明函</w:t>
      </w:r>
      <w:bookmarkEnd w:id="466"/>
    </w:p>
    <w:p w14:paraId="1DA7D2F1">
      <w:pPr>
        <w:spacing w:line="360" w:lineRule="auto"/>
        <w:jc w:val="center"/>
        <w:rPr>
          <w:rFonts w:hint="eastAsia" w:ascii="宋体" w:hAnsi="宋体" w:eastAsia="宋体" w:cs="宋体"/>
          <w:color w:val="auto"/>
          <w:sz w:val="24"/>
          <w:szCs w:val="24"/>
          <w:highlight w:val="none"/>
          <w:u w:val="single"/>
        </w:rPr>
      </w:pPr>
    </w:p>
    <w:p w14:paraId="4F120588">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中小企业声明函（服务）</w:t>
      </w:r>
    </w:p>
    <w:p w14:paraId="78CDBD0F">
      <w:pPr>
        <w:jc w:val="center"/>
        <w:rPr>
          <w:rFonts w:hint="eastAsia" w:ascii="宋体" w:hAnsi="宋体" w:eastAsia="宋体" w:cs="宋体"/>
          <w:b/>
          <w:color w:val="auto"/>
          <w:kern w:val="0"/>
          <w:sz w:val="24"/>
          <w:szCs w:val="24"/>
          <w:highlight w:val="none"/>
        </w:rPr>
      </w:pPr>
    </w:p>
    <w:p w14:paraId="7CE16ACE">
      <w:pPr>
        <w:snapToGrid w:val="0"/>
        <w:spacing w:line="360" w:lineRule="auto"/>
        <w:ind w:firstLine="720" w:firstLine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本公司（联合体）郑重声明，根据《政府采购促进中小企业发展管理办法》（财库﹝2020﹞46 号）的规定，本公司（联合体）参加</w:t>
      </w:r>
      <w:r>
        <w:rPr>
          <w:rFonts w:hint="eastAsia" w:ascii="宋体" w:hAnsi="宋体" w:cs="宋体"/>
          <w:bCs/>
          <w:color w:val="auto"/>
          <w:sz w:val="24"/>
          <w:szCs w:val="24"/>
          <w:highlight w:val="none"/>
          <w:lang w:eastAsia="zh-CN"/>
        </w:rPr>
        <w:t>宁波市鄞州区数据服务中心</w:t>
      </w:r>
      <w:r>
        <w:rPr>
          <w:rFonts w:hint="eastAsia" w:ascii="宋体" w:hAnsi="宋体" w:eastAsia="宋体" w:cs="宋体"/>
          <w:bCs/>
          <w:color w:val="auto"/>
          <w:sz w:val="24"/>
          <w:szCs w:val="24"/>
          <w:highlight w:val="none"/>
        </w:rPr>
        <w:t>的</w:t>
      </w:r>
      <w:r>
        <w:rPr>
          <w:rFonts w:hint="eastAsia" w:ascii="宋体" w:hAnsi="宋体" w:cs="宋体"/>
          <w:bCs/>
          <w:color w:val="auto"/>
          <w:sz w:val="24"/>
          <w:szCs w:val="24"/>
          <w:highlight w:val="none"/>
          <w:lang w:eastAsia="zh-CN"/>
        </w:rPr>
        <w:t>鄞州区督考一体化应用建设项目</w:t>
      </w:r>
      <w:r>
        <w:rPr>
          <w:rFonts w:hint="eastAsia" w:ascii="宋体" w:hAnsi="宋体" w:eastAsia="宋体" w:cs="宋体"/>
          <w:bCs/>
          <w:color w:val="auto"/>
          <w:sz w:val="24"/>
          <w:szCs w:val="24"/>
          <w:highlight w:val="none"/>
        </w:rPr>
        <w:t>采购活动，服务全部由符合政策要求的中小企业承接。相关企业（含联合体中的中小企业、签订分包意向协议的中小企业）的具体情况如下：</w:t>
      </w:r>
    </w:p>
    <w:p w14:paraId="2BB671BA">
      <w:pPr>
        <w:snapToGrid w:val="0"/>
        <w:spacing w:line="360" w:lineRule="auto"/>
        <w:ind w:firstLine="720" w:firstLine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 </w:t>
      </w:r>
      <w:r>
        <w:rPr>
          <w:rFonts w:hint="eastAsia" w:ascii="宋体" w:hAnsi="宋体" w:cs="宋体"/>
          <w:bCs/>
          <w:color w:val="auto"/>
          <w:sz w:val="24"/>
          <w:szCs w:val="24"/>
          <w:highlight w:val="none"/>
          <w:u w:val="single"/>
          <w:lang w:eastAsia="zh-CN"/>
        </w:rPr>
        <w:t>鄞州区督考一体化应用建设项目</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none"/>
        </w:rPr>
        <w:t>属于</w:t>
      </w:r>
      <w:r>
        <w:rPr>
          <w:rFonts w:hint="eastAsia" w:ascii="宋体" w:hAnsi="宋体" w:eastAsia="宋体" w:cs="宋体"/>
          <w:bCs/>
          <w:color w:val="auto"/>
          <w:sz w:val="24"/>
          <w:szCs w:val="24"/>
          <w:highlight w:val="none"/>
          <w:u w:val="single"/>
        </w:rPr>
        <w:t>软件和信息技术服务业</w:t>
      </w:r>
      <w:r>
        <w:rPr>
          <w:rFonts w:hint="eastAsia" w:ascii="宋体" w:hAnsi="宋体" w:eastAsia="宋体" w:cs="宋体"/>
          <w:bCs/>
          <w:color w:val="auto"/>
          <w:sz w:val="24"/>
          <w:szCs w:val="24"/>
          <w:highlight w:val="none"/>
        </w:rPr>
        <w:t>；承接企业为</w:t>
      </w:r>
      <w:r>
        <w:rPr>
          <w:rFonts w:hint="eastAsia" w:ascii="宋体" w:hAnsi="宋体" w:eastAsia="宋体" w:cs="宋体"/>
          <w:bCs/>
          <w:color w:val="auto"/>
          <w:sz w:val="24"/>
          <w:szCs w:val="24"/>
          <w:highlight w:val="none"/>
          <w:u w:val="single"/>
        </w:rPr>
        <w:t>（企业名称）</w:t>
      </w:r>
      <w:r>
        <w:rPr>
          <w:rFonts w:hint="eastAsia" w:ascii="宋体" w:hAnsi="宋体" w:eastAsia="宋体" w:cs="宋体"/>
          <w:bCs/>
          <w:color w:val="auto"/>
          <w:sz w:val="24"/>
          <w:szCs w:val="24"/>
          <w:highlight w:val="none"/>
        </w:rPr>
        <w:t>，从业人员</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人，营业收入为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万元，资产总额为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万元，属于（</w:t>
      </w:r>
      <w:r>
        <w:rPr>
          <w:rFonts w:hint="eastAsia" w:ascii="宋体" w:hAnsi="宋体" w:eastAsia="宋体" w:cs="宋体"/>
          <w:bCs/>
          <w:color w:val="auto"/>
          <w:sz w:val="24"/>
          <w:szCs w:val="24"/>
          <w:highlight w:val="none"/>
          <w:u w:val="single"/>
        </w:rPr>
        <w:t>中型企业</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小型企业</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微型企业</w:t>
      </w:r>
      <w:r>
        <w:rPr>
          <w:rFonts w:hint="eastAsia" w:ascii="宋体" w:hAnsi="宋体" w:eastAsia="宋体" w:cs="宋体"/>
          <w:bCs/>
          <w:color w:val="auto"/>
          <w:sz w:val="24"/>
          <w:szCs w:val="24"/>
          <w:highlight w:val="none"/>
        </w:rPr>
        <w:t>）；</w:t>
      </w:r>
    </w:p>
    <w:p w14:paraId="5C2C40D8">
      <w:pPr>
        <w:snapToGrid w:val="0"/>
        <w:spacing w:line="360" w:lineRule="auto"/>
        <w:ind w:firstLine="720" w:firstLine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ab/>
      </w:r>
    </w:p>
    <w:p w14:paraId="741E36BA">
      <w:pPr>
        <w:snapToGrid w:val="0"/>
        <w:spacing w:line="360" w:lineRule="auto"/>
        <w:ind w:firstLine="720" w:firstLine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以上企业，不属于大企业的分支机构，不存在控股股东为大企业的情形，也不存在与大企业的负责人为同一人的情形。</w:t>
      </w:r>
    </w:p>
    <w:p w14:paraId="38E75941">
      <w:pPr>
        <w:snapToGrid w:val="0"/>
        <w:spacing w:line="360" w:lineRule="auto"/>
        <w:ind w:firstLine="720" w:firstLine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本企业对上述声明内容的真实性负责。如有虚假，将依法承担相应责任。</w:t>
      </w:r>
    </w:p>
    <w:p w14:paraId="09D99256">
      <w:pPr>
        <w:snapToGrid w:val="0"/>
        <w:spacing w:line="360" w:lineRule="auto"/>
        <w:ind w:firstLine="720" w:firstLine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企业名称（</w:t>
      </w:r>
      <w:r>
        <w:rPr>
          <w:rFonts w:hint="eastAsia" w:ascii="宋体" w:hAnsi="宋体" w:cs="宋体"/>
          <w:color w:val="auto"/>
          <w:kern w:val="0"/>
          <w:sz w:val="24"/>
          <w:highlight w:val="none"/>
          <w:lang w:val="zh-CN"/>
        </w:rPr>
        <w:t>电子签</w:t>
      </w:r>
      <w:r>
        <w:rPr>
          <w:rFonts w:hint="eastAsia" w:ascii="宋体" w:hAnsi="宋体" w:eastAsia="宋体" w:cs="宋体"/>
          <w:color w:val="auto"/>
          <w:kern w:val="0"/>
          <w:sz w:val="24"/>
          <w:szCs w:val="24"/>
          <w:highlight w:val="none"/>
          <w:lang w:val="en-US" w:eastAsia="zh-CN"/>
        </w:rPr>
        <w:t>章</w:t>
      </w:r>
      <w:r>
        <w:rPr>
          <w:rFonts w:hint="eastAsia" w:ascii="宋体" w:hAnsi="宋体" w:eastAsia="宋体" w:cs="宋体"/>
          <w:bCs/>
          <w:color w:val="auto"/>
          <w:sz w:val="24"/>
          <w:szCs w:val="24"/>
          <w:highlight w:val="none"/>
        </w:rPr>
        <w:t>）：</w:t>
      </w:r>
    </w:p>
    <w:p w14:paraId="17871582">
      <w:pPr>
        <w:snapToGrid w:val="0"/>
        <w:spacing w:line="360" w:lineRule="auto"/>
        <w:ind w:firstLine="720" w:firstLine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日期：</w:t>
      </w:r>
    </w:p>
    <w:p w14:paraId="0C6545EF">
      <w:pPr>
        <w:spacing w:line="500" w:lineRule="exact"/>
        <w:rPr>
          <w:rFonts w:hint="eastAsia" w:ascii="宋体" w:hAnsi="宋体" w:eastAsia="宋体" w:cs="宋体"/>
          <w:color w:val="auto"/>
          <w:sz w:val="24"/>
          <w:szCs w:val="24"/>
          <w:highlight w:val="none"/>
          <w:u w:val="single"/>
        </w:rPr>
      </w:pPr>
    </w:p>
    <w:p w14:paraId="0E8F05CE">
      <w:pPr>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35BC942E">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注：1、填写要求：①“标的名称”、“采购文件中明确的所属行业”依据招标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bCs/>
          <w:color w:val="auto"/>
          <w:sz w:val="24"/>
          <w:szCs w:val="24"/>
          <w:highlight w:val="none"/>
          <w:lang w:val="en-US" w:eastAsia="zh-CN"/>
        </w:rPr>
        <w:t>④</w:t>
      </w:r>
      <w:r>
        <w:rPr>
          <w:rFonts w:hint="eastAsia" w:ascii="宋体" w:hAnsi="宋体" w:eastAsia="宋体" w:cs="宋体"/>
          <w:bCs/>
          <w:color w:val="auto"/>
          <w:sz w:val="24"/>
          <w:szCs w:val="24"/>
          <w:highlight w:val="none"/>
        </w:rPr>
        <w:t>供应商提供的《中小企业声明函》与实际情况不符的或者未按以上要求填写的，中小企业声明函无效，不享受中小企业扶持政策。声明内容不实的，属于提供虚假材料谋取中标、成交的，依法承担法律责任。</w:t>
      </w:r>
    </w:p>
    <w:p w14:paraId="4375F0D8">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AF202B6">
      <w:pPr>
        <w:snapToGrid w:val="0"/>
        <w:spacing w:line="360" w:lineRule="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D310665">
      <w:pPr>
        <w:bidi w:val="0"/>
        <w:jc w:val="center"/>
        <w:rPr>
          <w:rFonts w:hint="eastAsia" w:ascii="宋体" w:hAnsi="宋体" w:eastAsia="宋体" w:cs="宋体"/>
          <w:b/>
          <w:bCs/>
          <w:color w:val="auto"/>
          <w:sz w:val="24"/>
          <w:szCs w:val="24"/>
          <w:highlight w:val="none"/>
        </w:rPr>
        <w:sectPr>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p>
    <w:p w14:paraId="46C158FE">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：政府采购现场活动确认书</w:t>
      </w:r>
    </w:p>
    <w:p w14:paraId="3040B2DB">
      <w:pPr>
        <w:snapToGrid w:val="0"/>
        <w:spacing w:line="360" w:lineRule="auto"/>
        <w:jc w:val="center"/>
        <w:rPr>
          <w:rFonts w:hint="eastAsia" w:ascii="宋体" w:hAnsi="宋体" w:eastAsia="宋体" w:cs="宋体"/>
          <w:b/>
          <w:bCs/>
          <w:color w:val="auto"/>
          <w:sz w:val="24"/>
          <w:szCs w:val="24"/>
          <w:highlight w:val="none"/>
        </w:rPr>
      </w:pPr>
    </w:p>
    <w:p w14:paraId="74885251">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《政府采购现场活动确认书》</w:t>
      </w:r>
    </w:p>
    <w:p w14:paraId="01166E80">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宁波中基国际招标有限公司：</w:t>
      </w:r>
    </w:p>
    <w:p w14:paraId="5ED18FFD">
      <w:pPr>
        <w:snapToGrid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（授权代表姓名），经由</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（单位）</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（法定代表人姓名）合法授权参加</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pacing w:val="6"/>
          <w:sz w:val="22"/>
          <w:szCs w:val="22"/>
          <w:highlight w:val="none"/>
        </w:rPr>
        <w:t xml:space="preserve">）政府采购活动，经与本单位法人代表（负责人）联系确认，现就有关公平竞争事项郑重声明如下： </w:t>
      </w:r>
    </w:p>
    <w:p w14:paraId="05056B75">
      <w:pPr>
        <w:widowControl/>
        <w:numPr>
          <w:ilvl w:val="0"/>
          <w:numId w:val="11"/>
        </w:numPr>
        <w:snapToGrid w:val="0"/>
        <w:spacing w:line="360" w:lineRule="auto"/>
        <w:ind w:firstLine="415" w:firstLineChars="18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本单位与采购人之间 □不存在利害关系 □存在下列利害关系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15E2963">
      <w:pPr>
        <w:widowControl/>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A.投资关系    B.行政隶属关系    C.业务指导关系</w:t>
      </w:r>
    </w:p>
    <w:p w14:paraId="7D359543">
      <w:pPr>
        <w:widowControl/>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D.其他可能影响采购公正的利害关系（如有，请如实说明）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75FF546C">
      <w:pPr>
        <w:widowControl/>
        <w:numPr>
          <w:ilvl w:val="0"/>
          <w:numId w:val="11"/>
        </w:numPr>
        <w:snapToGrid w:val="0"/>
        <w:spacing w:line="360" w:lineRule="auto"/>
        <w:ind w:firstLine="415" w:firstLineChars="18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现已清楚知道参加本项目采购活动的其他所有供应商名称，本单位 □与其他所有供应商之间均不存在利害关系 □与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（供应商名称）之间存在下列利害关系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0AE71CA4">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A.法定代表人或负责人或实际控制人是同一人</w:t>
      </w:r>
    </w:p>
    <w:p w14:paraId="0DBE0071">
      <w:pPr>
        <w:snapToGrid w:val="0"/>
        <w:spacing w:line="360" w:lineRule="auto"/>
        <w:ind w:firstLine="440"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B.法定代表人或负责人或实际控制人是夫妻关系</w:t>
      </w:r>
    </w:p>
    <w:p w14:paraId="4BF6C6CA">
      <w:pPr>
        <w:snapToGrid w:val="0"/>
        <w:spacing w:line="360" w:lineRule="auto"/>
        <w:ind w:firstLine="440"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C.法定代表人或负责人或实际控制人是直系血亲关系</w:t>
      </w:r>
    </w:p>
    <w:p w14:paraId="7541B4E9">
      <w:pPr>
        <w:snapToGrid w:val="0"/>
        <w:spacing w:line="360" w:lineRule="auto"/>
        <w:ind w:firstLine="440"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D.法定代表人或负责人或实际控制人存在三代以内旁系血亲关系</w:t>
      </w:r>
    </w:p>
    <w:p w14:paraId="03FDA964">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E.法定代表人或负责人或实际控制人存在近姻亲关系</w:t>
      </w:r>
    </w:p>
    <w:p w14:paraId="4B989806">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F.法定代表人或负责人或实际控制人存在股份控制或实际控制关系</w:t>
      </w:r>
    </w:p>
    <w:p w14:paraId="2C9E6C57">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G.存在共同直接或间接投资设立子公司、联营企业和合营企业情况</w:t>
      </w:r>
    </w:p>
    <w:p w14:paraId="180743AE">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H.存在分级代理或代销关系、同一生产制造商关系、管理关系、重要业务（占主营业务收入50%以上）或重要财务往来关系（如融资）等其他实质性控制关系</w:t>
      </w:r>
    </w:p>
    <w:p w14:paraId="76F9DC5D">
      <w:pPr>
        <w:snapToGrid w:val="0"/>
        <w:spacing w:line="360" w:lineRule="auto"/>
        <w:ind w:firstLine="440"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I.其他利害关系情况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5B3E1EA6">
      <w:pPr>
        <w:widowControl/>
        <w:numPr>
          <w:ilvl w:val="0"/>
          <w:numId w:val="12"/>
        </w:numPr>
        <w:snapToGrid w:val="0"/>
        <w:spacing w:line="360" w:lineRule="auto"/>
        <w:ind w:firstLine="415" w:firstLineChars="18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现已清楚知道并严格遵守政府采购法律法规和现场纪律。</w:t>
      </w:r>
    </w:p>
    <w:p w14:paraId="76C514FC">
      <w:pPr>
        <w:widowControl/>
        <w:numPr>
          <w:ilvl w:val="0"/>
          <w:numId w:val="12"/>
        </w:numPr>
        <w:snapToGrid w:val="0"/>
        <w:spacing w:line="360" w:lineRule="auto"/>
        <w:ind w:firstLine="415" w:firstLineChars="18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我发现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供应商之间存在或可能存在上述第二条第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项利害关系</w:t>
      </w:r>
    </w:p>
    <w:p w14:paraId="4A4CAA84">
      <w:pPr>
        <w:pStyle w:val="614"/>
        <w:snapToGrid w:val="0"/>
        <w:spacing w:line="360" w:lineRule="auto"/>
        <w:ind w:firstLine="1430" w:firstLineChars="65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634C39DD">
      <w:pPr>
        <w:spacing w:line="360" w:lineRule="auto"/>
        <w:ind w:firstLine="1381" w:firstLineChars="628"/>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月   日</w:t>
      </w:r>
    </w:p>
    <w:p w14:paraId="16089A9B">
      <w:pPr>
        <w:spacing w:line="360" w:lineRule="auto"/>
        <w:ind w:firstLine="431" w:firstLineChars="19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注：（1）供应商解密响应文件及获知其他供应商信息进行如实声明并盖章或授权代表签名后，以扫描件形式通过邮件方式发送至邮箱：</w:t>
      </w:r>
      <w:r>
        <w:rPr>
          <w:rFonts w:hint="eastAsia" w:ascii="宋体" w:hAnsi="宋体" w:cs="宋体"/>
          <w:b/>
          <w:color w:val="auto"/>
          <w:sz w:val="22"/>
          <w:szCs w:val="22"/>
          <w:highlight w:val="none"/>
          <w:lang w:val="en-US" w:eastAsia="zh-CN"/>
        </w:rPr>
        <w:t>1115194121</w:t>
      </w:r>
      <w:r>
        <w:rPr>
          <w:rFonts w:hint="eastAsia" w:ascii="宋体" w:hAnsi="宋体" w:eastAsia="宋体" w:cs="宋体"/>
          <w:b/>
          <w:color w:val="auto"/>
          <w:sz w:val="22"/>
          <w:szCs w:val="22"/>
          <w:highlight w:val="none"/>
        </w:rPr>
        <w:t>@qq.com。</w:t>
      </w:r>
    </w:p>
    <w:p w14:paraId="4BB3BCDD">
      <w:pPr>
        <w:spacing w:line="360" w:lineRule="auto"/>
        <w:ind w:firstLine="431" w:firstLineChars="19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在电子响应文件解密后供应商可看到所参与标项的供应商名称，在确认与采购人和其他供应商不存在声明书中所列利害关系的情况下，请在一中的“□不存在利害关系”打钩，二中的“□与其他所有供应商之间均不存在利害关系”打钩，四中的2个下划线用斜杠“/”划掉。</w:t>
      </w:r>
    </w:p>
    <w:p w14:paraId="10200F74">
      <w:pPr>
        <w:pStyle w:val="63"/>
        <w:rPr>
          <w:rFonts w:hint="eastAsia" w:ascii="宋体" w:hAnsi="宋体" w:eastAsia="宋体" w:cs="宋体"/>
          <w:color w:val="auto"/>
          <w:sz w:val="22"/>
          <w:szCs w:val="22"/>
          <w:highlight w:val="none"/>
          <w:lang w:val="en-US" w:eastAsia="zh-CN"/>
        </w:rPr>
      </w:pPr>
      <w:r>
        <w:rPr>
          <w:rFonts w:hint="eastAsia" w:ascii="宋体" w:hAnsi="宋体" w:eastAsia="宋体" w:cs="宋体"/>
          <w:b/>
          <w:color w:val="auto"/>
          <w:sz w:val="22"/>
          <w:szCs w:val="22"/>
          <w:highlight w:val="none"/>
        </w:rPr>
        <w:t>（3）此声明书非响应文件的组成内容，无需编入响应文件</w:t>
      </w:r>
      <w:r>
        <w:rPr>
          <w:rFonts w:hint="eastAsia" w:ascii="宋体" w:hAnsi="宋体" w:eastAsia="宋体" w:cs="宋体"/>
          <w:b/>
          <w:color w:val="auto"/>
          <w:sz w:val="22"/>
          <w:szCs w:val="22"/>
          <w:highlight w:val="none"/>
          <w:lang w:eastAsia="zh-CN"/>
        </w:rPr>
        <w:t>。</w:t>
      </w:r>
    </w:p>
    <w:sectPr>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永中宋体">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162A2">
    <w:pPr>
      <w:pStyle w:val="4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A0ED7E2">
                          <w:pPr>
                            <w:pStyle w:val="41"/>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3A0ED7E2">
                    <w:pPr>
                      <w:pStyle w:val="41"/>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0AF91">
    <w:pPr>
      <w:pStyle w:val="4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44847AE">
                          <w:pPr>
                            <w:pStyle w:val="41"/>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lU1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Y5VNZ0QEAAJ4DAAAOAAAAAAAAAAEAIAAAAB8BAABk&#10;cnMvZTJvRG9jLnhtbFBLBQYAAAAABgAGAFkBAABiBQAAAAA=&#10;">
              <v:fill on="f" focussize="0,0"/>
              <v:stroke on="f"/>
              <v:imagedata o:title=""/>
              <o:lock v:ext="edit" aspectratio="f"/>
              <v:textbox inset="0mm,0mm,0mm,0mm" style="mso-fit-shape-to-text:t;">
                <w:txbxContent>
                  <w:p w14:paraId="644847AE">
                    <w:pPr>
                      <w:pStyle w:val="4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F6FA">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A265EB3">
                          <w:pPr>
                            <w:pStyle w:val="41"/>
                          </w:pPr>
                          <w:r>
                            <w:fldChar w:fldCharType="begin"/>
                          </w:r>
                          <w:r>
                            <w:instrText xml:space="preserve"> PAGE  \* MERGEFORMAT </w:instrText>
                          </w:r>
                          <w:r>
                            <w:fldChar w:fldCharType="separate"/>
                          </w:r>
                          <w:r>
                            <w:t>25</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G106jTAQAAngMAAA4AAABkcnMvZTJvRG9jLnhtbK1TS27bMBDdF+gd&#10;CO5ryUZb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W15dceaEpTc//fxx+vXn&#10;9Ps7e5c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G106jTAQAAngMAAA4AAAAAAAAAAQAgAAAAHwEA&#10;AGRycy9lMm9Eb2MueG1sUEsFBgAAAAAGAAYAWQEAAGQFAAAAAA==&#10;">
              <v:fill on="f" focussize="0,0"/>
              <v:stroke on="f"/>
              <v:imagedata o:title=""/>
              <o:lock v:ext="edit" aspectratio="f"/>
              <v:textbox inset="0mm,0mm,0mm,0mm" style="mso-fit-shape-to-text:t;">
                <w:txbxContent>
                  <w:p w14:paraId="2A265EB3">
                    <w:pPr>
                      <w:pStyle w:val="41"/>
                    </w:pPr>
                    <w:r>
                      <w:fldChar w:fldCharType="begin"/>
                    </w:r>
                    <w:r>
                      <w:instrText xml:space="preserve"> PAGE  \* MERGEFORMAT </w:instrText>
                    </w:r>
                    <w:r>
                      <w:fldChar w:fldCharType="separate"/>
                    </w:r>
                    <w:r>
                      <w:t>25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DDED0">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B2320DE">
                          <w:pPr>
                            <w:pStyle w:val="41"/>
                          </w:pPr>
                          <w:r>
                            <w:fldChar w:fldCharType="begin"/>
                          </w:r>
                          <w:r>
                            <w:instrText xml:space="preserve"> PAGE  \* MERGEFORMAT </w:instrText>
                          </w:r>
                          <w:r>
                            <w:fldChar w:fldCharType="separate"/>
                          </w:r>
                          <w:r>
                            <w:t>24</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N8vcJbQAQAAngMAAA4AAAAAAAAAAQAgAAAAHwEAAGRy&#10;cy9lMm9Eb2MueG1sUEsFBgAAAAAGAAYAWQEAAGEFAAAAAA==&#10;">
              <v:fill on="f" focussize="0,0"/>
              <v:stroke on="f"/>
              <v:imagedata o:title=""/>
              <o:lock v:ext="edit" aspectratio="f"/>
              <v:textbox inset="0mm,0mm,0mm,0mm" style="mso-fit-shape-to-text:t;">
                <w:txbxContent>
                  <w:p w14:paraId="6B2320DE">
                    <w:pPr>
                      <w:pStyle w:val="41"/>
                    </w:pPr>
                    <w:r>
                      <w:fldChar w:fldCharType="begin"/>
                    </w:r>
                    <w:r>
                      <w:instrText xml:space="preserve"> PAGE  \* MERGEFORMAT </w:instrText>
                    </w:r>
                    <w:r>
                      <w:fldChar w:fldCharType="separate"/>
                    </w:r>
                    <w:r>
                      <w:t>24</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EE17">
    <w:pPr>
      <w:pStyle w:val="41"/>
      <w:rPr>
        <w:rFonts w:ascii="仿宋_GB2312" w:eastAsia="仿宋_GB2312"/>
        <w:szCs w:val="24"/>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CF3DA6D">
                          <w:pPr>
                            <w:pStyle w:val="41"/>
                          </w:pPr>
                          <w:r>
                            <w:fldChar w:fldCharType="begin"/>
                          </w:r>
                          <w:r>
                            <w:instrText xml:space="preserve"> PAGE  \* MERGEFORMAT </w:instrText>
                          </w:r>
                          <w:r>
                            <w:fldChar w:fldCharType="separate"/>
                          </w:r>
                          <w:r>
                            <w:t>57</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9HSbSAQAAngMAAA4AAABkcnMvZTJvRG9jLnhtbK1TzY7TMBC+I/EO&#10;lu80SYWgqp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sqKMycsvfnl54/Lrz+X&#10;39/Z2+RQH3BNB+/DHUwZUpjkDi3Y9CUhbMiunq+uqiEySZvVarlalW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uD0dJtIBAACeAwAADgAAAAAAAAABACAAAAAfAQAA&#10;ZHJzL2Uyb0RvYy54bWxQSwUGAAAAAAYABgBZAQAAYwUAAAAA&#10;">
              <v:fill on="f" focussize="0,0"/>
              <v:stroke on="f"/>
              <v:imagedata o:title=""/>
              <o:lock v:ext="edit" aspectratio="f"/>
              <v:textbox inset="0mm,0mm,0mm,0mm" style="mso-fit-shape-to-text:t;">
                <w:txbxContent>
                  <w:p w14:paraId="3CF3DA6D">
                    <w:pPr>
                      <w:pStyle w:val="41"/>
                    </w:pPr>
                    <w:r>
                      <w:fldChar w:fldCharType="begin"/>
                    </w:r>
                    <w:r>
                      <w:instrText xml:space="preserve"> PAGE  \* MERGEFORMAT </w:instrText>
                    </w:r>
                    <w:r>
                      <w:fldChar w:fldCharType="separate"/>
                    </w:r>
                    <w:r>
                      <w:t>57</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13243">
    <w:pPr>
      <w:pStyle w:val="41"/>
      <w:framePr w:wrap="around" w:vAnchor="text" w:hAnchor="margin" w:xAlign="right" w:y="1"/>
      <w:rPr>
        <w:rStyle w:val="82"/>
      </w:rPr>
    </w:pPr>
    <w:r>
      <w:fldChar w:fldCharType="begin"/>
    </w:r>
    <w:r>
      <w:rPr>
        <w:rStyle w:val="82"/>
      </w:rPr>
      <w:instrText xml:space="preserve">PAGE  </w:instrText>
    </w:r>
    <w:r>
      <w:fldChar w:fldCharType="end"/>
    </w:r>
  </w:p>
  <w:p w14:paraId="205F2685">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39ED">
    <w:pPr>
      <w:pStyle w:val="41"/>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0DDA7C7">
                          <w:pPr>
                            <w:pStyle w:val="41"/>
                          </w:pPr>
                          <w:r>
                            <w:fldChar w:fldCharType="begin"/>
                          </w:r>
                          <w:r>
                            <w:instrText xml:space="preserve"> PAGE  \* MERGEFORMAT </w:instrText>
                          </w:r>
                          <w:r>
                            <w:fldChar w:fldCharType="separate"/>
                          </w:r>
                          <w:r>
                            <w:t>56</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DIkBrtIBAACeAwAADgAAAAAAAAABACAAAAAfAQAA&#10;ZHJzL2Uyb0RvYy54bWxQSwUGAAAAAAYABgBZAQAAYwUAAAAA&#10;">
              <v:fill on="f" focussize="0,0"/>
              <v:stroke on="f"/>
              <v:imagedata o:title=""/>
              <o:lock v:ext="edit" aspectratio="f"/>
              <v:textbox inset="0mm,0mm,0mm,0mm" style="mso-fit-shape-to-text:t;">
                <w:txbxContent>
                  <w:p w14:paraId="50DDA7C7">
                    <w:pPr>
                      <w:pStyle w:val="41"/>
                    </w:pPr>
                    <w:r>
                      <w:fldChar w:fldCharType="begin"/>
                    </w:r>
                    <w:r>
                      <w:instrText xml:space="preserve"> PAGE  \* MERGEFORMAT </w:instrText>
                    </w:r>
                    <w:r>
                      <w:fldChar w:fldCharType="separate"/>
                    </w:r>
                    <w:r>
                      <w:t>56</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4E172">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01D6E">
    <w:pPr>
      <w:pStyle w:val="42"/>
      <w:pBdr>
        <w:bottom w:val="none" w:color="auto" w:sz="0" w:space="1"/>
      </w:pBdr>
      <w:bidi w:val="0"/>
      <w:rPr>
        <w:rFonts w:hint="eastAsia"/>
        <w:lang w:eastAsia="zh-CN"/>
      </w:rPr>
    </w:pP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6C40E">
    <w:pPr>
      <w:pStyle w:val="42"/>
      <w:pBdr>
        <w:bottom w:val="none" w:color="auto" w:sz="0" w:space="1"/>
      </w:pBdr>
      <w:jc w:val="right"/>
      <w:rPr>
        <w:rFonts w:ascii="仿宋_GB2312" w:eastAsia="仿宋_GB2312"/>
        <w:b/>
        <w:i/>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1C720">
    <w:pPr>
      <w:pStyle w:val="42"/>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79B80">
    <w:pPr>
      <w:pStyle w:val="42"/>
      <w:pBdr>
        <w:bottom w:val="none" w:color="auto" w:sz="0" w:space="1"/>
      </w:pBdr>
      <w:jc w:val="right"/>
      <w:rPr>
        <w:rFonts w:ascii="仿宋_GB2312" w:eastAsia="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BE19D">
    <w:pPr>
      <w:pStyle w:val="42"/>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7B808"/>
    <w:multiLevelType w:val="singleLevel"/>
    <w:tmpl w:val="A5D7B808"/>
    <w:lvl w:ilvl="0" w:tentative="0">
      <w:start w:val="1"/>
      <w:numFmt w:val="chineseCounting"/>
      <w:suff w:val="nothing"/>
      <w:lvlText w:val="（%1）"/>
      <w:lvlJc w:val="left"/>
      <w:pPr>
        <w:ind w:left="0" w:firstLine="420"/>
      </w:pPr>
      <w:rPr>
        <w:rFonts w:hint="eastAsia"/>
      </w:rPr>
    </w:lvl>
  </w:abstractNum>
  <w:abstractNum w:abstractNumId="1">
    <w:nsid w:val="00000000"/>
    <w:multiLevelType w:val="multilevel"/>
    <w:tmpl w:val="00000000"/>
    <w:lvl w:ilvl="0" w:tentative="0">
      <w:start w:val="1"/>
      <w:numFmt w:val="decimal"/>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0000001"/>
    <w:multiLevelType w:val="singleLevel"/>
    <w:tmpl w:val="00000001"/>
    <w:lvl w:ilvl="0" w:tentative="0">
      <w:start w:val="2"/>
      <w:numFmt w:val="chineseCounting"/>
      <w:suff w:val="nothing"/>
      <w:lvlText w:val="%1、"/>
      <w:lvlJc w:val="left"/>
      <w:rPr>
        <w:rFonts w:hint="eastAsia"/>
      </w:rPr>
    </w:lvl>
  </w:abstractNum>
  <w:abstractNum w:abstractNumId="3">
    <w:nsid w:val="00000002"/>
    <w:multiLevelType w:val="singleLevel"/>
    <w:tmpl w:val="00000002"/>
    <w:lvl w:ilvl="0" w:tentative="0">
      <w:start w:val="6"/>
      <w:numFmt w:val="chineseCounting"/>
      <w:suff w:val="nothing"/>
      <w:lvlText w:val="%1、"/>
      <w:lvlJc w:val="left"/>
      <w:rPr>
        <w:rFonts w:hint="eastAsia"/>
      </w:rPr>
    </w:lvl>
  </w:abstractNum>
  <w:abstractNum w:abstractNumId="4">
    <w:nsid w:val="00000003"/>
    <w:multiLevelType w:val="singleLevel"/>
    <w:tmpl w:val="00000003"/>
    <w:lvl w:ilvl="0" w:tentative="0">
      <w:start w:val="11"/>
      <w:numFmt w:val="decimal"/>
      <w:lvlText w:val="%1."/>
      <w:lvlJc w:val="left"/>
      <w:pPr>
        <w:tabs>
          <w:tab w:val="left" w:pos="312"/>
        </w:tabs>
      </w:pPr>
    </w:lvl>
  </w:abstractNum>
  <w:abstractNum w:abstractNumId="5">
    <w:nsid w:val="00000004"/>
    <w:multiLevelType w:val="singleLevel"/>
    <w:tmpl w:val="00000004"/>
    <w:lvl w:ilvl="0" w:tentative="0">
      <w:start w:val="23"/>
      <w:numFmt w:val="decimal"/>
      <w:suff w:val="space"/>
      <w:lvlText w:val="%1."/>
      <w:lvlJc w:val="left"/>
    </w:lvl>
  </w:abstractNum>
  <w:abstractNum w:abstractNumId="6">
    <w:nsid w:val="00000005"/>
    <w:multiLevelType w:val="singleLevel"/>
    <w:tmpl w:val="00000005"/>
    <w:lvl w:ilvl="0" w:tentative="0">
      <w:start w:val="2"/>
      <w:numFmt w:val="decimal"/>
      <w:suff w:val="nothing"/>
      <w:lvlText w:val="（%1）"/>
      <w:lvlJc w:val="left"/>
    </w:lvl>
  </w:abstractNum>
  <w:abstractNum w:abstractNumId="7">
    <w:nsid w:val="00000007"/>
    <w:multiLevelType w:val="singleLevel"/>
    <w:tmpl w:val="00000007"/>
    <w:lvl w:ilvl="0" w:tentative="0">
      <w:start w:val="1"/>
      <w:numFmt w:val="chineseCounting"/>
      <w:suff w:val="nothing"/>
      <w:lvlText w:val="%1、"/>
      <w:lvlJc w:val="left"/>
    </w:lvl>
  </w:abstractNum>
  <w:abstractNum w:abstractNumId="8">
    <w:nsid w:val="00000008"/>
    <w:multiLevelType w:val="singleLevel"/>
    <w:tmpl w:val="00000008"/>
    <w:lvl w:ilvl="0" w:tentative="0">
      <w:start w:val="3"/>
      <w:numFmt w:val="chineseCounting"/>
      <w:suff w:val="nothing"/>
      <w:lvlText w:val="%1、"/>
      <w:lvlJc w:val="left"/>
    </w:lvl>
  </w:abstractNum>
  <w:abstractNum w:abstractNumId="9">
    <w:nsid w:val="00000009"/>
    <w:multiLevelType w:val="singleLevel"/>
    <w:tmpl w:val="00000009"/>
    <w:lvl w:ilvl="0" w:tentative="0">
      <w:start w:val="1"/>
      <w:numFmt w:val="lowerLetter"/>
      <w:lvlText w:val="%1."/>
      <w:lvlJc w:val="left"/>
      <w:pPr>
        <w:tabs>
          <w:tab w:val="left" w:pos="360"/>
        </w:tabs>
        <w:ind w:left="301" w:hanging="301"/>
      </w:pPr>
    </w:lvl>
  </w:abstractNum>
  <w:abstractNum w:abstractNumId="10">
    <w:nsid w:val="0000000A"/>
    <w:multiLevelType w:val="multilevel"/>
    <w:tmpl w:val="0000000A"/>
    <w:lvl w:ilvl="0" w:tentative="0">
      <w:start w:val="1"/>
      <w:numFmt w:val="decimal"/>
      <w:lvlText w:val="%1、"/>
      <w:lvlJc w:val="left"/>
      <w:pPr>
        <w:tabs>
          <w:tab w:val="left" w:pos="772"/>
        </w:tabs>
        <w:ind w:left="772" w:hanging="360"/>
      </w:pPr>
    </w:lvl>
    <w:lvl w:ilvl="1" w:tentative="0">
      <w:start w:val="1"/>
      <w:numFmt w:val="lowerLetter"/>
      <w:lvlText w:val="%2)"/>
      <w:lvlJc w:val="left"/>
      <w:pPr>
        <w:tabs>
          <w:tab w:val="left" w:pos="1252"/>
        </w:tabs>
        <w:ind w:left="1252" w:hanging="420"/>
      </w:pPr>
    </w:lvl>
    <w:lvl w:ilvl="2" w:tentative="0">
      <w:start w:val="1"/>
      <w:numFmt w:val="lowerRoman"/>
      <w:lvlText w:val="%3."/>
      <w:lvlJc w:val="right"/>
      <w:pPr>
        <w:tabs>
          <w:tab w:val="left" w:pos="1672"/>
        </w:tabs>
        <w:ind w:left="1672" w:hanging="420"/>
      </w:pPr>
    </w:lvl>
    <w:lvl w:ilvl="3" w:tentative="0">
      <w:start w:val="1"/>
      <w:numFmt w:val="decimal"/>
      <w:lvlText w:val="%4."/>
      <w:lvlJc w:val="left"/>
      <w:pPr>
        <w:tabs>
          <w:tab w:val="left" w:pos="2092"/>
        </w:tabs>
        <w:ind w:left="2092" w:hanging="420"/>
      </w:pPr>
    </w:lvl>
    <w:lvl w:ilvl="4" w:tentative="0">
      <w:start w:val="1"/>
      <w:numFmt w:val="lowerLetter"/>
      <w:lvlText w:val="%5)"/>
      <w:lvlJc w:val="left"/>
      <w:pPr>
        <w:tabs>
          <w:tab w:val="left" w:pos="2512"/>
        </w:tabs>
        <w:ind w:left="2512" w:hanging="420"/>
      </w:pPr>
    </w:lvl>
    <w:lvl w:ilvl="5" w:tentative="0">
      <w:start w:val="1"/>
      <w:numFmt w:val="lowerRoman"/>
      <w:lvlText w:val="%6."/>
      <w:lvlJc w:val="right"/>
      <w:pPr>
        <w:tabs>
          <w:tab w:val="left" w:pos="2932"/>
        </w:tabs>
        <w:ind w:left="2932" w:hanging="420"/>
      </w:pPr>
    </w:lvl>
    <w:lvl w:ilvl="6" w:tentative="0">
      <w:start w:val="1"/>
      <w:numFmt w:val="decimal"/>
      <w:lvlText w:val="%7."/>
      <w:lvlJc w:val="left"/>
      <w:pPr>
        <w:tabs>
          <w:tab w:val="left" w:pos="3352"/>
        </w:tabs>
        <w:ind w:left="3352" w:hanging="420"/>
      </w:pPr>
    </w:lvl>
    <w:lvl w:ilvl="7" w:tentative="0">
      <w:start w:val="1"/>
      <w:numFmt w:val="lowerLetter"/>
      <w:lvlText w:val="%8)"/>
      <w:lvlJc w:val="left"/>
      <w:pPr>
        <w:tabs>
          <w:tab w:val="left" w:pos="3772"/>
        </w:tabs>
        <w:ind w:left="3772" w:hanging="420"/>
      </w:pPr>
    </w:lvl>
    <w:lvl w:ilvl="8" w:tentative="0">
      <w:start w:val="1"/>
      <w:numFmt w:val="lowerRoman"/>
      <w:lvlText w:val="%9."/>
      <w:lvlJc w:val="right"/>
      <w:pPr>
        <w:tabs>
          <w:tab w:val="left" w:pos="4192"/>
        </w:tabs>
        <w:ind w:left="4192" w:hanging="420"/>
      </w:pPr>
    </w:lvl>
  </w:abstractNum>
  <w:abstractNum w:abstractNumId="11">
    <w:nsid w:val="0000000B"/>
    <w:multiLevelType w:val="singleLevel"/>
    <w:tmpl w:val="0000000B"/>
    <w:lvl w:ilvl="0" w:tentative="0">
      <w:start w:val="1"/>
      <w:numFmt w:val="decimal"/>
      <w:lvlText w:val="(%1)"/>
      <w:lvlJc w:val="left"/>
      <w:pPr>
        <w:tabs>
          <w:tab w:val="left" w:pos="875"/>
        </w:tabs>
        <w:ind w:left="175" w:firstLine="340"/>
      </w:pPr>
    </w:lvl>
  </w:abstractNum>
  <w:num w:numId="1">
    <w:abstractNumId w:val="1"/>
  </w:num>
  <w:num w:numId="2">
    <w:abstractNumId w:val="5"/>
  </w:num>
  <w:num w:numId="3">
    <w:abstractNumId w:val="2"/>
  </w:num>
  <w:num w:numId="4">
    <w:abstractNumId w:val="0"/>
  </w:num>
  <w:num w:numId="5">
    <w:abstractNumId w:val="9"/>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4"/>
  </w:num>
  <w:num w:numId="9">
    <w:abstractNumId w:val="3"/>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ZDI3ZjYwNGUxNTMzM2NhMGMxZGJhNmMwMTkzNzUifQ=="/>
  </w:docVars>
  <w:rsids>
    <w:rsidRoot w:val="00000000"/>
    <w:rsid w:val="005F037B"/>
    <w:rsid w:val="01A544B3"/>
    <w:rsid w:val="01AD5116"/>
    <w:rsid w:val="01DA5D05"/>
    <w:rsid w:val="01E928B5"/>
    <w:rsid w:val="020044B1"/>
    <w:rsid w:val="03404493"/>
    <w:rsid w:val="03D07A61"/>
    <w:rsid w:val="056A5D0F"/>
    <w:rsid w:val="05976A10"/>
    <w:rsid w:val="07F159B9"/>
    <w:rsid w:val="086177BD"/>
    <w:rsid w:val="0A7D06D3"/>
    <w:rsid w:val="0ADD2F10"/>
    <w:rsid w:val="0D676501"/>
    <w:rsid w:val="0D8C781C"/>
    <w:rsid w:val="0E686F94"/>
    <w:rsid w:val="10957B31"/>
    <w:rsid w:val="10BB4DB5"/>
    <w:rsid w:val="125A48F0"/>
    <w:rsid w:val="12A12AD4"/>
    <w:rsid w:val="132C0590"/>
    <w:rsid w:val="13E23345"/>
    <w:rsid w:val="14961874"/>
    <w:rsid w:val="149D4036"/>
    <w:rsid w:val="14D013EF"/>
    <w:rsid w:val="153674A4"/>
    <w:rsid w:val="1803691A"/>
    <w:rsid w:val="18BC088E"/>
    <w:rsid w:val="18D53478"/>
    <w:rsid w:val="1A440C91"/>
    <w:rsid w:val="1B1E72E5"/>
    <w:rsid w:val="1B2A02FA"/>
    <w:rsid w:val="1CBA1BB4"/>
    <w:rsid w:val="1E81305C"/>
    <w:rsid w:val="20362A4E"/>
    <w:rsid w:val="20755F95"/>
    <w:rsid w:val="21141013"/>
    <w:rsid w:val="21FB3F4F"/>
    <w:rsid w:val="250E2E4F"/>
    <w:rsid w:val="275D2FB6"/>
    <w:rsid w:val="27EE1E60"/>
    <w:rsid w:val="28A3781A"/>
    <w:rsid w:val="28D36FBE"/>
    <w:rsid w:val="29B13146"/>
    <w:rsid w:val="29D51081"/>
    <w:rsid w:val="29F04FFF"/>
    <w:rsid w:val="2A7F1496"/>
    <w:rsid w:val="2AE00186"/>
    <w:rsid w:val="2D4367AA"/>
    <w:rsid w:val="2DA03BFD"/>
    <w:rsid w:val="2E443131"/>
    <w:rsid w:val="2F1034C5"/>
    <w:rsid w:val="30A53981"/>
    <w:rsid w:val="30B07AC1"/>
    <w:rsid w:val="33051042"/>
    <w:rsid w:val="343B642D"/>
    <w:rsid w:val="35047D14"/>
    <w:rsid w:val="35522550"/>
    <w:rsid w:val="35877BE1"/>
    <w:rsid w:val="36A827BB"/>
    <w:rsid w:val="37303290"/>
    <w:rsid w:val="375C5EE3"/>
    <w:rsid w:val="37624E84"/>
    <w:rsid w:val="378B2749"/>
    <w:rsid w:val="37E40B8A"/>
    <w:rsid w:val="389E09C9"/>
    <w:rsid w:val="39785A2E"/>
    <w:rsid w:val="3A46605E"/>
    <w:rsid w:val="3B131EB2"/>
    <w:rsid w:val="3CBB088F"/>
    <w:rsid w:val="3D3B71F2"/>
    <w:rsid w:val="3E8D0824"/>
    <w:rsid w:val="3EC60CCC"/>
    <w:rsid w:val="427D40B5"/>
    <w:rsid w:val="436D33AF"/>
    <w:rsid w:val="44F816A6"/>
    <w:rsid w:val="459C2041"/>
    <w:rsid w:val="463A1C9A"/>
    <w:rsid w:val="463D6035"/>
    <w:rsid w:val="47B36D16"/>
    <w:rsid w:val="47CA7D9C"/>
    <w:rsid w:val="4A4B6205"/>
    <w:rsid w:val="4EA17C8F"/>
    <w:rsid w:val="4EC01263"/>
    <w:rsid w:val="4EEC05F8"/>
    <w:rsid w:val="4F0A0A7E"/>
    <w:rsid w:val="4F894099"/>
    <w:rsid w:val="4F8E18D5"/>
    <w:rsid w:val="51FD36A5"/>
    <w:rsid w:val="520F125D"/>
    <w:rsid w:val="53411D00"/>
    <w:rsid w:val="54877BC1"/>
    <w:rsid w:val="568C00D3"/>
    <w:rsid w:val="56DB3B86"/>
    <w:rsid w:val="5C58787D"/>
    <w:rsid w:val="5D0B5AD0"/>
    <w:rsid w:val="5DF272AD"/>
    <w:rsid w:val="629543BE"/>
    <w:rsid w:val="63FF0976"/>
    <w:rsid w:val="642F3009"/>
    <w:rsid w:val="654B752F"/>
    <w:rsid w:val="655411CE"/>
    <w:rsid w:val="65C918F2"/>
    <w:rsid w:val="65FC516D"/>
    <w:rsid w:val="693C55FC"/>
    <w:rsid w:val="69832411"/>
    <w:rsid w:val="69E50BBC"/>
    <w:rsid w:val="6AE04015"/>
    <w:rsid w:val="6BC900B2"/>
    <w:rsid w:val="6BCA0454"/>
    <w:rsid w:val="6BF52715"/>
    <w:rsid w:val="6F2259BD"/>
    <w:rsid w:val="6F2D6397"/>
    <w:rsid w:val="71924BD7"/>
    <w:rsid w:val="72FC0C75"/>
    <w:rsid w:val="737547B1"/>
    <w:rsid w:val="755540FE"/>
    <w:rsid w:val="75564CDF"/>
    <w:rsid w:val="761F01EE"/>
    <w:rsid w:val="76A50984"/>
    <w:rsid w:val="76B741D6"/>
    <w:rsid w:val="77484F63"/>
    <w:rsid w:val="7AA8721A"/>
    <w:rsid w:val="7B145A11"/>
    <w:rsid w:val="7BBC7E2A"/>
    <w:rsid w:val="7BDE454D"/>
    <w:rsid w:val="7CBA7629"/>
    <w:rsid w:val="7ECA3C03"/>
    <w:rsid w:val="7ED94253"/>
    <w:rsid w:val="7F1E3F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2"/>
    <w:qFormat/>
    <w:uiPriority w:val="9"/>
    <w:pPr>
      <w:keepNext/>
      <w:keepLines/>
      <w:tabs>
        <w:tab w:val="left" w:pos="432"/>
      </w:tabs>
      <w:spacing w:line="579" w:lineRule="auto"/>
      <w:ind w:left="431" w:hanging="431"/>
      <w:jc w:val="center"/>
      <w:outlineLvl w:val="0"/>
    </w:pPr>
    <w:rPr>
      <w:rFonts w:ascii="宋体" w:hAnsi="宋体" w:cs="宋体"/>
      <w:b/>
      <w:bCs/>
      <w:color w:val="auto"/>
      <w:kern w:val="44"/>
      <w:sz w:val="32"/>
      <w:szCs w:val="32"/>
      <w:highlight w:val="none"/>
    </w:rPr>
  </w:style>
  <w:style w:type="paragraph" w:styleId="3">
    <w:name w:val="heading 2"/>
    <w:basedOn w:val="1"/>
    <w:next w:val="1"/>
    <w:qFormat/>
    <w:uiPriority w:val="0"/>
    <w:pPr>
      <w:keepNext/>
      <w:keepLines/>
      <w:numPr>
        <w:ilvl w:val="1"/>
        <w:numId w:val="1"/>
      </w:numPr>
      <w:tabs>
        <w:tab w:val="left" w:pos="432"/>
      </w:tabs>
      <w:adjustRightInd/>
      <w:spacing w:line="360" w:lineRule="auto"/>
      <w:ind w:left="567" w:hanging="567"/>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5"/>
    <w:link w:val="33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9">
    <w:name w:val="Default Paragraph Font"/>
    <w:qFormat/>
    <w:uiPriority w:val="1"/>
  </w:style>
  <w:style w:type="table" w:default="1" w:styleId="65">
    <w:name w:val="Normal Table"/>
    <w:qFormat/>
    <w:uiPriority w:val="99"/>
    <w:tblPr>
      <w:tblCellMar>
        <w:top w:w="0" w:type="dxa"/>
        <w:left w:w="108" w:type="dxa"/>
        <w:bottom w:w="0" w:type="dxa"/>
        <w:right w:w="108" w:type="dxa"/>
      </w:tblCellMar>
    </w:tblPr>
  </w:style>
  <w:style w:type="paragraph" w:customStyle="1" w:styleId="5">
    <w:name w:val="段落文字"/>
    <w:basedOn w:val="1"/>
    <w:qFormat/>
    <w:uiPriority w:val="0"/>
    <w:pPr>
      <w:spacing w:line="360" w:lineRule="auto"/>
      <w:ind w:firstLine="200" w:firstLineChars="200"/>
    </w:pPr>
    <w:rPr>
      <w:rFonts w:ascii="Times New Roman" w:hAnsi="Times New Roman" w:eastAsia="仿宋_GB2312"/>
      <w:sz w:val="28"/>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20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3"/>
    <w:qFormat/>
    <w:uiPriority w:val="0"/>
    <w:pPr>
      <w:shd w:val="clear" w:color="auto" w:fill="000080"/>
    </w:pPr>
  </w:style>
  <w:style w:type="paragraph" w:styleId="20">
    <w:name w:val="annotation text"/>
    <w:basedOn w:val="1"/>
    <w:link w:val="353"/>
    <w:qFormat/>
    <w:uiPriority w:val="99"/>
    <w:pPr>
      <w:jc w:val="left"/>
    </w:pPr>
  </w:style>
  <w:style w:type="paragraph" w:styleId="21">
    <w:name w:val="Salutation"/>
    <w:basedOn w:val="1"/>
    <w:next w:val="1"/>
    <w:link w:val="307"/>
    <w:qFormat/>
    <w:uiPriority w:val="0"/>
    <w:rPr>
      <w:rFonts w:ascii="仿宋_GB2312" w:eastAsia="仿宋_GB2312"/>
      <w:sz w:val="28"/>
      <w:szCs w:val="20"/>
    </w:rPr>
  </w:style>
  <w:style w:type="paragraph" w:styleId="22">
    <w:name w:val="Body Text 3"/>
    <w:basedOn w:val="1"/>
    <w:link w:val="339"/>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link w:val="43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74"/>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92"/>
    <w:qFormat/>
    <w:uiPriority w:val="0"/>
    <w:pPr>
      <w:ind w:left="100" w:leftChars="2500"/>
    </w:pPr>
    <w:rPr>
      <w:rFonts w:ascii="宋体"/>
      <w:sz w:val="24"/>
      <w:szCs w:val="21"/>
      <w:lang w:val="zh-CN"/>
    </w:rPr>
  </w:style>
  <w:style w:type="paragraph" w:styleId="38">
    <w:name w:val="Body Text Indent 2"/>
    <w:basedOn w:val="1"/>
    <w:link w:val="317"/>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199"/>
    <w:qFormat/>
    <w:uiPriority w:val="0"/>
    <w:rPr>
      <w:sz w:val="18"/>
      <w:szCs w:val="18"/>
    </w:rPr>
  </w:style>
  <w:style w:type="paragraph" w:styleId="41">
    <w:name w:val="footer"/>
    <w:basedOn w:val="1"/>
    <w:link w:val="392"/>
    <w:qFormat/>
    <w:uiPriority w:val="99"/>
    <w:pPr>
      <w:tabs>
        <w:tab w:val="center" w:pos="4153"/>
        <w:tab w:val="right" w:pos="8306"/>
      </w:tabs>
      <w:snapToGrid w:val="0"/>
      <w:jc w:val="left"/>
    </w:pPr>
    <w:rPr>
      <w:sz w:val="18"/>
      <w:szCs w:val="18"/>
    </w:rPr>
  </w:style>
  <w:style w:type="paragraph" w:styleId="42">
    <w:name w:val="header"/>
    <w:basedOn w:val="1"/>
    <w:next w:val="43"/>
    <w:link w:val="401"/>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customStyle="1" w:styleId="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4">
    <w:name w:val="Signature"/>
    <w:basedOn w:val="1"/>
    <w:link w:val="35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9"/>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11"/>
    <w:qFormat/>
    <w:uiPriority w:val="0"/>
    <w:pPr>
      <w:spacing w:after="120" w:line="480" w:lineRule="auto"/>
    </w:pPr>
  </w:style>
  <w:style w:type="paragraph" w:styleId="59">
    <w:name w:val="HTML Preformatted"/>
    <w:basedOn w:val="1"/>
    <w:link w:val="3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7"/>
    <w:qFormat/>
    <w:uiPriority w:val="0"/>
    <w:rPr>
      <w:b/>
      <w:bCs/>
    </w:rPr>
  </w:style>
  <w:style w:type="paragraph" w:styleId="63">
    <w:name w:val="Body Text First Indent"/>
    <w:basedOn w:val="24"/>
    <w:next w:val="53"/>
    <w:link w:val="330"/>
    <w:qFormat/>
    <w:uiPriority w:val="0"/>
    <w:pPr>
      <w:ind w:firstLine="420"/>
    </w:pPr>
    <w:rPr>
      <w:rFonts w:hAnsi="Calibri" w:cs="Times New Roman"/>
      <w:szCs w:val="20"/>
    </w:rPr>
  </w:style>
  <w:style w:type="paragraph" w:styleId="64">
    <w:name w:val="Body Text First Indent 2"/>
    <w:basedOn w:val="25"/>
    <w:link w:val="132"/>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72">
    <w:name w:val="Medium Grid 3"/>
    <w:basedOn w:val="6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73">
    <w:name w:val="Medium Grid 3 Accent 1"/>
    <w:basedOn w:val="6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74">
    <w:name w:val="Medium Grid 3 Accent 2"/>
    <w:basedOn w:val="6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75">
    <w:name w:val="Medium Grid 3 Accent 3"/>
    <w:basedOn w:val="6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76">
    <w:name w:val="Medium Grid 3 Accent 4"/>
    <w:basedOn w:val="6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77">
    <w:name w:val="Medium Grid 3 Accent 5"/>
    <w:basedOn w:val="6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78">
    <w:name w:val="Medium Grid 3 Accent 6"/>
    <w:basedOn w:val="6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80">
    <w:name w:val="Strong"/>
    <w:qFormat/>
    <w:uiPriority w:val="22"/>
    <w:rPr>
      <w:b/>
      <w:bCs/>
    </w:rPr>
  </w:style>
  <w:style w:type="character" w:styleId="81">
    <w:name w:val="endnote reference"/>
    <w:qFormat/>
    <w:uiPriority w:val="0"/>
    <w:rPr>
      <w:vertAlign w:val="superscript"/>
    </w:rPr>
  </w:style>
  <w:style w:type="character" w:styleId="82">
    <w:name w:val="page number"/>
    <w:basedOn w:val="79"/>
    <w:qFormat/>
    <w:uiPriority w:val="0"/>
    <w:rPr>
      <w:rFonts w:ascii="Arial" w:hAnsi="Arial" w:eastAsia="黑体" w:cs="Arial"/>
      <w:snapToGrid w:val="0"/>
      <w:kern w:val="0"/>
      <w:szCs w:val="21"/>
    </w:rPr>
  </w:style>
  <w:style w:type="character" w:styleId="83">
    <w:name w:val="FollowedHyperlink"/>
    <w:qFormat/>
    <w:uiPriority w:val="99"/>
    <w:rPr>
      <w:rFonts w:ascii="Arial" w:hAnsi="Arial" w:eastAsia="黑体" w:cs="Arial"/>
      <w:snapToGrid w:val="0"/>
      <w:color w:val="000000"/>
      <w:kern w:val="0"/>
      <w:sz w:val="18"/>
      <w:szCs w:val="18"/>
      <w:u w:val="none"/>
    </w:rPr>
  </w:style>
  <w:style w:type="character" w:styleId="84">
    <w:name w:val="Emphasis"/>
    <w:qFormat/>
    <w:uiPriority w:val="20"/>
    <w:rPr>
      <w:color w:val="CC0033"/>
    </w:rPr>
  </w:style>
  <w:style w:type="character" w:styleId="85">
    <w:name w:val="line number"/>
    <w:basedOn w:val="79"/>
    <w:qFormat/>
    <w:uiPriority w:val="0"/>
    <w:rPr>
      <w:rFonts w:ascii="Arial" w:hAnsi="Arial" w:eastAsia="黑体" w:cs="Arial"/>
      <w:snapToGrid w:val="0"/>
      <w:kern w:val="0"/>
      <w:szCs w:val="21"/>
    </w:rPr>
  </w:style>
  <w:style w:type="character" w:styleId="86">
    <w:name w:val="Hyperlink"/>
    <w:qFormat/>
    <w:uiPriority w:val="99"/>
    <w:rPr>
      <w:rFonts w:ascii="Arial" w:hAnsi="Arial" w:eastAsia="黑体" w:cs="Arial"/>
      <w:snapToGrid w:val="0"/>
      <w:color w:val="000000"/>
      <w:kern w:val="0"/>
      <w:sz w:val="18"/>
      <w:szCs w:val="18"/>
      <w:u w:val="none"/>
    </w:rPr>
  </w:style>
  <w:style w:type="character" w:styleId="87">
    <w:name w:val="HTML Code"/>
    <w:qFormat/>
    <w:uiPriority w:val="0"/>
    <w:rPr>
      <w:rFonts w:ascii="黑体" w:hAnsi="Courier New" w:eastAsia="黑体" w:cs="楷体_GB2312"/>
      <w:sz w:val="20"/>
      <w:szCs w:val="20"/>
    </w:rPr>
  </w:style>
  <w:style w:type="character" w:styleId="88">
    <w:name w:val="annotation reference"/>
    <w:qFormat/>
    <w:uiPriority w:val="99"/>
    <w:rPr>
      <w:sz w:val="21"/>
      <w:szCs w:val="21"/>
    </w:rPr>
  </w:style>
  <w:style w:type="character" w:customStyle="1" w:styleId="89">
    <w:name w:val="标题 1 字符"/>
    <w:qFormat/>
    <w:uiPriority w:val="9"/>
    <w:rPr>
      <w:rFonts w:ascii="Arial" w:hAnsi="Arial" w:eastAsia="黑体" w:cs="Arial"/>
      <w:b/>
      <w:bCs/>
      <w:snapToGrid w:val="0"/>
      <w:kern w:val="44"/>
      <w:sz w:val="44"/>
      <w:szCs w:val="44"/>
    </w:rPr>
  </w:style>
  <w:style w:type="character" w:customStyle="1" w:styleId="90">
    <w:name w:val="标题 2 Char"/>
    <w:qFormat/>
    <w:uiPriority w:val="0"/>
    <w:rPr>
      <w:rFonts w:ascii="Arial" w:hAnsi="Arial" w:eastAsia="黑体"/>
      <w:b/>
      <w:kern w:val="2"/>
      <w:sz w:val="32"/>
      <w:lang w:val="en-US" w:eastAsia="zh-CN"/>
    </w:rPr>
  </w:style>
  <w:style w:type="paragraph" w:customStyle="1" w:styleId="91">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92">
    <w:name w:val="Default"/>
    <w:link w:val="24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93">
    <w:name w:val="表格非标题文字 Char"/>
    <w:link w:val="94"/>
    <w:qFormat/>
    <w:uiPriority w:val="0"/>
    <w:rPr>
      <w:rFonts w:ascii="Futura Bk" w:hAnsi="Futura Bk"/>
      <w:kern w:val="2"/>
      <w:sz w:val="18"/>
      <w:szCs w:val="21"/>
      <w:lang w:val="en-US" w:eastAsia="zh-CN" w:bidi="ar-SA"/>
    </w:rPr>
  </w:style>
  <w:style w:type="paragraph" w:customStyle="1" w:styleId="94">
    <w:name w:val="表格非标题文字"/>
    <w:link w:val="9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5">
    <w:name w:val="*正文 Char"/>
    <w:link w:val="96"/>
    <w:qFormat/>
    <w:uiPriority w:val="0"/>
    <w:rPr>
      <w:rFonts w:ascii="宋体" w:hAnsi="宋体"/>
      <w:sz w:val="24"/>
    </w:rPr>
  </w:style>
  <w:style w:type="paragraph" w:customStyle="1" w:styleId="96">
    <w:name w:val="*正文"/>
    <w:basedOn w:val="1"/>
    <w:link w:val="95"/>
    <w:qFormat/>
    <w:uiPriority w:val="0"/>
    <w:pPr>
      <w:snapToGrid w:val="0"/>
      <w:spacing w:line="360" w:lineRule="auto"/>
      <w:ind w:firstLine="482"/>
      <w:jc w:val="left"/>
    </w:pPr>
    <w:rPr>
      <w:rFonts w:ascii="宋体" w:hAnsi="宋体"/>
      <w:kern w:val="0"/>
      <w:sz w:val="24"/>
      <w:szCs w:val="20"/>
    </w:rPr>
  </w:style>
  <w:style w:type="character" w:customStyle="1" w:styleId="97">
    <w:name w:val="Char Char71"/>
    <w:qFormat/>
    <w:uiPriority w:val="0"/>
    <w:rPr>
      <w:rFonts w:eastAsia="宋体"/>
      <w:kern w:val="2"/>
      <w:sz w:val="21"/>
      <w:szCs w:val="24"/>
      <w:lang w:val="en-US" w:eastAsia="zh-CN" w:bidi="ar-SA"/>
    </w:rPr>
  </w:style>
  <w:style w:type="character" w:customStyle="1" w:styleId="98">
    <w:name w:val="Char Char6"/>
    <w:qFormat/>
    <w:uiPriority w:val="0"/>
    <w:rPr>
      <w:rFonts w:eastAsia="宋体"/>
      <w:kern w:val="2"/>
      <w:sz w:val="21"/>
      <w:szCs w:val="24"/>
      <w:lang w:val="en-US" w:eastAsia="zh-CN" w:bidi="ar-SA"/>
    </w:rPr>
  </w:style>
  <w:style w:type="character" w:customStyle="1" w:styleId="99">
    <w:name w:val="正文缩进 Char"/>
    <w:qFormat/>
    <w:uiPriority w:val="0"/>
    <w:rPr>
      <w:rFonts w:eastAsia="宋体"/>
      <w:kern w:val="2"/>
      <w:sz w:val="21"/>
      <w:lang w:val="en-US" w:eastAsia="zh-CN"/>
    </w:rPr>
  </w:style>
  <w:style w:type="character" w:customStyle="1" w:styleId="100">
    <w:name w:val="正文首行缩进 Char1"/>
    <w:qFormat/>
    <w:uiPriority w:val="0"/>
    <w:rPr>
      <w:rFonts w:ascii="宋体" w:hAnsi="Times New Roman" w:eastAsia="宋体" w:cs="Times New Roman"/>
      <w:snapToGrid w:val="0"/>
      <w:kern w:val="2"/>
      <w:sz w:val="24"/>
      <w:szCs w:val="21"/>
      <w:lang w:val="zh-CN"/>
    </w:rPr>
  </w:style>
  <w:style w:type="character" w:customStyle="1" w:styleId="101">
    <w:name w:val="Char Char28"/>
    <w:qFormat/>
    <w:uiPriority w:val="6"/>
    <w:rPr>
      <w:rFonts w:ascii="仿宋_GB2312" w:hAnsi="仿宋_GB2312" w:eastAsia="仿宋_GB2312"/>
      <w:kern w:val="1"/>
      <w:sz w:val="28"/>
    </w:rPr>
  </w:style>
  <w:style w:type="character" w:customStyle="1" w:styleId="10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3">
    <w:name w:val="Heading 1 Char_4fbfef7e-cea6-4148-86f4-e6b3cb02ea6b"/>
    <w:qFormat/>
    <w:uiPriority w:val="6"/>
    <w:rPr>
      <w:rFonts w:ascii="Times New Roman" w:hAnsi="Times New Roman" w:eastAsia="黑体" w:cs="Times New Roman"/>
      <w:b/>
      <w:kern w:val="0"/>
      <w:sz w:val="24"/>
      <w:szCs w:val="24"/>
    </w:rPr>
  </w:style>
  <w:style w:type="character" w:customStyle="1" w:styleId="104">
    <w:name w:val="U_正文 Char"/>
    <w:link w:val="105"/>
    <w:qFormat/>
    <w:uiPriority w:val="0"/>
    <w:rPr>
      <w:sz w:val="24"/>
      <w:szCs w:val="24"/>
    </w:rPr>
  </w:style>
  <w:style w:type="paragraph" w:customStyle="1" w:styleId="105">
    <w:name w:val="U_正文"/>
    <w:basedOn w:val="1"/>
    <w:link w:val="104"/>
    <w:qFormat/>
    <w:uiPriority w:val="0"/>
    <w:pPr>
      <w:adjustRightInd/>
      <w:spacing w:beforeLines="20" w:afterLines="20" w:line="300" w:lineRule="auto"/>
      <w:ind w:firstLine="200" w:firstLineChars="200"/>
    </w:pPr>
    <w:rPr>
      <w:kern w:val="0"/>
      <w:sz w:val="24"/>
    </w:rPr>
  </w:style>
  <w:style w:type="character" w:customStyle="1" w:styleId="106">
    <w:name w:val="HTML 地址 Char1"/>
    <w:qFormat/>
    <w:uiPriority w:val="0"/>
    <w:rPr>
      <w:rFonts w:ascii="Times New Roman" w:hAnsi="Times New Roman" w:eastAsia="宋体" w:cs="Times New Roman"/>
      <w:i/>
      <w:iCs/>
      <w:szCs w:val="24"/>
    </w:rPr>
  </w:style>
  <w:style w:type="character" w:customStyle="1" w:styleId="107">
    <w:name w:val="批注主题 Char1"/>
    <w:link w:val="62"/>
    <w:qFormat/>
    <w:uiPriority w:val="0"/>
    <w:rPr>
      <w:b/>
      <w:bCs/>
      <w:kern w:val="2"/>
      <w:sz w:val="21"/>
      <w:szCs w:val="24"/>
    </w:rPr>
  </w:style>
  <w:style w:type="character" w:customStyle="1" w:styleId="108">
    <w:name w:val="Char Char51"/>
    <w:qFormat/>
    <w:uiPriority w:val="0"/>
    <w:rPr>
      <w:rFonts w:ascii="宋体" w:hAnsi="Courier New" w:eastAsia="宋体"/>
      <w:kern w:val="2"/>
      <w:sz w:val="21"/>
      <w:lang w:val="en-US" w:eastAsia="zh-CN"/>
    </w:rPr>
  </w:style>
  <w:style w:type="character" w:customStyle="1" w:styleId="109">
    <w:name w:val="表正文 Char"/>
    <w:qFormat/>
    <w:uiPriority w:val="0"/>
    <w:rPr>
      <w:rFonts w:ascii="宋体" w:eastAsia="宋体"/>
      <w:snapToGrid w:val="0"/>
      <w:color w:val="000000"/>
      <w:kern w:val="28"/>
      <w:sz w:val="28"/>
      <w:lang w:val="en-US" w:eastAsia="zh-CN" w:bidi="ar-SA"/>
    </w:rPr>
  </w:style>
  <w:style w:type="character" w:customStyle="1" w:styleId="110">
    <w:name w:val="Char Char34"/>
    <w:qFormat/>
    <w:uiPriority w:val="6"/>
    <w:rPr>
      <w:b/>
      <w:kern w:val="1"/>
      <w:sz w:val="28"/>
      <w:szCs w:val="28"/>
    </w:rPr>
  </w:style>
  <w:style w:type="character" w:customStyle="1" w:styleId="111">
    <w:name w:val="Normal Indent Char"/>
    <w:qFormat/>
    <w:uiPriority w:val="0"/>
    <w:rPr>
      <w:rFonts w:ascii="Calibri" w:hAnsi="Calibri" w:eastAsia="宋体" w:cs="黑体"/>
      <w:snapToGrid w:val="0"/>
      <w:kern w:val="2"/>
      <w:sz w:val="24"/>
      <w:szCs w:val="22"/>
      <w:lang w:val="en-US" w:eastAsia="zh-CN" w:bidi="ar-SA"/>
    </w:rPr>
  </w:style>
  <w:style w:type="character" w:customStyle="1" w:styleId="112">
    <w:name w:val="哈哈正文 Char"/>
    <w:link w:val="113"/>
    <w:qFormat/>
    <w:uiPriority w:val="0"/>
    <w:rPr>
      <w:rFonts w:ascii="宋体" w:hAnsi="宋体" w:eastAsia="宋体"/>
      <w:kern w:val="2"/>
      <w:sz w:val="24"/>
      <w:lang w:bidi="ar-SA"/>
    </w:rPr>
  </w:style>
  <w:style w:type="paragraph" w:customStyle="1" w:styleId="113">
    <w:name w:val="哈哈正文"/>
    <w:basedOn w:val="1"/>
    <w:link w:val="112"/>
    <w:qFormat/>
    <w:uiPriority w:val="0"/>
    <w:pPr>
      <w:adjustRightInd/>
      <w:spacing w:line="360" w:lineRule="auto"/>
      <w:ind w:firstLine="200" w:firstLineChars="200"/>
    </w:pPr>
    <w:rPr>
      <w:rFonts w:ascii="宋体" w:hAnsi="宋体"/>
      <w:sz w:val="24"/>
      <w:szCs w:val="20"/>
    </w:rPr>
  </w:style>
  <w:style w:type="character" w:customStyle="1" w:styleId="114">
    <w:name w:val="未处理的提及1"/>
    <w:qFormat/>
    <w:uiPriority w:val="0"/>
    <w:rPr>
      <w:color w:val="808080"/>
      <w:shd w:val="clear" w:color="auto" w:fill="E6E6E6"/>
    </w:rPr>
  </w:style>
  <w:style w:type="character" w:customStyle="1" w:styleId="115">
    <w:name w:val="txt"/>
    <w:qFormat/>
    <w:uiPriority w:val="0"/>
    <w:rPr>
      <w:rFonts w:ascii="仿宋_GB2312" w:eastAsia="微软雅黑"/>
      <w:b/>
      <w:kern w:val="2"/>
      <w:sz w:val="32"/>
      <w:szCs w:val="32"/>
      <w:lang w:val="en-US" w:eastAsia="zh-CN" w:bidi="ar-SA"/>
    </w:rPr>
  </w:style>
  <w:style w:type="character" w:customStyle="1" w:styleId="116">
    <w:name w:val="二级标题 Char Char"/>
    <w:qFormat/>
    <w:uiPriority w:val="0"/>
    <w:rPr>
      <w:rFonts w:ascii="宋体" w:hAnsi="宋体" w:eastAsia="宋体"/>
      <w:b/>
      <w:snapToGrid w:val="0"/>
      <w:kern w:val="2"/>
      <w:sz w:val="24"/>
      <w:szCs w:val="24"/>
      <w:lang w:val="en-US" w:eastAsia="zh-CN" w:bidi="ar-SA"/>
    </w:rPr>
  </w:style>
  <w:style w:type="character" w:customStyle="1" w:styleId="117">
    <w:name w:val="Char Char32"/>
    <w:qFormat/>
    <w:uiPriority w:val="6"/>
    <w:rPr>
      <w:b/>
      <w:kern w:val="1"/>
      <w:sz w:val="24"/>
      <w:szCs w:val="24"/>
    </w:rPr>
  </w:style>
  <w:style w:type="character" w:customStyle="1" w:styleId="118">
    <w:name w:val="PI Char1"/>
    <w:qFormat/>
    <w:uiPriority w:val="0"/>
    <w:rPr>
      <w:rFonts w:ascii="宋体" w:hAnsi="宋体"/>
      <w:kern w:val="2"/>
      <w:sz w:val="24"/>
      <w:szCs w:val="24"/>
    </w:rPr>
  </w:style>
  <w:style w:type="character" w:customStyle="1" w:styleId="119">
    <w:name w:val="tw4winTerm"/>
    <w:qFormat/>
    <w:uiPriority w:val="0"/>
    <w:rPr>
      <w:color w:val="0000FF"/>
    </w:rPr>
  </w:style>
  <w:style w:type="character" w:customStyle="1" w:styleId="120">
    <w:name w:val="Footer Char_922346d7-e14d-4f93-be9c-abdfe6044c55"/>
    <w:qFormat/>
    <w:uiPriority w:val="0"/>
    <w:rPr>
      <w:rFonts w:eastAsia="宋体"/>
      <w:kern w:val="2"/>
      <w:sz w:val="18"/>
      <w:lang w:val="en-US" w:eastAsia="zh-CN" w:bidi="ar-SA"/>
    </w:rPr>
  </w:style>
  <w:style w:type="character" w:customStyle="1" w:styleId="121">
    <w:name w:val="普通文字 Char Char1"/>
    <w:qFormat/>
    <w:uiPriority w:val="0"/>
    <w:rPr>
      <w:rFonts w:ascii="宋体" w:hAnsi="Courier New"/>
      <w:kern w:val="2"/>
      <w:sz w:val="21"/>
    </w:rPr>
  </w:style>
  <w:style w:type="character" w:customStyle="1" w:styleId="122">
    <w:name w:val="Char Char101"/>
    <w:qFormat/>
    <w:uiPriority w:val="6"/>
    <w:rPr>
      <w:rFonts w:ascii="宋体" w:hAnsi="宋体"/>
      <w:kern w:val="2"/>
      <w:sz w:val="21"/>
      <w:szCs w:val="24"/>
      <w:lang w:val="en-US" w:eastAsia="zh-CN"/>
    </w:rPr>
  </w:style>
  <w:style w:type="character" w:customStyle="1" w:styleId="123">
    <w:name w:val="标题 4 Char"/>
    <w:qFormat/>
    <w:uiPriority w:val="0"/>
    <w:rPr>
      <w:rFonts w:ascii="Arial" w:hAnsi="Arial" w:eastAsia="黑体"/>
      <w:b/>
      <w:kern w:val="2"/>
      <w:sz w:val="28"/>
    </w:rPr>
  </w:style>
  <w:style w:type="character" w:customStyle="1" w:styleId="124">
    <w:name w:val="链接"/>
    <w:qFormat/>
    <w:uiPriority w:val="0"/>
    <w:rPr>
      <w:color w:val="0000FF"/>
      <w:sz w:val="21"/>
      <w:szCs w:val="21"/>
      <w:u w:val="single"/>
    </w:rPr>
  </w:style>
  <w:style w:type="character" w:customStyle="1" w:styleId="125">
    <w:name w:val="h4 Char"/>
    <w:qFormat/>
    <w:uiPriority w:val="0"/>
    <w:rPr>
      <w:rFonts w:ascii="Arial" w:hAnsi="Arial" w:eastAsia="黑体"/>
      <w:b/>
      <w:bCs/>
      <w:kern w:val="2"/>
      <w:sz w:val="28"/>
      <w:szCs w:val="28"/>
      <w:lang w:val="zh-CN" w:eastAsia="zh-CN" w:bidi="ar-SA"/>
    </w:rPr>
  </w:style>
  <w:style w:type="character" w:customStyle="1" w:styleId="126">
    <w:name w:val="5正文 Char"/>
    <w:link w:val="127"/>
    <w:qFormat/>
    <w:uiPriority w:val="0"/>
    <w:rPr>
      <w:rFonts w:ascii="仿宋_GB2312" w:hAnsi="微软雅黑" w:eastAsia="仿宋_GB2312"/>
      <w:sz w:val="28"/>
      <w:szCs w:val="21"/>
    </w:rPr>
  </w:style>
  <w:style w:type="paragraph" w:customStyle="1" w:styleId="127">
    <w:name w:val="5正文"/>
    <w:basedOn w:val="1"/>
    <w:link w:val="12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8">
    <w:name w:val="标题 3 字符"/>
    <w:qFormat/>
    <w:uiPriority w:val="9"/>
    <w:rPr>
      <w:b/>
      <w:bCs/>
      <w:kern w:val="2"/>
      <w:sz w:val="32"/>
      <w:szCs w:val="32"/>
    </w:rPr>
  </w:style>
  <w:style w:type="character" w:customStyle="1" w:styleId="129">
    <w:name w:val="样式6 Char"/>
    <w:qFormat/>
    <w:uiPriority w:val="0"/>
    <w:rPr>
      <w:rFonts w:ascii="仿宋_GB2312" w:hAnsi="宋体" w:eastAsia="仿宋_GB2312"/>
      <w:b/>
      <w:bCs/>
      <w:kern w:val="2"/>
      <w:sz w:val="24"/>
      <w:szCs w:val="24"/>
      <w:lang w:val="en-US" w:eastAsia="zh-CN" w:bidi="ar-SA"/>
    </w:rPr>
  </w:style>
  <w:style w:type="character" w:customStyle="1" w:styleId="130">
    <w:name w:val="Char Char14"/>
    <w:qFormat/>
    <w:uiPriority w:val="6"/>
    <w:rPr>
      <w:rFonts w:ascii="黑体" w:hAnsi="黑体" w:eastAsia="黑体"/>
    </w:rPr>
  </w:style>
  <w:style w:type="character" w:customStyle="1" w:styleId="131">
    <w:name w:val="Heading 2 Hidden Char"/>
    <w:qFormat/>
    <w:uiPriority w:val="0"/>
    <w:rPr>
      <w:rFonts w:ascii="仿宋_GB2312" w:eastAsia="仿宋_GB2312"/>
      <w:b/>
      <w:bCs/>
      <w:kern w:val="2"/>
      <w:sz w:val="24"/>
      <w:szCs w:val="24"/>
      <w:lang w:val="zh-CN" w:eastAsia="zh-CN" w:bidi="ar-SA"/>
    </w:rPr>
  </w:style>
  <w:style w:type="character" w:customStyle="1" w:styleId="132">
    <w:name w:val="正文首行缩进 2 Char"/>
    <w:link w:val="64"/>
    <w:qFormat/>
    <w:uiPriority w:val="0"/>
    <w:rPr>
      <w:rFonts w:ascii="宋体" w:hAnsi="宋体"/>
      <w:kern w:val="2"/>
      <w:sz w:val="21"/>
      <w:szCs w:val="24"/>
    </w:rPr>
  </w:style>
  <w:style w:type="character" w:customStyle="1" w:styleId="133">
    <w:name w:val="font11"/>
    <w:qFormat/>
    <w:uiPriority w:val="0"/>
    <w:rPr>
      <w:rFonts w:hint="default" w:ascii="Times New Roman" w:hAnsi="Times New Roman" w:cs="Times New Roman"/>
      <w:color w:val="000000"/>
      <w:sz w:val="22"/>
      <w:szCs w:val="22"/>
      <w:u w:val="none"/>
    </w:rPr>
  </w:style>
  <w:style w:type="character" w:customStyle="1" w:styleId="134">
    <w:name w:val="表正文 Char1"/>
    <w:qFormat/>
    <w:uiPriority w:val="0"/>
    <w:rPr>
      <w:rFonts w:ascii="宋体" w:eastAsia="宋体"/>
      <w:snapToGrid w:val="0"/>
      <w:color w:val="000000"/>
      <w:kern w:val="28"/>
      <w:sz w:val="28"/>
    </w:rPr>
  </w:style>
  <w:style w:type="character" w:customStyle="1" w:styleId="135">
    <w:name w:val="blue1"/>
    <w:basedOn w:val="79"/>
    <w:qFormat/>
    <w:uiPriority w:val="0"/>
    <w:rPr>
      <w:rFonts w:ascii="Arial" w:hAnsi="Arial" w:eastAsia="黑体" w:cs="Arial"/>
      <w:snapToGrid w:val="0"/>
      <w:kern w:val="0"/>
      <w:szCs w:val="21"/>
    </w:rPr>
  </w:style>
  <w:style w:type="character" w:customStyle="1" w:styleId="13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7">
    <w:name w:val="标书1 Char"/>
    <w:qFormat/>
    <w:uiPriority w:val="0"/>
    <w:rPr>
      <w:rFonts w:eastAsia="宋体"/>
      <w:b/>
      <w:bCs/>
      <w:kern w:val="44"/>
      <w:sz w:val="44"/>
      <w:szCs w:val="44"/>
      <w:lang w:val="en-US" w:eastAsia="zh-CN" w:bidi="ar-SA"/>
    </w:rPr>
  </w:style>
  <w:style w:type="character" w:customStyle="1" w:styleId="138">
    <w:name w:val="样式5 Char"/>
    <w:qFormat/>
    <w:uiPriority w:val="0"/>
    <w:rPr>
      <w:rFonts w:ascii="仿宋_GB2312" w:hAnsi="仿宋" w:eastAsia="仿宋_GB2312"/>
      <w:kern w:val="2"/>
      <w:sz w:val="24"/>
      <w:szCs w:val="24"/>
    </w:rPr>
  </w:style>
  <w:style w:type="character" w:customStyle="1" w:styleId="139">
    <w:name w:val="样式4 Char"/>
    <w:qFormat/>
    <w:uiPriority w:val="0"/>
    <w:rPr>
      <w:rFonts w:ascii="仿宋_GB2312" w:hAnsi="仿宋" w:eastAsia="仿宋_GB2312"/>
      <w:b/>
      <w:kern w:val="2"/>
      <w:sz w:val="32"/>
      <w:szCs w:val="32"/>
      <w:lang w:bidi="ar-SA"/>
    </w:rPr>
  </w:style>
  <w:style w:type="character" w:customStyle="1" w:styleId="140">
    <w:name w:val="插图说明 Char"/>
    <w:qFormat/>
    <w:uiPriority w:val="0"/>
    <w:rPr>
      <w:rFonts w:eastAsia="黑体"/>
      <w:sz w:val="24"/>
      <w:lang w:val="en-US" w:eastAsia="zh-CN"/>
    </w:rPr>
  </w:style>
  <w:style w:type="character" w:customStyle="1" w:styleId="141">
    <w:name w:val="正文2 Char Char"/>
    <w:link w:val="142"/>
    <w:qFormat/>
    <w:uiPriority w:val="0"/>
    <w:rPr>
      <w:rFonts w:eastAsia="宋体"/>
      <w:kern w:val="2"/>
      <w:sz w:val="24"/>
      <w:lang w:val="en-US" w:eastAsia="zh-CN" w:bidi="ar-SA"/>
    </w:rPr>
  </w:style>
  <w:style w:type="paragraph" w:customStyle="1" w:styleId="142">
    <w:name w:val="正文2"/>
    <w:basedOn w:val="1"/>
    <w:link w:val="141"/>
    <w:qFormat/>
    <w:uiPriority w:val="0"/>
    <w:pPr>
      <w:spacing w:before="156" w:line="360" w:lineRule="auto"/>
      <w:ind w:firstLine="510" w:firstLineChars="200"/>
    </w:pPr>
    <w:rPr>
      <w:sz w:val="24"/>
      <w:szCs w:val="20"/>
    </w:rPr>
  </w:style>
  <w:style w:type="character" w:customStyle="1" w:styleId="143">
    <w:name w:val="Char Char24"/>
    <w:qFormat/>
    <w:uiPriority w:val="6"/>
    <w:rPr>
      <w:kern w:val="1"/>
      <w:sz w:val="21"/>
    </w:rPr>
  </w:style>
  <w:style w:type="character" w:customStyle="1" w:styleId="144">
    <w:name w:val="副标题 Char"/>
    <w:link w:val="49"/>
    <w:qFormat/>
    <w:uiPriority w:val="0"/>
    <w:rPr>
      <w:rFonts w:ascii="Arial" w:hAnsi="Arial" w:eastAsia="隶书"/>
      <w:b/>
      <w:bCs/>
      <w:kern w:val="28"/>
      <w:sz w:val="44"/>
      <w:szCs w:val="32"/>
      <w:lang w:val="en-US" w:eastAsia="zh-CN" w:bidi="ar-SA"/>
    </w:rPr>
  </w:style>
  <w:style w:type="character" w:customStyle="1" w:styleId="145">
    <w:name w:val="普通文字 Char1 Char"/>
    <w:qFormat/>
    <w:uiPriority w:val="0"/>
    <w:rPr>
      <w:rFonts w:ascii="宋体" w:hAnsi="Courier New" w:eastAsia="宋体"/>
      <w:kern w:val="2"/>
      <w:sz w:val="21"/>
      <w:szCs w:val="24"/>
      <w:lang w:val="en-US" w:eastAsia="zh-CN" w:bidi="ar-SA"/>
    </w:rPr>
  </w:style>
  <w:style w:type="character" w:customStyle="1" w:styleId="146">
    <w:name w:val="h3 Char1"/>
    <w:qFormat/>
    <w:uiPriority w:val="0"/>
    <w:rPr>
      <w:rFonts w:eastAsia="宋体"/>
      <w:b/>
      <w:bCs/>
      <w:kern w:val="2"/>
      <w:sz w:val="32"/>
      <w:szCs w:val="32"/>
      <w:lang w:bidi="ar-SA"/>
    </w:rPr>
  </w:style>
  <w:style w:type="character" w:customStyle="1" w:styleId="147">
    <w:name w:val="标题 Char1"/>
    <w:qFormat/>
    <w:uiPriority w:val="0"/>
    <w:rPr>
      <w:rFonts w:ascii="Cambria" w:hAnsi="Cambria" w:eastAsia="宋体" w:cs="Times New Roman"/>
      <w:b/>
      <w:bCs/>
      <w:sz w:val="32"/>
      <w:szCs w:val="32"/>
      <w:lang w:bidi="ar-SA"/>
    </w:rPr>
  </w:style>
  <w:style w:type="character" w:customStyle="1" w:styleId="148">
    <w:name w:val="gf正文1 Char"/>
    <w:qFormat/>
    <w:uiPriority w:val="0"/>
    <w:rPr>
      <w:rFonts w:ascii="宋体" w:hAnsi="宋体" w:eastAsia="宋体" w:cs="宋体"/>
      <w:kern w:val="2"/>
      <w:sz w:val="24"/>
      <w:szCs w:val="24"/>
      <w:lang w:val="en-US" w:eastAsia="zh-CN" w:bidi="ar-SA"/>
    </w:rPr>
  </w:style>
  <w:style w:type="character" w:customStyle="1" w:styleId="149">
    <w:name w:val="正文文本缩进 Char1"/>
    <w:qFormat/>
    <w:uiPriority w:val="0"/>
    <w:rPr>
      <w:rFonts w:ascii="Calibri" w:hAnsi="Calibri"/>
      <w:sz w:val="28"/>
    </w:rPr>
  </w:style>
  <w:style w:type="character" w:customStyle="1" w:styleId="150">
    <w:name w:val="No Spacing Char"/>
    <w:link w:val="151"/>
    <w:qFormat/>
    <w:uiPriority w:val="1"/>
    <w:rPr>
      <w:sz w:val="22"/>
      <w:szCs w:val="22"/>
      <w:lang w:val="en-US" w:eastAsia="zh-CN" w:bidi="ar-SA"/>
    </w:rPr>
  </w:style>
  <w:style w:type="paragraph" w:customStyle="1" w:styleId="151">
    <w:name w:val="无间隔1"/>
    <w:link w:val="150"/>
    <w:qFormat/>
    <w:uiPriority w:val="1"/>
    <w:rPr>
      <w:rFonts w:ascii="Times New Roman" w:hAnsi="Times New Roman" w:eastAsia="宋体" w:cs="Times New Roman"/>
      <w:sz w:val="22"/>
      <w:szCs w:val="22"/>
      <w:lang w:val="en-US" w:eastAsia="zh-CN" w:bidi="ar-SA"/>
    </w:rPr>
  </w:style>
  <w:style w:type="character" w:customStyle="1" w:styleId="152">
    <w:name w:val="样式7 Char"/>
    <w:qFormat/>
    <w:uiPriority w:val="0"/>
    <w:rPr>
      <w:rFonts w:ascii="仿宋_GB2312" w:hAnsi="仿宋" w:eastAsia="仿宋_GB2312"/>
      <w:b/>
      <w:kern w:val="2"/>
      <w:sz w:val="24"/>
      <w:szCs w:val="24"/>
    </w:rPr>
  </w:style>
  <w:style w:type="character" w:customStyle="1" w:styleId="153">
    <w:name w:val="font12gray1"/>
    <w:qFormat/>
    <w:uiPriority w:val="0"/>
    <w:rPr>
      <w:rFonts w:ascii="仿宋_GB2312" w:eastAsia="微软雅黑"/>
      <w:b/>
      <w:spacing w:val="300"/>
      <w:kern w:val="2"/>
      <w:sz w:val="18"/>
      <w:szCs w:val="18"/>
      <w:lang w:val="en-US" w:eastAsia="zh-CN" w:bidi="ar-SA"/>
    </w:rPr>
  </w:style>
  <w:style w:type="character" w:customStyle="1" w:styleId="154">
    <w:name w:val="Char Char7"/>
    <w:qFormat/>
    <w:uiPriority w:val="0"/>
    <w:rPr>
      <w:rFonts w:eastAsia="宋体"/>
      <w:kern w:val="2"/>
      <w:sz w:val="21"/>
      <w:szCs w:val="24"/>
      <w:lang w:val="en-US" w:eastAsia="zh-CN" w:bidi="ar-SA"/>
    </w:rPr>
  </w:style>
  <w:style w:type="character" w:customStyle="1" w:styleId="155">
    <w:name w:val="表名 Char"/>
    <w:qFormat/>
    <w:uiPriority w:val="0"/>
    <w:rPr>
      <w:rFonts w:eastAsia="宋体"/>
      <w:b/>
      <w:bCs/>
      <w:kern w:val="2"/>
      <w:sz w:val="24"/>
      <w:szCs w:val="24"/>
      <w:lang w:val="en-US" w:eastAsia="zh-CN" w:bidi="ar-SA"/>
    </w:rPr>
  </w:style>
  <w:style w:type="character" w:customStyle="1" w:styleId="156">
    <w:name w:val="Document Map Char"/>
    <w:qFormat/>
    <w:uiPriority w:val="0"/>
    <w:rPr>
      <w:rFonts w:eastAsia="宋体"/>
      <w:kern w:val="2"/>
      <w:sz w:val="21"/>
      <w:szCs w:val="24"/>
      <w:lang w:val="en-US" w:eastAsia="zh-CN" w:bidi="ar-SA"/>
    </w:rPr>
  </w:style>
  <w:style w:type="character" w:customStyle="1" w:styleId="157">
    <w:name w:val="font41"/>
    <w:basedOn w:val="79"/>
    <w:qFormat/>
    <w:uiPriority w:val="0"/>
    <w:rPr>
      <w:rFonts w:hint="eastAsia" w:ascii="仿宋_GB2312" w:eastAsia="仿宋_GB2312" w:cs="仿宋_GB2312"/>
      <w:color w:val="000000"/>
      <w:sz w:val="22"/>
      <w:szCs w:val="22"/>
      <w:u w:val="none"/>
    </w:rPr>
  </w:style>
  <w:style w:type="character" w:customStyle="1" w:styleId="158">
    <w:name w:val="标题 6 Char"/>
    <w:link w:val="8"/>
    <w:qFormat/>
    <w:uiPriority w:val="0"/>
    <w:rPr>
      <w:rFonts w:ascii="Arial" w:hAnsi="Arial" w:eastAsia="黑体"/>
      <w:b/>
      <w:bCs/>
      <w:kern w:val="2"/>
      <w:sz w:val="24"/>
      <w:szCs w:val="24"/>
    </w:rPr>
  </w:style>
  <w:style w:type="character" w:customStyle="1" w:styleId="159">
    <w:name w:val="纯文本 Char_0"/>
    <w:link w:val="160"/>
    <w:qFormat/>
    <w:uiPriority w:val="0"/>
    <w:rPr>
      <w:rFonts w:ascii="宋体" w:hAnsi="Courier New"/>
      <w:kern w:val="2"/>
      <w:sz w:val="21"/>
      <w:szCs w:val="21"/>
      <w:lang w:val="en-US" w:eastAsia="zh-CN"/>
    </w:rPr>
  </w:style>
  <w:style w:type="paragraph" w:customStyle="1" w:styleId="160">
    <w:name w:val="纯文本_0_0"/>
    <w:basedOn w:val="161"/>
    <w:link w:val="159"/>
    <w:qFormat/>
    <w:uiPriority w:val="0"/>
    <w:rPr>
      <w:rFonts w:ascii="宋体" w:hAnsi="Courier New"/>
      <w:szCs w:val="21"/>
    </w:rPr>
  </w:style>
  <w:style w:type="paragraph" w:customStyle="1" w:styleId="16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Balloon Text Char"/>
    <w:qFormat/>
    <w:uiPriority w:val="0"/>
    <w:rPr>
      <w:rFonts w:eastAsia="宋体"/>
      <w:kern w:val="2"/>
      <w:sz w:val="18"/>
      <w:szCs w:val="18"/>
      <w:lang w:val="en-US" w:eastAsia="zh-CN" w:bidi="ar-SA"/>
    </w:rPr>
  </w:style>
  <w:style w:type="character" w:customStyle="1" w:styleId="163">
    <w:name w:val="正文 项目2 Char"/>
    <w:basedOn w:val="164"/>
    <w:qFormat/>
    <w:uiPriority w:val="0"/>
    <w:rPr>
      <w:rFonts w:ascii="仿宋_GB2312" w:hAnsi="仿宋_GB2312" w:eastAsia="仿宋_GB2312"/>
      <w:kern w:val="2"/>
      <w:sz w:val="24"/>
      <w:lang w:bidi="ar-SA"/>
    </w:rPr>
  </w:style>
  <w:style w:type="character" w:customStyle="1" w:styleId="164">
    <w:name w:val="正文 项目 Char"/>
    <w:qFormat/>
    <w:uiPriority w:val="0"/>
    <w:rPr>
      <w:rFonts w:ascii="仿宋_GB2312" w:hAnsi="仿宋_GB2312" w:eastAsia="仿宋_GB2312"/>
      <w:kern w:val="2"/>
      <w:sz w:val="24"/>
      <w:lang w:bidi="ar-SA"/>
    </w:rPr>
  </w:style>
  <w:style w:type="character" w:customStyle="1" w:styleId="165">
    <w:name w:val="h Char Char1"/>
    <w:qFormat/>
    <w:uiPriority w:val="0"/>
    <w:rPr>
      <w:rFonts w:eastAsia="宋体"/>
      <w:kern w:val="2"/>
      <w:sz w:val="18"/>
      <w:szCs w:val="18"/>
      <w:lang w:val="en-US" w:eastAsia="zh-CN" w:bidi="ar-SA"/>
    </w:rPr>
  </w:style>
  <w:style w:type="character" w:customStyle="1" w:styleId="166">
    <w:name w:val="Char Char27"/>
    <w:qFormat/>
    <w:uiPriority w:val="6"/>
    <w:rPr>
      <w:rFonts w:ascii="宋体" w:hAnsi="宋体" w:eastAsia="宋体"/>
      <w:color w:val="000000"/>
      <w:kern w:val="1"/>
      <w:sz w:val="28"/>
      <w:lang w:val="en-US" w:eastAsia="zh-CN" w:bidi="ar-SA"/>
    </w:rPr>
  </w:style>
  <w:style w:type="character" w:customStyle="1" w:styleId="167">
    <w:name w:val="px14"/>
    <w:qFormat/>
    <w:uiPriority w:val="0"/>
    <w:rPr>
      <w:rFonts w:ascii="仿宋_GB2312" w:eastAsia="微软雅黑" w:cs="Times New Roman"/>
      <w:b/>
      <w:kern w:val="2"/>
      <w:sz w:val="32"/>
      <w:szCs w:val="32"/>
      <w:lang w:val="en-US" w:eastAsia="zh-CN" w:bidi="ar-SA"/>
    </w:rPr>
  </w:style>
  <w:style w:type="character" w:customStyle="1" w:styleId="168">
    <w:name w:val="HTML 预设格式 Char1"/>
    <w:qFormat/>
    <w:uiPriority w:val="0"/>
    <w:rPr>
      <w:rFonts w:ascii="Courier New" w:hAnsi="Courier New" w:eastAsia="宋体" w:cs="Courier New"/>
      <w:sz w:val="20"/>
      <w:szCs w:val="20"/>
    </w:rPr>
  </w:style>
  <w:style w:type="character" w:customStyle="1" w:styleId="169">
    <w:name w:val="普通文字 Char1"/>
    <w:qFormat/>
    <w:uiPriority w:val="0"/>
    <w:rPr>
      <w:rFonts w:ascii="宋体" w:hAnsi="Courier New" w:eastAsia="宋体"/>
      <w:kern w:val="2"/>
      <w:sz w:val="21"/>
      <w:lang w:val="en-US" w:eastAsia="zh-CN"/>
    </w:rPr>
  </w:style>
  <w:style w:type="character" w:customStyle="1" w:styleId="170">
    <w:name w:val="hei16b1"/>
    <w:qFormat/>
    <w:uiPriority w:val="0"/>
    <w:rPr>
      <w:rFonts w:hint="default" w:ascii="Arial" w:hAnsi="Arial" w:cs="Arial"/>
      <w:b/>
      <w:bCs/>
      <w:color w:val="000000"/>
      <w:sz w:val="24"/>
      <w:szCs w:val="24"/>
    </w:rPr>
  </w:style>
  <w:style w:type="character" w:customStyle="1" w:styleId="171">
    <w:name w:val="正文（绿盟科技） Char"/>
    <w:link w:val="172"/>
    <w:qFormat/>
    <w:uiPriority w:val="0"/>
    <w:rPr>
      <w:rFonts w:ascii="Arial" w:hAnsi="Arial"/>
      <w:sz w:val="21"/>
      <w:szCs w:val="21"/>
    </w:rPr>
  </w:style>
  <w:style w:type="paragraph" w:customStyle="1" w:styleId="172">
    <w:name w:val="正文（绿盟科技）"/>
    <w:link w:val="171"/>
    <w:qFormat/>
    <w:uiPriority w:val="0"/>
    <w:pPr>
      <w:spacing w:line="300" w:lineRule="auto"/>
    </w:pPr>
    <w:rPr>
      <w:rFonts w:ascii="Arial" w:hAnsi="Arial" w:eastAsia="宋体" w:cs="Times New Roman"/>
      <w:sz w:val="21"/>
      <w:szCs w:val="21"/>
      <w:lang w:val="en-US" w:eastAsia="zh-CN" w:bidi="ar-SA"/>
    </w:rPr>
  </w:style>
  <w:style w:type="character" w:customStyle="1" w:styleId="173">
    <w:name w:val="Char Char19"/>
    <w:qFormat/>
    <w:uiPriority w:val="6"/>
    <w:rPr>
      <w:rFonts w:ascii="宋体" w:hAnsi="宋体"/>
      <w:i/>
      <w:sz w:val="24"/>
      <w:szCs w:val="24"/>
    </w:rPr>
  </w:style>
  <w:style w:type="character" w:customStyle="1" w:styleId="174">
    <w:name w:val="页脚 Char"/>
    <w:qFormat/>
    <w:uiPriority w:val="0"/>
    <w:rPr>
      <w:rFonts w:eastAsia="仿宋_GB2312"/>
      <w:kern w:val="2"/>
      <w:sz w:val="18"/>
      <w:lang w:val="en-US" w:eastAsia="zh-CN"/>
    </w:rPr>
  </w:style>
  <w:style w:type="character" w:customStyle="1" w:styleId="175">
    <w:name w:val="批注主题 Char"/>
    <w:qFormat/>
    <w:uiPriority w:val="0"/>
    <w:rPr>
      <w:rFonts w:eastAsia="宋体"/>
      <w:b/>
      <w:bCs/>
      <w:kern w:val="2"/>
      <w:sz w:val="21"/>
      <w:szCs w:val="24"/>
      <w:lang w:val="en-US" w:eastAsia="zh-CN" w:bidi="ar-SA"/>
    </w:rPr>
  </w:style>
  <w:style w:type="character" w:customStyle="1" w:styleId="176">
    <w:name w:val="Comment Text Char"/>
    <w:qFormat/>
    <w:uiPriority w:val="0"/>
    <w:rPr>
      <w:rFonts w:ascii="宋体" w:hAnsi="宋体" w:eastAsia="宋体"/>
      <w:kern w:val="2"/>
      <w:sz w:val="24"/>
      <w:lang w:val="en-US" w:eastAsia="zh-CN" w:bidi="ar-SA"/>
    </w:rPr>
  </w:style>
  <w:style w:type="character" w:customStyle="1" w:styleId="177">
    <w:name w:val="标题 2 字符"/>
    <w:qFormat/>
    <w:uiPriority w:val="1"/>
    <w:rPr>
      <w:rFonts w:ascii="仿宋_GB2312" w:hAnsi="Times New Roman" w:eastAsia="仿宋_GB2312" w:cs="Times New Roman"/>
      <w:b/>
      <w:kern w:val="2"/>
      <w:sz w:val="24"/>
      <w:lang w:val="zh-CN"/>
    </w:rPr>
  </w:style>
  <w:style w:type="character" w:customStyle="1" w:styleId="178">
    <w:name w:val="Char Char72"/>
    <w:qFormat/>
    <w:uiPriority w:val="0"/>
    <w:rPr>
      <w:rFonts w:eastAsia="宋体"/>
      <w:kern w:val="2"/>
      <w:sz w:val="21"/>
      <w:szCs w:val="24"/>
      <w:lang w:val="en-US" w:eastAsia="zh-CN" w:bidi="ar-SA"/>
    </w:rPr>
  </w:style>
  <w:style w:type="character" w:customStyle="1" w:styleId="179">
    <w:name w:val="正文文本缩进 Char2"/>
    <w:qFormat/>
    <w:uiPriority w:val="0"/>
    <w:rPr>
      <w:rFonts w:ascii="Times New Roman" w:hAnsi="Times New Roman" w:eastAsia="宋体" w:cs="Times New Roman"/>
      <w:snapToGrid w:val="0"/>
      <w:kern w:val="0"/>
      <w:szCs w:val="24"/>
    </w:rPr>
  </w:style>
  <w:style w:type="character" w:customStyle="1" w:styleId="180">
    <w:name w:val="样式2 Char"/>
    <w:qFormat/>
    <w:uiPriority w:val="0"/>
    <w:rPr>
      <w:rFonts w:ascii="仿宋_GB2312" w:hAnsi="仿宋" w:eastAsia="仿宋_GB2312" w:cs="仿宋_GB2312"/>
      <w:b/>
      <w:bCs/>
      <w:sz w:val="32"/>
      <w:szCs w:val="30"/>
      <w:lang w:val="zh-CN"/>
    </w:rPr>
  </w:style>
  <w:style w:type="character" w:customStyle="1" w:styleId="181">
    <w:name w:val="表格名称[858D7CFB-ED40-4347-BF05-701D383B685F]"/>
    <w:link w:val="182"/>
    <w:qFormat/>
    <w:uiPriority w:val="0"/>
    <w:rPr>
      <w:sz w:val="32"/>
    </w:rPr>
  </w:style>
  <w:style w:type="paragraph" w:customStyle="1" w:styleId="182">
    <w:name w:val="表格名称"/>
    <w:basedOn w:val="3"/>
    <w:link w:val="18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3">
    <w:name w:val="Char Char4"/>
    <w:qFormat/>
    <w:uiPriority w:val="0"/>
    <w:rPr>
      <w:rFonts w:eastAsia="宋体"/>
      <w:b/>
      <w:sz w:val="24"/>
      <w:lang w:val="en-GB" w:eastAsia="zh-CN" w:bidi="ar-SA"/>
    </w:rPr>
  </w:style>
  <w:style w:type="character" w:customStyle="1" w:styleId="184">
    <w:name w:val="c7 style3"/>
    <w:qFormat/>
    <w:uiPriority w:val="0"/>
  </w:style>
  <w:style w:type="character" w:customStyle="1" w:styleId="185">
    <w:name w:val="正文文本 3 Char1"/>
    <w:qFormat/>
    <w:uiPriority w:val="99"/>
    <w:rPr>
      <w:rFonts w:ascii="Times New Roman" w:hAnsi="Times New Roman" w:eastAsia="宋体" w:cs="Times New Roman"/>
      <w:sz w:val="16"/>
      <w:szCs w:val="16"/>
    </w:rPr>
  </w:style>
  <w:style w:type="character" w:customStyle="1" w:styleId="186">
    <w:name w:val="tw4winInternal"/>
    <w:qFormat/>
    <w:uiPriority w:val="0"/>
    <w:rPr>
      <w:rFonts w:ascii="Courier New" w:hAnsi="Courier New" w:cs="Courier New"/>
      <w:color w:val="FF0000"/>
      <w:lang w:val="en-US" w:eastAsia="zh-CN"/>
    </w:rPr>
  </w:style>
  <w:style w:type="character" w:customStyle="1" w:styleId="187">
    <w:name w:val="Char Char10"/>
    <w:qFormat/>
    <w:uiPriority w:val="0"/>
    <w:rPr>
      <w:rFonts w:ascii="宋体" w:hAnsi="宋体"/>
      <w:kern w:val="2"/>
      <w:sz w:val="21"/>
      <w:szCs w:val="24"/>
      <w:lang w:val="en-US" w:eastAsia="zh-CN"/>
    </w:rPr>
  </w:style>
  <w:style w:type="character" w:customStyle="1" w:styleId="188">
    <w:name w:val="shadow11"/>
    <w:qFormat/>
    <w:uiPriority w:val="0"/>
    <w:rPr>
      <w:color w:val="000000"/>
      <w:sz w:val="21"/>
    </w:rPr>
  </w:style>
  <w:style w:type="character" w:customStyle="1" w:styleId="189">
    <w:name w:val="正文非缩进 Char3"/>
    <w:qFormat/>
    <w:uiPriority w:val="0"/>
    <w:rPr>
      <w:rFonts w:ascii="宋体" w:eastAsia="宋体"/>
      <w:snapToGrid w:val="0"/>
      <w:color w:val="000000"/>
      <w:kern w:val="28"/>
      <w:sz w:val="28"/>
      <w:lang w:val="en-US" w:eastAsia="zh-CN" w:bidi="ar-SA"/>
    </w:rPr>
  </w:style>
  <w:style w:type="character" w:customStyle="1" w:styleId="190">
    <w:name w:val="Char Char"/>
    <w:qFormat/>
    <w:uiPriority w:val="0"/>
    <w:rPr>
      <w:rFonts w:ascii="宋体" w:hAnsi="Courier New" w:eastAsia="宋体"/>
      <w:kern w:val="2"/>
      <w:sz w:val="21"/>
      <w:lang w:val="en-US" w:eastAsia="zh-CN" w:bidi="ar-SA"/>
    </w:rPr>
  </w:style>
  <w:style w:type="character" w:customStyle="1" w:styleId="191">
    <w:name w:val="签名 Char1"/>
    <w:qFormat/>
    <w:uiPriority w:val="0"/>
    <w:rPr>
      <w:rFonts w:ascii="Times New Roman" w:hAnsi="Times New Roman" w:eastAsia="宋体" w:cs="Times New Roman"/>
      <w:szCs w:val="24"/>
    </w:rPr>
  </w:style>
  <w:style w:type="character" w:customStyle="1" w:styleId="192">
    <w:name w:val="日期 Char"/>
    <w:link w:val="37"/>
    <w:qFormat/>
    <w:uiPriority w:val="0"/>
    <w:rPr>
      <w:rFonts w:ascii="宋体"/>
      <w:kern w:val="2"/>
      <w:sz w:val="24"/>
      <w:szCs w:val="21"/>
      <w:lang w:val="zh-CN"/>
    </w:rPr>
  </w:style>
  <w:style w:type="character" w:customStyle="1" w:styleId="193">
    <w:name w:val="标题 9 Char"/>
    <w:link w:val="11"/>
    <w:qFormat/>
    <w:uiPriority w:val="0"/>
    <w:rPr>
      <w:rFonts w:ascii="Arial" w:hAnsi="Arial" w:eastAsia="黑体"/>
      <w:kern w:val="2"/>
      <w:sz w:val="21"/>
      <w:szCs w:val="21"/>
    </w:rPr>
  </w:style>
  <w:style w:type="character" w:customStyle="1" w:styleId="194">
    <w:name w:val="Char Char18"/>
    <w:qFormat/>
    <w:uiPriority w:val="6"/>
    <w:rPr>
      <w:rFonts w:ascii="宋体" w:hAnsi="宋体"/>
      <w:sz w:val="28"/>
    </w:rPr>
  </w:style>
  <w:style w:type="character" w:customStyle="1" w:styleId="195">
    <w:name w:val="批注文字 Char"/>
    <w:qFormat/>
    <w:uiPriority w:val="0"/>
    <w:rPr>
      <w:kern w:val="2"/>
      <w:sz w:val="21"/>
      <w:szCs w:val="24"/>
    </w:rPr>
  </w:style>
  <w:style w:type="character" w:customStyle="1" w:styleId="196">
    <w:name w:val="Char Char22"/>
    <w:qFormat/>
    <w:uiPriority w:val="6"/>
    <w:rPr>
      <w:rFonts w:ascii="宋体" w:hAnsi="宋体"/>
      <w:kern w:val="1"/>
      <w:sz w:val="24"/>
      <w:szCs w:val="24"/>
    </w:rPr>
  </w:style>
  <w:style w:type="character" w:customStyle="1" w:styleId="197">
    <w:name w:val="pt141"/>
    <w:qFormat/>
    <w:uiPriority w:val="0"/>
    <w:rPr>
      <w:color w:val="330066"/>
      <w:sz w:val="22"/>
      <w:szCs w:val="22"/>
    </w:rPr>
  </w:style>
  <w:style w:type="character" w:customStyle="1" w:styleId="198">
    <w:name w:val="正文文本缩进 2 Char1"/>
    <w:qFormat/>
    <w:uiPriority w:val="99"/>
    <w:rPr>
      <w:rFonts w:ascii="Times New Roman" w:hAnsi="Times New Roman" w:eastAsia="宋体" w:cs="Times New Roman"/>
      <w:szCs w:val="24"/>
    </w:rPr>
  </w:style>
  <w:style w:type="character" w:customStyle="1" w:styleId="199">
    <w:name w:val="批注框文本 Char"/>
    <w:link w:val="40"/>
    <w:qFormat/>
    <w:uiPriority w:val="0"/>
    <w:rPr>
      <w:kern w:val="2"/>
      <w:sz w:val="18"/>
      <w:szCs w:val="18"/>
    </w:rPr>
  </w:style>
  <w:style w:type="character" w:customStyle="1" w:styleId="200">
    <w:name w:val="Char Char611"/>
    <w:qFormat/>
    <w:uiPriority w:val="0"/>
    <w:rPr>
      <w:rFonts w:eastAsia="宋体"/>
      <w:kern w:val="2"/>
      <w:sz w:val="21"/>
      <w:szCs w:val="24"/>
      <w:lang w:val="en-US" w:eastAsia="zh-CN" w:bidi="ar-SA"/>
    </w:rPr>
  </w:style>
  <w:style w:type="character" w:customStyle="1" w:styleId="201">
    <w:name w:val="highlight1"/>
    <w:qFormat/>
    <w:uiPriority w:val="0"/>
    <w:rPr>
      <w:rFonts w:ascii="仿宋_GB2312" w:eastAsia="微软雅黑"/>
      <w:b/>
      <w:kern w:val="2"/>
      <w:sz w:val="23"/>
      <w:szCs w:val="23"/>
      <w:lang w:val="en-US" w:eastAsia="zh-CN" w:bidi="ar-SA"/>
    </w:rPr>
  </w:style>
  <w:style w:type="character" w:customStyle="1" w:styleId="202">
    <w:name w:val="my正文 Char"/>
    <w:link w:val="203"/>
    <w:qFormat/>
    <w:uiPriority w:val="0"/>
    <w:rPr>
      <w:rFonts w:ascii="Tahoma" w:hAnsi="Tahoma"/>
      <w:sz w:val="24"/>
      <w:szCs w:val="24"/>
    </w:rPr>
  </w:style>
  <w:style w:type="paragraph" w:customStyle="1" w:styleId="203">
    <w:name w:val="my正文"/>
    <w:basedOn w:val="1"/>
    <w:link w:val="202"/>
    <w:qFormat/>
    <w:uiPriority w:val="0"/>
    <w:pPr>
      <w:adjustRightInd/>
      <w:spacing w:line="360" w:lineRule="auto"/>
      <w:ind w:firstLine="480" w:firstLineChars="200"/>
    </w:pPr>
    <w:rPr>
      <w:rFonts w:ascii="Tahoma" w:hAnsi="Tahoma"/>
      <w:kern w:val="0"/>
      <w:sz w:val="24"/>
    </w:rPr>
  </w:style>
  <w:style w:type="character" w:customStyle="1" w:styleId="204">
    <w:name w:val="正文缩进 Char2"/>
    <w:link w:val="16"/>
    <w:qFormat/>
    <w:uiPriority w:val="0"/>
    <w:rPr>
      <w:rFonts w:ascii="宋体" w:eastAsia="宋体"/>
      <w:snapToGrid w:val="0"/>
      <w:color w:val="000000"/>
      <w:kern w:val="28"/>
      <w:sz w:val="28"/>
      <w:lang w:val="en-US" w:eastAsia="zh-CN" w:bidi="ar-SA"/>
    </w:rPr>
  </w:style>
  <w:style w:type="character" w:customStyle="1" w:styleId="205">
    <w:name w:val="Used by Word for text of Help footnotes Char Char1"/>
    <w:qFormat/>
    <w:uiPriority w:val="0"/>
    <w:rPr>
      <w:color w:val="0000FF"/>
      <w:sz w:val="21"/>
    </w:rPr>
  </w:style>
  <w:style w:type="character" w:customStyle="1" w:styleId="206">
    <w:name w:val="页眉 Char"/>
    <w:qFormat/>
    <w:uiPriority w:val="0"/>
    <w:rPr>
      <w:rFonts w:eastAsia="仿宋_GB2312"/>
      <w:kern w:val="2"/>
      <w:sz w:val="18"/>
      <w:lang w:val="en-US" w:eastAsia="zh-CN"/>
    </w:rPr>
  </w:style>
  <w:style w:type="character" w:customStyle="1" w:styleId="207">
    <w:name w:val="FA正文 Char Char"/>
    <w:qFormat/>
    <w:uiPriority w:val="0"/>
    <w:rPr>
      <w:rFonts w:hAnsi="宋体"/>
      <w:kern w:val="2"/>
      <w:sz w:val="24"/>
      <w:lang w:bidi="ar-SA"/>
    </w:rPr>
  </w:style>
  <w:style w:type="character" w:customStyle="1" w:styleId="208">
    <w:name w:val="纯文本 字符"/>
    <w:qFormat/>
    <w:uiPriority w:val="0"/>
    <w:rPr>
      <w:rFonts w:ascii="宋体" w:hAnsi="Courier New" w:eastAsia="宋体" w:cs="Arial"/>
      <w:snapToGrid w:val="0"/>
      <w:kern w:val="2"/>
      <w:sz w:val="21"/>
      <w:szCs w:val="21"/>
      <w:lang w:val="en-US" w:eastAsia="zh-CN" w:bidi="ar-SA"/>
    </w:rPr>
  </w:style>
  <w:style w:type="character" w:customStyle="1" w:styleId="209">
    <w:name w:val="3级 Char"/>
    <w:link w:val="210"/>
    <w:qFormat/>
    <w:uiPriority w:val="0"/>
    <w:rPr>
      <w:rFonts w:ascii="宋体" w:hAnsi="宋体"/>
      <w:b/>
      <w:bCs/>
      <w:sz w:val="28"/>
    </w:rPr>
  </w:style>
  <w:style w:type="paragraph" w:customStyle="1" w:styleId="210">
    <w:name w:val="3级"/>
    <w:basedOn w:val="211"/>
    <w:link w:val="209"/>
    <w:qFormat/>
    <w:uiPriority w:val="0"/>
    <w:pPr>
      <w:ind w:left="0" w:right="466" w:firstLine="288"/>
    </w:pPr>
    <w:rPr>
      <w:rFonts w:hAnsi="宋体"/>
    </w:rPr>
  </w:style>
  <w:style w:type="paragraph" w:customStyle="1" w:styleId="21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2">
    <w:name w:val="myp11"/>
    <w:qFormat/>
    <w:uiPriority w:val="0"/>
    <w:rPr>
      <w:rFonts w:ascii="仿宋_GB2312" w:eastAsia="微软雅黑"/>
      <w:b/>
      <w:kern w:val="2"/>
      <w:sz w:val="32"/>
      <w:szCs w:val="32"/>
      <w:lang w:val="en-US" w:eastAsia="zh-CN" w:bidi="ar-SA"/>
    </w:rPr>
  </w:style>
  <w:style w:type="character" w:customStyle="1" w:styleId="213">
    <w:name w:val="文档结构图 Char1"/>
    <w:link w:val="19"/>
    <w:qFormat/>
    <w:uiPriority w:val="0"/>
    <w:rPr>
      <w:kern w:val="2"/>
      <w:sz w:val="21"/>
      <w:szCs w:val="24"/>
      <w:shd w:val="clear" w:color="auto" w:fill="000080"/>
    </w:rPr>
  </w:style>
  <w:style w:type="character" w:customStyle="1" w:styleId="214">
    <w:name w:val="H6 Char"/>
    <w:qFormat/>
    <w:uiPriority w:val="0"/>
    <w:rPr>
      <w:rFonts w:ascii="Arial" w:hAnsi="Arial" w:eastAsia="黑体"/>
      <w:b/>
      <w:bCs/>
      <w:kern w:val="2"/>
      <w:sz w:val="24"/>
      <w:szCs w:val="24"/>
    </w:rPr>
  </w:style>
  <w:style w:type="character" w:customStyle="1" w:styleId="215">
    <w:name w:val="Char Char91"/>
    <w:qFormat/>
    <w:uiPriority w:val="0"/>
    <w:rPr>
      <w:rFonts w:eastAsia="宋体"/>
      <w:kern w:val="2"/>
      <w:sz w:val="18"/>
      <w:szCs w:val="18"/>
      <w:lang w:val="en-US" w:eastAsia="zh-CN" w:bidi="ar-SA"/>
    </w:rPr>
  </w:style>
  <w:style w:type="character" w:customStyle="1" w:styleId="216">
    <w:name w:val="副标题 Char1"/>
    <w:qFormat/>
    <w:uiPriority w:val="0"/>
    <w:rPr>
      <w:rFonts w:ascii="Cambria" w:hAnsi="Cambria" w:eastAsia="宋体" w:cs="Times New Roman"/>
      <w:b/>
      <w:bCs/>
      <w:snapToGrid w:val="0"/>
      <w:kern w:val="28"/>
      <w:sz w:val="32"/>
      <w:szCs w:val="32"/>
    </w:rPr>
  </w:style>
  <w:style w:type="character" w:customStyle="1" w:styleId="217">
    <w:name w:val="font61"/>
    <w:qFormat/>
    <w:uiPriority w:val="0"/>
    <w:rPr>
      <w:rFonts w:hint="eastAsia" w:ascii="仿宋" w:hAnsi="仿宋" w:eastAsia="仿宋" w:cs="仿宋"/>
      <w:color w:val="000000"/>
      <w:sz w:val="20"/>
      <w:szCs w:val="20"/>
      <w:u w:val="none"/>
    </w:rPr>
  </w:style>
  <w:style w:type="character" w:customStyle="1" w:styleId="21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9">
    <w:name w:val="Char Char211"/>
    <w:qFormat/>
    <w:uiPriority w:val="0"/>
    <w:rPr>
      <w:rFonts w:eastAsia="宋体"/>
      <w:b/>
      <w:bCs/>
      <w:kern w:val="2"/>
      <w:sz w:val="21"/>
      <w:szCs w:val="24"/>
      <w:lang w:val="en-US" w:eastAsia="zh-CN" w:bidi="ar-SA"/>
    </w:rPr>
  </w:style>
  <w:style w:type="character" w:customStyle="1" w:styleId="220">
    <w:name w:val="maywed421"/>
    <w:qFormat/>
    <w:uiPriority w:val="0"/>
    <w:rPr>
      <w:color w:val="366FB6"/>
      <w:u w:val="none"/>
    </w:rPr>
  </w:style>
  <w:style w:type="character" w:customStyle="1" w:styleId="221">
    <w:name w:val="正文文本缩进 Char"/>
    <w:qFormat/>
    <w:uiPriority w:val="0"/>
    <w:rPr>
      <w:rFonts w:ascii="宋体" w:hAnsi="宋体"/>
      <w:kern w:val="2"/>
      <w:sz w:val="24"/>
      <w:szCs w:val="24"/>
    </w:rPr>
  </w:style>
  <w:style w:type="character" w:customStyle="1" w:styleId="222">
    <w:name w:val="Char Char102"/>
    <w:qFormat/>
    <w:uiPriority w:val="0"/>
    <w:rPr>
      <w:rFonts w:ascii="宋体" w:hAnsi="宋体"/>
      <w:kern w:val="2"/>
      <w:sz w:val="21"/>
      <w:szCs w:val="24"/>
      <w:lang w:val="en-US" w:eastAsia="zh-CN"/>
    </w:rPr>
  </w:style>
  <w:style w:type="character" w:customStyle="1" w:styleId="223">
    <w:name w:val="页眉 Char1"/>
    <w:qFormat/>
    <w:uiPriority w:val="0"/>
    <w:rPr>
      <w:rFonts w:eastAsia="宋体"/>
      <w:kern w:val="2"/>
      <w:sz w:val="18"/>
      <w:szCs w:val="18"/>
      <w:lang w:val="en-US" w:eastAsia="zh-CN" w:bidi="ar-SA"/>
    </w:rPr>
  </w:style>
  <w:style w:type="character" w:customStyle="1" w:styleId="224">
    <w:name w:val="md"/>
    <w:basedOn w:val="79"/>
    <w:qFormat/>
    <w:uiPriority w:val="0"/>
    <w:rPr>
      <w:rFonts w:ascii="Arial" w:hAnsi="Arial" w:eastAsia="黑体" w:cs="Arial"/>
      <w:snapToGrid w:val="0"/>
      <w:kern w:val="0"/>
      <w:szCs w:val="21"/>
    </w:rPr>
  </w:style>
  <w:style w:type="character" w:customStyle="1" w:styleId="225">
    <w:name w:val="big1"/>
    <w:qFormat/>
    <w:uiPriority w:val="0"/>
    <w:rPr>
      <w:rFonts w:hint="eastAsia" w:ascii="宋体" w:hAnsi="宋体" w:eastAsia="宋体"/>
      <w:color w:val="333333"/>
      <w:sz w:val="22"/>
      <w:szCs w:val="22"/>
    </w:rPr>
  </w:style>
  <w:style w:type="character" w:customStyle="1" w:styleId="226">
    <w:name w:val="Char Char311"/>
    <w:qFormat/>
    <w:uiPriority w:val="0"/>
    <w:rPr>
      <w:rFonts w:eastAsia="宋体"/>
      <w:kern w:val="2"/>
      <w:sz w:val="21"/>
      <w:szCs w:val="24"/>
      <w:lang w:val="en-US" w:eastAsia="zh-CN" w:bidi="ar-SA"/>
    </w:rPr>
  </w:style>
  <w:style w:type="character" w:customStyle="1" w:styleId="227">
    <w:name w:val="Char Char81"/>
    <w:qFormat/>
    <w:uiPriority w:val="6"/>
    <w:rPr>
      <w:rFonts w:eastAsia="宋体"/>
      <w:b/>
      <w:sz w:val="24"/>
      <w:lang w:val="en-GB" w:eastAsia="zh-CN"/>
    </w:rPr>
  </w:style>
  <w:style w:type="character" w:customStyle="1" w:styleId="228">
    <w:name w:val="样式3 Char"/>
    <w:basedOn w:val="180"/>
    <w:qFormat/>
    <w:uiPriority w:val="0"/>
    <w:rPr>
      <w:rFonts w:ascii="仿宋_GB2312" w:hAnsi="仿宋" w:eastAsia="仿宋_GB2312" w:cs="仿宋_GB2312"/>
      <w:sz w:val="32"/>
      <w:szCs w:val="30"/>
      <w:lang w:val="zh-CN"/>
    </w:rPr>
  </w:style>
  <w:style w:type="character" w:customStyle="1" w:styleId="229">
    <w:name w:val="HTML 地址 Char"/>
    <w:link w:val="31"/>
    <w:qFormat/>
    <w:uiPriority w:val="0"/>
    <w:rPr>
      <w:rFonts w:ascii="宋体" w:hAnsi="宋体"/>
      <w:i/>
      <w:iCs/>
      <w:sz w:val="24"/>
      <w:szCs w:val="24"/>
    </w:rPr>
  </w:style>
  <w:style w:type="character" w:customStyle="1" w:styleId="230">
    <w:name w:val="正文首行缩进 2 Char1"/>
    <w:qFormat/>
    <w:uiPriority w:val="0"/>
    <w:rPr>
      <w:rFonts w:ascii="Times New Roman" w:hAnsi="Times New Roman" w:eastAsia="宋体" w:cs="Times New Roman"/>
      <w:kern w:val="2"/>
      <w:sz w:val="24"/>
      <w:szCs w:val="24"/>
    </w:rPr>
  </w:style>
  <w:style w:type="character" w:customStyle="1" w:styleId="231">
    <w:name w:val="副标题 Char2"/>
    <w:qFormat/>
    <w:uiPriority w:val="0"/>
    <w:rPr>
      <w:rFonts w:ascii="Cambria" w:hAnsi="Cambria" w:eastAsia="宋体" w:cs="Times New Roman"/>
      <w:b/>
      <w:bCs/>
      <w:snapToGrid w:val="0"/>
      <w:kern w:val="28"/>
      <w:sz w:val="32"/>
      <w:szCs w:val="32"/>
    </w:rPr>
  </w:style>
  <w:style w:type="character" w:customStyle="1" w:styleId="232">
    <w:name w:val="标题4-dyf Char"/>
    <w:link w:val="233"/>
    <w:qFormat/>
    <w:uiPriority w:val="0"/>
    <w:rPr>
      <w:rFonts w:ascii="Cambria" w:hAnsi="Cambria"/>
      <w:b/>
      <w:bCs/>
      <w:color w:val="000000"/>
      <w:kern w:val="2"/>
      <w:sz w:val="21"/>
      <w:szCs w:val="21"/>
    </w:rPr>
  </w:style>
  <w:style w:type="paragraph" w:customStyle="1" w:styleId="233">
    <w:name w:val="标题4-dyf"/>
    <w:basedOn w:val="6"/>
    <w:link w:val="23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4">
    <w:name w:val="dectext1"/>
    <w:qFormat/>
    <w:uiPriority w:val="0"/>
    <w:rPr>
      <w:rFonts w:ascii="宋体" w:hAnsi="宋体" w:eastAsia="宋体"/>
      <w:color w:val="333333"/>
      <w:sz w:val="21"/>
      <w:szCs w:val="21"/>
      <w:u w:val="none"/>
    </w:rPr>
  </w:style>
  <w:style w:type="character" w:customStyle="1" w:styleId="235">
    <w:name w:val="冯 Char"/>
    <w:link w:val="236"/>
    <w:qFormat/>
    <w:uiPriority w:val="0"/>
    <w:rPr>
      <w:rFonts w:ascii="宋体" w:hAnsi="宋体"/>
      <w:color w:val="000000"/>
      <w:sz w:val="24"/>
      <w:szCs w:val="24"/>
    </w:rPr>
  </w:style>
  <w:style w:type="paragraph" w:customStyle="1" w:styleId="236">
    <w:name w:val="冯"/>
    <w:basedOn w:val="1"/>
    <w:link w:val="235"/>
    <w:qFormat/>
    <w:uiPriority w:val="0"/>
    <w:pPr>
      <w:widowControl/>
      <w:adjustRightInd/>
      <w:spacing w:line="360" w:lineRule="auto"/>
      <w:ind w:firstLine="480" w:firstLineChars="200"/>
    </w:pPr>
    <w:rPr>
      <w:rFonts w:ascii="宋体" w:hAnsi="宋体"/>
      <w:color w:val="000000"/>
      <w:kern w:val="0"/>
      <w:sz w:val="24"/>
    </w:rPr>
  </w:style>
  <w:style w:type="character" w:customStyle="1" w:styleId="237">
    <w:name w:val="Header Char_ad61314a-1afd-46d1-afe0-32c257cc6c3a"/>
    <w:qFormat/>
    <w:uiPriority w:val="0"/>
    <w:rPr>
      <w:rFonts w:eastAsia="宋体"/>
      <w:kern w:val="2"/>
      <w:sz w:val="18"/>
      <w:szCs w:val="18"/>
      <w:lang w:val="en-US" w:eastAsia="zh-CN" w:bidi="ar-SA"/>
    </w:rPr>
  </w:style>
  <w:style w:type="character" w:customStyle="1" w:styleId="238">
    <w:name w:val="Char Char12"/>
    <w:qFormat/>
    <w:uiPriority w:val="0"/>
    <w:rPr>
      <w:rFonts w:ascii="仿宋_GB2312" w:eastAsia="仿宋_GB2312"/>
      <w:b/>
      <w:bCs/>
      <w:kern w:val="2"/>
      <w:sz w:val="24"/>
      <w:szCs w:val="24"/>
      <w:lang w:val="zh-CN" w:eastAsia="zh-CN" w:bidi="ar-SA"/>
    </w:rPr>
  </w:style>
  <w:style w:type="character" w:customStyle="1" w:styleId="239">
    <w:name w:val="题注 Char"/>
    <w:link w:val="17"/>
    <w:qFormat/>
    <w:uiPriority w:val="0"/>
    <w:rPr>
      <w:b/>
      <w:kern w:val="2"/>
      <w:sz w:val="28"/>
    </w:rPr>
  </w:style>
  <w:style w:type="character" w:customStyle="1" w:styleId="240">
    <w:name w:val="普通文字 Char3"/>
    <w:qFormat/>
    <w:uiPriority w:val="0"/>
    <w:rPr>
      <w:rFonts w:ascii="宋体" w:hAnsi="Courier New" w:eastAsia="宋体"/>
      <w:kern w:val="2"/>
      <w:sz w:val="21"/>
      <w:lang w:val="en-US" w:eastAsia="zh-CN" w:bidi="ar-SA"/>
    </w:rPr>
  </w:style>
  <w:style w:type="character" w:customStyle="1" w:styleId="241">
    <w:name w:val="公文正文 Char"/>
    <w:qFormat/>
    <w:uiPriority w:val="0"/>
    <w:rPr>
      <w:rFonts w:ascii="仿宋_GB2312" w:eastAsia="仿宋_GB2312"/>
      <w:kern w:val="2"/>
      <w:sz w:val="24"/>
      <w:szCs w:val="24"/>
      <w:lang w:val="en-US" w:eastAsia="zh-CN" w:bidi="ar-SA"/>
    </w:rPr>
  </w:style>
  <w:style w:type="character" w:customStyle="1" w:styleId="242">
    <w:name w:val="正文首行缩进 Char Char Char Char Char"/>
    <w:qFormat/>
    <w:uiPriority w:val="0"/>
    <w:rPr>
      <w:rFonts w:ascii="宋体"/>
      <w:kern w:val="2"/>
      <w:sz w:val="24"/>
      <w:lang w:val="zh-CN"/>
    </w:rPr>
  </w:style>
  <w:style w:type="character" w:customStyle="1" w:styleId="243">
    <w:name w:val="PI Char"/>
    <w:qFormat/>
    <w:uiPriority w:val="0"/>
    <w:rPr>
      <w:rFonts w:ascii="宋体" w:hAnsi="宋体" w:eastAsia="宋体"/>
      <w:kern w:val="2"/>
      <w:sz w:val="24"/>
      <w:szCs w:val="24"/>
      <w:lang w:val="en-US" w:eastAsia="zh-CN" w:bidi="ar-SA"/>
    </w:rPr>
  </w:style>
  <w:style w:type="character" w:customStyle="1" w:styleId="244">
    <w:name w:val="Default Char"/>
    <w:link w:val="92"/>
    <w:qFormat/>
    <w:uiPriority w:val="0"/>
    <w:rPr>
      <w:rFonts w:ascii="仿宋_GB2312" w:eastAsia="仿宋_GB2312" w:cs="仿宋_GB2312"/>
      <w:color w:val="000000"/>
      <w:sz w:val="24"/>
      <w:szCs w:val="24"/>
      <w:lang w:val="en-US" w:eastAsia="zh-CN" w:bidi="ar-SA"/>
    </w:rPr>
  </w:style>
  <w:style w:type="character" w:customStyle="1" w:styleId="245">
    <w:name w:val="style91"/>
    <w:qFormat/>
    <w:uiPriority w:val="0"/>
    <w:rPr>
      <w:color w:val="333333"/>
    </w:rPr>
  </w:style>
  <w:style w:type="character" w:customStyle="1" w:styleId="246">
    <w:name w:val="列出段落 Char2"/>
    <w:qFormat/>
    <w:uiPriority w:val="34"/>
    <w:rPr>
      <w:rFonts w:ascii="Calibri" w:hAnsi="Calibri"/>
      <w:kern w:val="2"/>
      <w:sz w:val="28"/>
    </w:rPr>
  </w:style>
  <w:style w:type="character" w:customStyle="1" w:styleId="247">
    <w:name w:val="mdeck"/>
    <w:qFormat/>
    <w:uiPriority w:val="0"/>
    <w:rPr>
      <w:rFonts w:ascii="仿宋_GB2312" w:eastAsia="微软雅黑"/>
      <w:b/>
      <w:kern w:val="2"/>
      <w:sz w:val="32"/>
      <w:szCs w:val="32"/>
      <w:lang w:val="en-US" w:eastAsia="zh-CN" w:bidi="ar-SA"/>
    </w:rPr>
  </w:style>
  <w:style w:type="character" w:customStyle="1" w:styleId="248">
    <w:name w:val="unnamed11"/>
    <w:qFormat/>
    <w:uiPriority w:val="0"/>
    <w:rPr>
      <w:sz w:val="20"/>
      <w:szCs w:val="20"/>
    </w:rPr>
  </w:style>
  <w:style w:type="character" w:customStyle="1" w:styleId="249">
    <w:name w:val="正文文本 Char2"/>
    <w:qFormat/>
    <w:uiPriority w:val="99"/>
    <w:rPr>
      <w:rFonts w:ascii="Times New Roman" w:hAnsi="Times New Roman" w:eastAsia="宋体" w:cs="Times New Roman"/>
      <w:snapToGrid w:val="0"/>
      <w:kern w:val="0"/>
      <w:szCs w:val="24"/>
    </w:rPr>
  </w:style>
  <w:style w:type="character" w:customStyle="1" w:styleId="250">
    <w:name w:val="标书正文格式 Char"/>
    <w:qFormat/>
    <w:uiPriority w:val="0"/>
    <w:rPr>
      <w:rFonts w:eastAsia="楷体_GB2312"/>
      <w:kern w:val="2"/>
      <w:sz w:val="24"/>
      <w:szCs w:val="24"/>
      <w:lang w:bidi="ar-SA"/>
    </w:rPr>
  </w:style>
  <w:style w:type="character" w:customStyle="1" w:styleId="251">
    <w:name w:val="Char Char11"/>
    <w:qFormat/>
    <w:uiPriority w:val="0"/>
    <w:rPr>
      <w:rFonts w:ascii="宋体" w:hAnsi="宋体" w:eastAsia="宋体"/>
      <w:b/>
      <w:kern w:val="2"/>
      <w:sz w:val="24"/>
      <w:szCs w:val="24"/>
      <w:lang w:val="en-US" w:eastAsia="zh-CN" w:bidi="ar-SA"/>
    </w:rPr>
  </w:style>
  <w:style w:type="character" w:customStyle="1" w:styleId="252">
    <w:name w:val="ca-131"/>
    <w:qFormat/>
    <w:uiPriority w:val="0"/>
    <w:rPr>
      <w:rFonts w:hint="eastAsia" w:ascii="仿宋_GB2312" w:eastAsia="仿宋_GB2312"/>
      <w:b/>
      <w:bCs/>
      <w:color w:val="000000"/>
      <w:spacing w:val="-20"/>
      <w:sz w:val="24"/>
      <w:szCs w:val="24"/>
    </w:rPr>
  </w:style>
  <w:style w:type="character" w:customStyle="1" w:styleId="253">
    <w:name w:val="tw4winMark"/>
    <w:qFormat/>
    <w:uiPriority w:val="0"/>
    <w:rPr>
      <w:rFonts w:ascii="Courier New" w:hAnsi="Courier New" w:cs="Courier New"/>
      <w:vanish/>
      <w:color w:val="800080"/>
      <w:sz w:val="24"/>
      <w:szCs w:val="24"/>
      <w:vertAlign w:val="subscript"/>
    </w:rPr>
  </w:style>
  <w:style w:type="character" w:customStyle="1" w:styleId="254">
    <w:name w:val="正文样式 Char"/>
    <w:link w:val="255"/>
    <w:qFormat/>
    <w:uiPriority w:val="0"/>
    <w:rPr>
      <w:rFonts w:ascii="Calibri" w:hAnsi="Calibri"/>
      <w:sz w:val="24"/>
      <w:szCs w:val="24"/>
    </w:rPr>
  </w:style>
  <w:style w:type="paragraph" w:customStyle="1" w:styleId="255">
    <w:name w:val="正文样式"/>
    <w:basedOn w:val="1"/>
    <w:link w:val="254"/>
    <w:qFormat/>
    <w:uiPriority w:val="0"/>
    <w:pPr>
      <w:adjustRightInd/>
      <w:spacing w:line="360" w:lineRule="auto"/>
      <w:ind w:firstLine="480" w:firstLineChars="200"/>
    </w:pPr>
    <w:rPr>
      <w:kern w:val="0"/>
      <w:sz w:val="24"/>
    </w:rPr>
  </w:style>
  <w:style w:type="character" w:customStyle="1" w:styleId="256">
    <w:name w:val="表正文 Char3"/>
    <w:qFormat/>
    <w:uiPriority w:val="0"/>
    <w:rPr>
      <w:rFonts w:eastAsia="宋体"/>
    </w:rPr>
  </w:style>
  <w:style w:type="character" w:customStyle="1" w:styleId="257">
    <w:name w:val="H5 Char"/>
    <w:qFormat/>
    <w:uiPriority w:val="0"/>
    <w:rPr>
      <w:b/>
      <w:bCs/>
      <w:kern w:val="2"/>
      <w:sz w:val="28"/>
      <w:szCs w:val="28"/>
    </w:rPr>
  </w:style>
  <w:style w:type="character" w:customStyle="1" w:styleId="258">
    <w:name w:val="Char Char3"/>
    <w:qFormat/>
    <w:uiPriority w:val="0"/>
    <w:rPr>
      <w:rFonts w:eastAsia="宋体"/>
      <w:kern w:val="2"/>
      <w:sz w:val="21"/>
      <w:szCs w:val="24"/>
      <w:lang w:val="en-US" w:eastAsia="zh-CN" w:bidi="ar-SA"/>
    </w:rPr>
  </w:style>
  <w:style w:type="character" w:customStyle="1" w:styleId="259">
    <w:name w:val="正文 编号 Char"/>
    <w:qFormat/>
    <w:uiPriority w:val="0"/>
    <w:rPr>
      <w:rFonts w:ascii="仿宋_GB2312" w:hAnsi="仿宋_GB2312" w:eastAsia="仿宋_GB2312"/>
      <w:kern w:val="2"/>
      <w:sz w:val="24"/>
      <w:lang w:bidi="ar-SA"/>
    </w:rPr>
  </w:style>
  <w:style w:type="character" w:customStyle="1" w:styleId="260">
    <w:name w:val="question-title2"/>
    <w:qFormat/>
    <w:uiPriority w:val="6"/>
    <w:rPr>
      <w:rFonts w:ascii="Arial" w:hAnsi="Arial" w:eastAsia="黑体" w:cs="Arial"/>
      <w:snapToGrid w:val="0"/>
      <w:kern w:val="0"/>
      <w:szCs w:val="21"/>
    </w:rPr>
  </w:style>
  <w:style w:type="character" w:customStyle="1" w:styleId="261">
    <w:name w:val="gf正文1 Char Char"/>
    <w:link w:val="262"/>
    <w:qFormat/>
    <w:uiPriority w:val="0"/>
    <w:rPr>
      <w:rFonts w:ascii="宋体" w:hAnsi="宋体" w:cs="宋体"/>
      <w:kern w:val="2"/>
      <w:sz w:val="24"/>
      <w:szCs w:val="24"/>
    </w:rPr>
  </w:style>
  <w:style w:type="paragraph" w:customStyle="1" w:styleId="262">
    <w:name w:val="gf正文1"/>
    <w:basedOn w:val="1"/>
    <w:link w:val="26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3">
    <w:name w:val="Char Char15"/>
    <w:qFormat/>
    <w:uiPriority w:val="6"/>
    <w:rPr>
      <w:rFonts w:ascii="宋体" w:hAnsi="宋体"/>
      <w:kern w:val="1"/>
      <w:sz w:val="21"/>
    </w:rPr>
  </w:style>
  <w:style w:type="character" w:customStyle="1" w:styleId="264">
    <w:name w:val="正文缩进 Char3"/>
    <w:qFormat/>
    <w:uiPriority w:val="0"/>
    <w:rPr>
      <w:rFonts w:ascii="宋体" w:eastAsia="宋体"/>
      <w:snapToGrid w:val="0"/>
      <w:color w:val="000000"/>
      <w:kern w:val="28"/>
      <w:sz w:val="28"/>
      <w:lang w:val="en-US" w:eastAsia="zh-CN" w:bidi="ar-SA"/>
    </w:rPr>
  </w:style>
  <w:style w:type="character" w:customStyle="1" w:styleId="265">
    <w:name w:val="列出段落 Char1"/>
    <w:link w:val="266"/>
    <w:qFormat/>
    <w:uiPriority w:val="0"/>
    <w:rPr>
      <w:rFonts w:ascii="Calibri" w:hAnsi="Calibri"/>
      <w:sz w:val="24"/>
      <w:lang w:eastAsia="en-US"/>
    </w:rPr>
  </w:style>
  <w:style w:type="paragraph" w:customStyle="1" w:styleId="266">
    <w:name w:val="列表1"/>
    <w:basedOn w:val="1"/>
    <w:next w:val="267"/>
    <w:link w:val="26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7">
    <w:name w:val="List Paragraph_882f2233-1931-4d34-a48b-1728f70af690"/>
    <w:basedOn w:val="1"/>
    <w:qFormat/>
    <w:uiPriority w:val="34"/>
    <w:pPr>
      <w:spacing w:line="360" w:lineRule="auto"/>
      <w:ind w:firstLine="200" w:firstLineChars="200"/>
    </w:pPr>
    <w:rPr>
      <w:rFonts w:eastAsia="楷体_GB2312" w:cs="Lucida Sans"/>
      <w:sz w:val="24"/>
    </w:rPr>
  </w:style>
  <w:style w:type="character" w:customStyle="1" w:styleId="268">
    <w:name w:val="Char Char8"/>
    <w:qFormat/>
    <w:uiPriority w:val="0"/>
    <w:rPr>
      <w:rFonts w:eastAsia="宋体"/>
      <w:b/>
      <w:sz w:val="24"/>
      <w:lang w:val="en-GB" w:eastAsia="zh-CN"/>
    </w:rPr>
  </w:style>
  <w:style w:type="character" w:customStyle="1" w:styleId="269">
    <w:name w:val="Normal Indent Char Char"/>
    <w:qFormat/>
    <w:uiPriority w:val="0"/>
    <w:rPr>
      <w:rFonts w:eastAsia="宋体"/>
      <w:kern w:val="2"/>
      <w:sz w:val="21"/>
      <w:lang w:val="en-US" w:eastAsia="zh-CN" w:bidi="ar-SA"/>
    </w:rPr>
  </w:style>
  <w:style w:type="character" w:customStyle="1" w:styleId="270">
    <w:name w:val="列表段落 字符"/>
    <w:qFormat/>
    <w:uiPriority w:val="99"/>
  </w:style>
  <w:style w:type="character" w:customStyle="1" w:styleId="271">
    <w:name w:val="Ò³Ã¼ Char Char1"/>
    <w:qFormat/>
    <w:uiPriority w:val="0"/>
    <w:rPr>
      <w:rFonts w:eastAsia="宋体"/>
      <w:kern w:val="2"/>
      <w:sz w:val="18"/>
      <w:szCs w:val="18"/>
      <w:lang w:val="en-US" w:eastAsia="zh-CN" w:bidi="ar-SA"/>
    </w:rPr>
  </w:style>
  <w:style w:type="character" w:customStyle="1" w:styleId="272">
    <w:name w:val="方案正文 Char"/>
    <w:qFormat/>
    <w:uiPriority w:val="0"/>
    <w:rPr>
      <w:rFonts w:ascii="仿宋_GB2312" w:eastAsia="仿宋_GB2312"/>
      <w:b/>
      <w:color w:val="000000"/>
      <w:kern w:val="2"/>
      <w:sz w:val="24"/>
      <w:lang w:val="en-US" w:eastAsia="zh-CN" w:bidi="ar-SA"/>
    </w:rPr>
  </w:style>
  <w:style w:type="character" w:customStyle="1" w:styleId="273">
    <w:name w:val="Char Char30"/>
    <w:qFormat/>
    <w:uiPriority w:val="6"/>
    <w:rPr>
      <w:rFonts w:ascii="Arial" w:hAnsi="Arial" w:eastAsia="黑体"/>
      <w:kern w:val="1"/>
      <w:sz w:val="21"/>
      <w:szCs w:val="21"/>
    </w:rPr>
  </w:style>
  <w:style w:type="character" w:customStyle="1" w:styleId="274">
    <w:name w:val="正文文本缩进 Char3"/>
    <w:link w:val="25"/>
    <w:qFormat/>
    <w:uiPriority w:val="0"/>
    <w:rPr>
      <w:rFonts w:ascii="宋体" w:hAnsi="宋体"/>
      <w:kern w:val="2"/>
      <w:sz w:val="24"/>
      <w:szCs w:val="24"/>
    </w:rPr>
  </w:style>
  <w:style w:type="character" w:customStyle="1" w:styleId="275">
    <w:name w:val="font01"/>
    <w:qFormat/>
    <w:uiPriority w:val="0"/>
    <w:rPr>
      <w:rFonts w:hint="eastAsia" w:ascii="微软雅黑" w:hAnsi="微软雅黑" w:eastAsia="微软雅黑" w:cs="微软雅黑"/>
      <w:color w:val="000000"/>
      <w:sz w:val="20"/>
      <w:szCs w:val="20"/>
      <w:u w:val="none"/>
    </w:rPr>
  </w:style>
  <w:style w:type="character" w:customStyle="1" w:styleId="276">
    <w:name w:val="Char Char20"/>
    <w:qFormat/>
    <w:uiPriority w:val="6"/>
    <w:rPr>
      <w:kern w:val="1"/>
      <w:sz w:val="24"/>
    </w:rPr>
  </w:style>
  <w:style w:type="character" w:customStyle="1" w:styleId="277">
    <w:name w:val="tw4winExternal"/>
    <w:qFormat/>
    <w:uiPriority w:val="0"/>
    <w:rPr>
      <w:rFonts w:ascii="Courier New" w:hAnsi="Courier New" w:cs="Courier New"/>
      <w:color w:val="808080"/>
      <w:lang w:val="en-US" w:eastAsia="zh-CN"/>
    </w:rPr>
  </w:style>
  <w:style w:type="character" w:customStyle="1" w:styleId="278">
    <w:name w:val="标题 4 Char1"/>
    <w:qFormat/>
    <w:uiPriority w:val="9"/>
    <w:rPr>
      <w:rFonts w:ascii="Cambria" w:hAnsi="Cambria" w:eastAsia="宋体" w:cs="Times New Roman"/>
      <w:b/>
      <w:bCs/>
      <w:kern w:val="2"/>
      <w:sz w:val="28"/>
      <w:szCs w:val="28"/>
    </w:rPr>
  </w:style>
  <w:style w:type="character" w:customStyle="1" w:styleId="279">
    <w:name w:val="批注文字 Char2"/>
    <w:qFormat/>
    <w:uiPriority w:val="99"/>
    <w:rPr>
      <w:rFonts w:ascii="Times New Roman" w:hAnsi="Times New Roman" w:eastAsia="宋体" w:cs="Times New Roman"/>
      <w:snapToGrid w:val="0"/>
      <w:kern w:val="0"/>
      <w:szCs w:val="24"/>
    </w:rPr>
  </w:style>
  <w:style w:type="character" w:customStyle="1" w:styleId="280">
    <w:name w:val="正文文本 2 Char"/>
    <w:qFormat/>
    <w:uiPriority w:val="0"/>
    <w:rPr>
      <w:rFonts w:eastAsia="宋体"/>
      <w:kern w:val="2"/>
      <w:sz w:val="21"/>
      <w:szCs w:val="24"/>
      <w:lang w:val="en-US" w:eastAsia="zh-CN" w:bidi="ar-SA"/>
    </w:rPr>
  </w:style>
  <w:style w:type="character" w:customStyle="1" w:styleId="281">
    <w:name w:val="Ò³Ã¼ Char Char"/>
    <w:qFormat/>
    <w:uiPriority w:val="0"/>
    <w:rPr>
      <w:rFonts w:eastAsia="宋体"/>
      <w:kern w:val="2"/>
      <w:sz w:val="18"/>
      <w:lang w:val="en-US" w:eastAsia="zh-CN" w:bidi="ar-SA"/>
    </w:rPr>
  </w:style>
  <w:style w:type="character" w:customStyle="1" w:styleId="282">
    <w:name w:val="message1"/>
    <w:qFormat/>
    <w:uiPriority w:val="0"/>
    <w:rPr>
      <w:rFonts w:hint="default" w:ascii="Tahoma" w:hAnsi="Tahoma" w:cs="Tahoma"/>
      <w:sz w:val="18"/>
      <w:szCs w:val="18"/>
    </w:rPr>
  </w:style>
  <w:style w:type="character" w:customStyle="1" w:styleId="283">
    <w:name w:val="Char Char23"/>
    <w:qFormat/>
    <w:uiPriority w:val="6"/>
    <w:rPr>
      <w:color w:val="0000FF"/>
      <w:sz w:val="21"/>
    </w:rPr>
  </w:style>
  <w:style w:type="character" w:customStyle="1" w:styleId="284">
    <w:name w:val="批注框文本 字符"/>
    <w:qFormat/>
    <w:uiPriority w:val="0"/>
    <w:rPr>
      <w:rFonts w:ascii="Arial" w:hAnsi="Arial" w:eastAsia="黑体" w:cs="Arial"/>
      <w:snapToGrid w:val="0"/>
      <w:kern w:val="0"/>
      <w:sz w:val="18"/>
      <w:szCs w:val="18"/>
    </w:rPr>
  </w:style>
  <w:style w:type="character" w:customStyle="1" w:styleId="285">
    <w:name w:val="纯文本 Char2"/>
    <w:qFormat/>
    <w:uiPriority w:val="99"/>
    <w:rPr>
      <w:rFonts w:ascii="宋体" w:hAnsi="Courier New" w:eastAsia="宋体" w:cs="Courier New"/>
    </w:rPr>
  </w:style>
  <w:style w:type="character" w:customStyle="1" w:styleId="286">
    <w:name w:val="Char Char25"/>
    <w:qFormat/>
    <w:uiPriority w:val="6"/>
    <w:rPr>
      <w:rFonts w:ascii="宋体" w:hAnsi="宋体"/>
      <w:kern w:val="1"/>
      <w:sz w:val="24"/>
      <w:lang w:val="zh-CN"/>
    </w:rPr>
  </w:style>
  <w:style w:type="character" w:customStyle="1" w:styleId="287">
    <w:name w:val="Char Char411"/>
    <w:qFormat/>
    <w:uiPriority w:val="0"/>
    <w:rPr>
      <w:rFonts w:eastAsia="宋体"/>
      <w:b/>
      <w:sz w:val="24"/>
      <w:lang w:val="en-GB" w:eastAsia="zh-CN" w:bidi="ar-SA"/>
    </w:rPr>
  </w:style>
  <w:style w:type="character" w:customStyle="1" w:styleId="288">
    <w:name w:val="Heading 7 Char_9156cf70-7191-44a8-8b19-d44382aed570"/>
    <w:qFormat/>
    <w:uiPriority w:val="0"/>
    <w:rPr>
      <w:rFonts w:ascii="宋体" w:hAnsi="宋体" w:eastAsia="宋体"/>
      <w:b/>
      <w:bCs/>
      <w:kern w:val="2"/>
      <w:sz w:val="24"/>
      <w:szCs w:val="24"/>
      <w:lang w:val="en-US" w:eastAsia="zh-CN" w:bidi="ar-SA"/>
    </w:rPr>
  </w:style>
  <w:style w:type="character" w:customStyle="1" w:styleId="289">
    <w:name w:val="此正文 Char"/>
    <w:link w:val="290"/>
    <w:qFormat/>
    <w:uiPriority w:val="0"/>
    <w:rPr>
      <w:kern w:val="2"/>
      <w:sz w:val="24"/>
      <w:szCs w:val="24"/>
    </w:rPr>
  </w:style>
  <w:style w:type="paragraph" w:customStyle="1" w:styleId="290">
    <w:name w:val="此正文"/>
    <w:basedOn w:val="1"/>
    <w:link w:val="289"/>
    <w:qFormat/>
    <w:uiPriority w:val="0"/>
    <w:pPr>
      <w:adjustRightInd/>
      <w:spacing w:line="360" w:lineRule="auto"/>
      <w:ind w:firstLine="200" w:firstLineChars="200"/>
    </w:pPr>
    <w:rPr>
      <w:sz w:val="24"/>
    </w:rPr>
  </w:style>
  <w:style w:type="character" w:customStyle="1" w:styleId="291">
    <w:name w:val="Char Char2"/>
    <w:qFormat/>
    <w:uiPriority w:val="0"/>
    <w:rPr>
      <w:rFonts w:eastAsia="宋体"/>
      <w:b/>
      <w:bCs/>
      <w:kern w:val="2"/>
      <w:sz w:val="21"/>
      <w:szCs w:val="24"/>
      <w:lang w:val="en-US" w:eastAsia="zh-CN" w:bidi="ar-SA"/>
    </w:rPr>
  </w:style>
  <w:style w:type="character" w:customStyle="1" w:styleId="292">
    <w:name w:val="标题 1 Char"/>
    <w:link w:val="2"/>
    <w:qFormat/>
    <w:uiPriority w:val="9"/>
    <w:rPr>
      <w:rFonts w:ascii="宋体" w:hAnsi="宋体" w:eastAsia="宋体" w:cs="宋体"/>
      <w:b/>
      <w:bCs/>
      <w:color w:val="auto"/>
      <w:kern w:val="44"/>
      <w:sz w:val="32"/>
      <w:szCs w:val="32"/>
      <w:highlight w:val="none"/>
      <w:lang w:val="en-US" w:eastAsia="zh-CN" w:bidi="ar-SA"/>
    </w:rPr>
  </w:style>
  <w:style w:type="character" w:customStyle="1" w:styleId="293">
    <w:name w:val="Footer-Even Char1"/>
    <w:qFormat/>
    <w:uiPriority w:val="0"/>
    <w:rPr>
      <w:rFonts w:eastAsia="宋体"/>
      <w:kern w:val="2"/>
      <w:sz w:val="18"/>
      <w:szCs w:val="18"/>
      <w:lang w:val="en-US" w:eastAsia="zh-CN" w:bidi="ar-SA"/>
    </w:rPr>
  </w:style>
  <w:style w:type="character" w:customStyle="1" w:styleId="294">
    <w:name w:val="Char Char29"/>
    <w:qFormat/>
    <w:uiPriority w:val="6"/>
    <w:rPr>
      <w:rFonts w:ascii="Arial" w:hAnsi="Arial" w:eastAsia="微软雅黑"/>
      <w:b/>
      <w:kern w:val="1"/>
      <w:sz w:val="44"/>
      <w:szCs w:val="32"/>
      <w:lang w:val="en-US" w:eastAsia="zh-CN" w:bidi="ar-SA"/>
    </w:rPr>
  </w:style>
  <w:style w:type="character" w:customStyle="1" w:styleId="295">
    <w:name w:val="标题 Char2"/>
    <w:link w:val="61"/>
    <w:qFormat/>
    <w:uiPriority w:val="10"/>
    <w:rPr>
      <w:b/>
      <w:sz w:val="24"/>
      <w:lang w:val="en-GB"/>
    </w:rPr>
  </w:style>
  <w:style w:type="character" w:customStyle="1" w:styleId="296">
    <w:name w:val="font81"/>
    <w:qFormat/>
    <w:uiPriority w:val="0"/>
    <w:rPr>
      <w:rFonts w:ascii="微软雅黑" w:hAnsi="微软雅黑" w:eastAsia="微软雅黑" w:cs="微软雅黑"/>
      <w:color w:val="000000"/>
      <w:sz w:val="20"/>
      <w:szCs w:val="20"/>
      <w:u w:val="none"/>
    </w:rPr>
  </w:style>
  <w:style w:type="character" w:customStyle="1" w:styleId="297">
    <w:name w:val="Char Char312"/>
    <w:qFormat/>
    <w:uiPriority w:val="0"/>
    <w:rPr>
      <w:rFonts w:ascii="Times New Roman" w:hAnsi="Times New Roman" w:eastAsia="宋体" w:cs="Times New Roman"/>
      <w:b/>
      <w:kern w:val="2"/>
      <w:sz w:val="32"/>
      <w:szCs w:val="24"/>
      <w:lang w:val="en-US" w:eastAsia="zh-CN" w:bidi="ar-SA"/>
    </w:rPr>
  </w:style>
  <w:style w:type="character" w:customStyle="1" w:styleId="298">
    <w:name w:val="t21"/>
    <w:qFormat/>
    <w:uiPriority w:val="0"/>
    <w:rPr>
      <w:rFonts w:ascii="仿宋_GB2312" w:eastAsia="微软雅黑"/>
      <w:b/>
      <w:kern w:val="2"/>
      <w:sz w:val="23"/>
      <w:szCs w:val="23"/>
      <w:lang w:val="en-US" w:eastAsia="zh-CN" w:bidi="ar-SA"/>
    </w:rPr>
  </w:style>
  <w:style w:type="character" w:customStyle="1" w:styleId="299">
    <w:name w:val="样式8 Char"/>
    <w:qFormat/>
    <w:uiPriority w:val="0"/>
    <w:rPr>
      <w:rFonts w:ascii="仿宋_GB2312" w:hAnsi="宋体" w:eastAsia="仿宋_GB2312"/>
      <w:b/>
      <w:bCs/>
      <w:kern w:val="2"/>
      <w:sz w:val="24"/>
      <w:szCs w:val="24"/>
    </w:rPr>
  </w:style>
  <w:style w:type="character" w:customStyle="1" w:styleId="300">
    <w:name w:val="表格 Char Char"/>
    <w:qFormat/>
    <w:uiPriority w:val="0"/>
    <w:rPr>
      <w:rFonts w:ascii="宋体" w:hAnsi="宋体" w:eastAsia="宋体"/>
      <w:lang w:bidi="ar-SA"/>
    </w:rPr>
  </w:style>
  <w:style w:type="character" w:customStyle="1" w:styleId="301">
    <w:name w:val="正文文本 字符1"/>
    <w:qFormat/>
    <w:uiPriority w:val="0"/>
    <w:rPr>
      <w:rFonts w:ascii="Calibri" w:hAnsi="Calibri" w:eastAsia="黑体" w:cs="Arial"/>
      <w:snapToGrid w:val="0"/>
      <w:kern w:val="2"/>
      <w:sz w:val="28"/>
      <w:szCs w:val="21"/>
    </w:rPr>
  </w:style>
  <w:style w:type="character" w:customStyle="1" w:styleId="302">
    <w:name w:val="标题 5 Char"/>
    <w:link w:val="7"/>
    <w:qFormat/>
    <w:uiPriority w:val="9"/>
    <w:rPr>
      <w:b/>
      <w:bCs/>
      <w:kern w:val="2"/>
      <w:sz w:val="28"/>
      <w:szCs w:val="28"/>
    </w:rPr>
  </w:style>
  <w:style w:type="character" w:customStyle="1" w:styleId="303">
    <w:name w:val="标题 6 Char1"/>
    <w:qFormat/>
    <w:uiPriority w:val="0"/>
    <w:rPr>
      <w:rFonts w:ascii="Arial" w:hAnsi="Arial" w:eastAsia="黑体" w:cs="Times New Roman"/>
      <w:b/>
      <w:sz w:val="24"/>
      <w:szCs w:val="20"/>
      <w:lang w:bidi="ar-SA"/>
    </w:rPr>
  </w:style>
  <w:style w:type="character" w:customStyle="1" w:styleId="304">
    <w:name w:val="带编号样式 Char"/>
    <w:qFormat/>
    <w:uiPriority w:val="0"/>
    <w:rPr>
      <w:rFonts w:ascii="仿宋_GB2312" w:eastAsia="仿宋_GB2312"/>
      <w:color w:val="000000"/>
      <w:sz w:val="24"/>
      <w:lang w:bidi="ar-SA"/>
    </w:rPr>
  </w:style>
  <w:style w:type="character" w:customStyle="1" w:styleId="305">
    <w:name w:val="unnamed31"/>
    <w:qFormat/>
    <w:uiPriority w:val="0"/>
    <w:rPr>
      <w:rFonts w:ascii="Tahoma" w:hAnsi="Tahoma" w:eastAsia="宋体"/>
      <w:b/>
      <w:kern w:val="2"/>
      <w:sz w:val="24"/>
      <w:szCs w:val="32"/>
      <w:u w:val="none"/>
      <w:lang w:val="en-US" w:eastAsia="zh-CN" w:bidi="ar-SA"/>
    </w:rPr>
  </w:style>
  <w:style w:type="character" w:customStyle="1" w:styleId="306">
    <w:name w:val="正文首行缩进 Char Char Char Char Char Char1"/>
    <w:qFormat/>
    <w:uiPriority w:val="0"/>
    <w:rPr>
      <w:rFonts w:ascii="宋体" w:eastAsia="宋体"/>
      <w:kern w:val="2"/>
      <w:sz w:val="24"/>
      <w:szCs w:val="24"/>
      <w:lang w:val="zh-CN" w:bidi="ar-SA"/>
    </w:rPr>
  </w:style>
  <w:style w:type="character" w:customStyle="1" w:styleId="307">
    <w:name w:val="称呼 Char"/>
    <w:link w:val="21"/>
    <w:qFormat/>
    <w:uiPriority w:val="0"/>
    <w:rPr>
      <w:rFonts w:ascii="仿宋_GB2312" w:eastAsia="仿宋_GB2312"/>
      <w:kern w:val="2"/>
      <w:sz w:val="28"/>
    </w:rPr>
  </w:style>
  <w:style w:type="character" w:customStyle="1" w:styleId="308">
    <w:name w:val="文本正文 Char Char"/>
    <w:qFormat/>
    <w:uiPriority w:val="0"/>
    <w:rPr>
      <w:sz w:val="24"/>
      <w:lang w:bidi="ar-SA"/>
    </w:rPr>
  </w:style>
  <w:style w:type="character" w:customStyle="1" w:styleId="309">
    <w:name w:val="正文缩进 字符"/>
    <w:qFormat/>
    <w:uiPriority w:val="0"/>
    <w:rPr>
      <w:rFonts w:ascii="宋体" w:eastAsia="宋体"/>
      <w:snapToGrid w:val="0"/>
      <w:color w:val="000000"/>
      <w:kern w:val="28"/>
      <w:sz w:val="28"/>
      <w:lang w:val="en-US" w:eastAsia="zh-CN" w:bidi="ar-SA"/>
    </w:rPr>
  </w:style>
  <w:style w:type="character" w:customStyle="1" w:styleId="310">
    <w:name w:val="HTML 预设格式 Char"/>
    <w:link w:val="59"/>
    <w:qFormat/>
    <w:uiPriority w:val="0"/>
    <w:rPr>
      <w:rFonts w:ascii="黑体" w:hAnsi="Courier New" w:eastAsia="黑体"/>
    </w:rPr>
  </w:style>
  <w:style w:type="character" w:customStyle="1" w:styleId="311">
    <w:name w:val="正文文本 2 Char1"/>
    <w:link w:val="58"/>
    <w:qFormat/>
    <w:uiPriority w:val="0"/>
    <w:rPr>
      <w:kern w:val="2"/>
      <w:sz w:val="21"/>
      <w:szCs w:val="24"/>
    </w:rPr>
  </w:style>
  <w:style w:type="character" w:customStyle="1" w:styleId="312">
    <w:name w:val="样式 样式 标题 4h4H4Fab-4T5Ref Heading 1rh1Heading sqlsect 1.2.3.... +... Char"/>
    <w:link w:val="313"/>
    <w:qFormat/>
    <w:uiPriority w:val="0"/>
    <w:rPr>
      <w:rFonts w:ascii="微软雅黑" w:hAnsi="微软雅黑" w:eastAsia="微软雅黑"/>
      <w:b/>
      <w:bCs/>
      <w:kern w:val="2"/>
      <w:sz w:val="24"/>
      <w:szCs w:val="28"/>
    </w:rPr>
  </w:style>
  <w:style w:type="paragraph" w:customStyle="1" w:styleId="313">
    <w:name w:val="样式 样式 标题 4h4H4Fab-4T5Ref Heading 1rh1Heading sqlsect 1.2.3.... +..."/>
    <w:basedOn w:val="314"/>
    <w:link w:val="312"/>
    <w:qFormat/>
    <w:uiPriority w:val="0"/>
    <w:pPr>
      <w:tabs>
        <w:tab w:val="left" w:pos="2356"/>
      </w:tabs>
    </w:pPr>
  </w:style>
  <w:style w:type="paragraph" w:customStyle="1" w:styleId="314">
    <w:name w:val="样式 标题 4h4H4Fab-4T5Ref Heading 1rh1Heading sqlsect 1.2.3...."/>
    <w:basedOn w:val="6"/>
    <w:link w:val="42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5">
    <w:name w:val="正文非缩进 Char"/>
    <w:qFormat/>
    <w:uiPriority w:val="0"/>
    <w:rPr>
      <w:rFonts w:ascii="宋体" w:eastAsia="宋体"/>
      <w:snapToGrid w:val="0"/>
      <w:color w:val="000000"/>
      <w:kern w:val="28"/>
      <w:sz w:val="28"/>
      <w:lang w:val="en-US" w:eastAsia="zh-CN" w:bidi="ar-SA"/>
    </w:rPr>
  </w:style>
  <w:style w:type="character" w:customStyle="1" w:styleId="316">
    <w:name w:val="标题 7 Char"/>
    <w:link w:val="9"/>
    <w:qFormat/>
    <w:uiPriority w:val="0"/>
    <w:rPr>
      <w:b/>
      <w:bCs/>
      <w:kern w:val="2"/>
      <w:sz w:val="24"/>
      <w:szCs w:val="24"/>
    </w:rPr>
  </w:style>
  <w:style w:type="character" w:customStyle="1" w:styleId="317">
    <w:name w:val="正文文本缩进 2 Char"/>
    <w:link w:val="38"/>
    <w:qFormat/>
    <w:uiPriority w:val="0"/>
    <w:rPr>
      <w:rFonts w:ascii="宋体"/>
      <w:sz w:val="28"/>
    </w:rPr>
  </w:style>
  <w:style w:type="character" w:customStyle="1" w:styleId="318">
    <w:name w:val="Char Char5"/>
    <w:qFormat/>
    <w:uiPriority w:val="0"/>
    <w:rPr>
      <w:rFonts w:ascii="宋体" w:hAnsi="Courier New" w:eastAsia="宋体"/>
      <w:kern w:val="2"/>
      <w:sz w:val="21"/>
      <w:lang w:val="en-US" w:eastAsia="zh-CN"/>
    </w:rPr>
  </w:style>
  <w:style w:type="character" w:customStyle="1" w:styleId="319">
    <w:name w:val="脚注文本 Char"/>
    <w:link w:val="52"/>
    <w:qFormat/>
    <w:uiPriority w:val="0"/>
    <w:rPr>
      <w:color w:val="0000FF"/>
      <w:sz w:val="21"/>
    </w:rPr>
  </w:style>
  <w:style w:type="character" w:customStyle="1" w:styleId="320">
    <w:name w:val="称呼 Char1"/>
    <w:qFormat/>
    <w:uiPriority w:val="0"/>
    <w:rPr>
      <w:rFonts w:ascii="Times New Roman" w:hAnsi="Times New Roman" w:eastAsia="宋体" w:cs="Times New Roman"/>
      <w:szCs w:val="24"/>
    </w:rPr>
  </w:style>
  <w:style w:type="character" w:customStyle="1" w:styleId="321">
    <w:name w:val="正文1 Char"/>
    <w:qFormat/>
    <w:uiPriority w:val="0"/>
    <w:rPr>
      <w:rFonts w:ascii="宋体" w:eastAsia="宋体"/>
      <w:snapToGrid w:val="0"/>
      <w:color w:val="000000"/>
      <w:kern w:val="28"/>
      <w:sz w:val="28"/>
      <w:lang w:val="en-US" w:eastAsia="zh-CN" w:bidi="ar-SA"/>
    </w:rPr>
  </w:style>
  <w:style w:type="character" w:customStyle="1" w:styleId="322">
    <w:name w:val="正文缩进 Char1"/>
    <w:qFormat/>
    <w:uiPriority w:val="0"/>
    <w:rPr>
      <w:rFonts w:ascii="宋体" w:eastAsia="宋体"/>
      <w:snapToGrid w:val="0"/>
      <w:color w:val="000000"/>
      <w:kern w:val="28"/>
      <w:sz w:val="28"/>
      <w:lang w:val="en-US" w:eastAsia="zh-CN" w:bidi="ar-SA"/>
    </w:rPr>
  </w:style>
  <w:style w:type="character" w:customStyle="1" w:styleId="323">
    <w:name w:val="font21"/>
    <w:qFormat/>
    <w:uiPriority w:val="0"/>
    <w:rPr>
      <w:rFonts w:hint="eastAsia" w:ascii="宋体" w:hAnsi="宋体" w:eastAsia="宋体"/>
      <w:kern w:val="2"/>
      <w:sz w:val="28"/>
      <w:szCs w:val="28"/>
      <w:lang w:val="en-US" w:eastAsia="zh-CN" w:bidi="ar-SA"/>
    </w:rPr>
  </w:style>
  <w:style w:type="character" w:customStyle="1" w:styleId="324">
    <w:name w:val="Char Char26"/>
    <w:qFormat/>
    <w:uiPriority w:val="6"/>
    <w:rPr>
      <w:kern w:val="1"/>
      <w:sz w:val="21"/>
      <w:szCs w:val="24"/>
    </w:rPr>
  </w:style>
  <w:style w:type="character" w:customStyle="1" w:styleId="325">
    <w:name w:val="Item List Char"/>
    <w:link w:val="326"/>
    <w:qFormat/>
    <w:uiPriority w:val="0"/>
    <w:rPr>
      <w:rFonts w:ascii="Arial"/>
      <w:bCs/>
      <w:sz w:val="21"/>
      <w:szCs w:val="21"/>
      <w:lang w:val="en-US" w:eastAsia="zh-CN" w:bidi="ar-SA"/>
    </w:rPr>
  </w:style>
  <w:style w:type="paragraph" w:customStyle="1" w:styleId="326">
    <w:name w:val="Item List"/>
    <w:link w:val="32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7">
    <w:name w:val="批注框文本 Char1"/>
    <w:qFormat/>
    <w:uiPriority w:val="0"/>
    <w:rPr>
      <w:rFonts w:ascii="Times New Roman" w:hAnsi="Times New Roman" w:eastAsia="宋体" w:cs="Times New Roman"/>
      <w:sz w:val="18"/>
      <w:szCs w:val="18"/>
    </w:rPr>
  </w:style>
  <w:style w:type="character" w:customStyle="1" w:styleId="328">
    <w:name w:val="纯文本 Char1"/>
    <w:link w:val="329"/>
    <w:qFormat/>
    <w:uiPriority w:val="0"/>
    <w:rPr>
      <w:rFonts w:ascii="宋体" w:hAnsi="Courier New"/>
    </w:rPr>
  </w:style>
  <w:style w:type="paragraph" w:customStyle="1" w:styleId="329">
    <w:name w:val="纯文本1"/>
    <w:basedOn w:val="1"/>
    <w:link w:val="328"/>
    <w:qFormat/>
    <w:uiPriority w:val="0"/>
    <w:pPr>
      <w:adjustRightInd/>
    </w:pPr>
    <w:rPr>
      <w:rFonts w:ascii="宋体" w:hAnsi="Courier New"/>
      <w:kern w:val="0"/>
      <w:sz w:val="20"/>
      <w:szCs w:val="20"/>
    </w:rPr>
  </w:style>
  <w:style w:type="character" w:customStyle="1" w:styleId="330">
    <w:name w:val="正文首行缩进 Char"/>
    <w:link w:val="63"/>
    <w:qFormat/>
    <w:uiPriority w:val="0"/>
    <w:rPr>
      <w:rFonts w:ascii="宋体"/>
      <w:kern w:val="2"/>
      <w:sz w:val="24"/>
      <w:lang w:val="zh-CN"/>
    </w:rPr>
  </w:style>
  <w:style w:type="character" w:customStyle="1" w:styleId="331">
    <w:name w:val="h3 Char"/>
    <w:qFormat/>
    <w:uiPriority w:val="0"/>
    <w:rPr>
      <w:rFonts w:eastAsia="宋体"/>
      <w:b/>
      <w:kern w:val="2"/>
      <w:sz w:val="32"/>
      <w:lang w:val="en-US" w:eastAsia="zh-CN" w:bidi="ar-SA"/>
    </w:rPr>
  </w:style>
  <w:style w:type="character" w:customStyle="1" w:styleId="332">
    <w:name w:val="dandyren_title1"/>
    <w:qFormat/>
    <w:uiPriority w:val="0"/>
    <w:rPr>
      <w:b/>
      <w:bCs/>
      <w:color w:val="FF6633"/>
      <w:sz w:val="18"/>
      <w:szCs w:val="18"/>
    </w:rPr>
  </w:style>
  <w:style w:type="character" w:customStyle="1" w:styleId="333">
    <w:name w:val="Char Char31"/>
    <w:qFormat/>
    <w:uiPriority w:val="6"/>
    <w:rPr>
      <w:rFonts w:ascii="Arial" w:hAnsi="Arial" w:eastAsia="黑体"/>
      <w:kern w:val="1"/>
      <w:sz w:val="24"/>
      <w:szCs w:val="24"/>
    </w:rPr>
  </w:style>
  <w:style w:type="character" w:customStyle="1" w:styleId="334">
    <w:name w:val="h Char1"/>
    <w:qFormat/>
    <w:uiPriority w:val="0"/>
    <w:rPr>
      <w:sz w:val="18"/>
      <w:szCs w:val="18"/>
    </w:rPr>
  </w:style>
  <w:style w:type="character" w:customStyle="1" w:styleId="335">
    <w:name w:val="solutionfonts"/>
    <w:qFormat/>
    <w:uiPriority w:val="0"/>
  </w:style>
  <w:style w:type="character" w:customStyle="1" w:styleId="336">
    <w:name w:val="标题 4 Char2"/>
    <w:link w:val="6"/>
    <w:qFormat/>
    <w:uiPriority w:val="9"/>
    <w:rPr>
      <w:rFonts w:ascii="Arial" w:hAnsi="Arial" w:eastAsia="黑体"/>
      <w:b/>
      <w:bCs/>
      <w:kern w:val="2"/>
      <w:sz w:val="28"/>
      <w:szCs w:val="28"/>
      <w:lang w:val="zh-CN"/>
    </w:rPr>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正文文本 3 Char"/>
    <w:link w:val="22"/>
    <w:qFormat/>
    <w:uiPriority w:val="0"/>
    <w:rPr>
      <w:kern w:val="2"/>
      <w:sz w:val="21"/>
    </w:rPr>
  </w:style>
  <w:style w:type="character" w:customStyle="1" w:styleId="340">
    <w:name w:val="font31"/>
    <w:qFormat/>
    <w:uiPriority w:val="0"/>
    <w:rPr>
      <w:rFonts w:hint="eastAsia" w:ascii="仿宋" w:hAnsi="仿宋" w:eastAsia="仿宋" w:cs="仿宋"/>
      <w:color w:val="000000"/>
      <w:sz w:val="20"/>
      <w:szCs w:val="20"/>
      <w:u w:val="none"/>
    </w:rPr>
  </w:style>
  <w:style w:type="character" w:customStyle="1" w:styleId="341">
    <w:name w:val="正文说明 Char"/>
    <w:link w:val="342"/>
    <w:qFormat/>
    <w:uiPriority w:val="0"/>
    <w:rPr>
      <w:sz w:val="24"/>
      <w:szCs w:val="24"/>
    </w:rPr>
  </w:style>
  <w:style w:type="paragraph" w:customStyle="1" w:styleId="342">
    <w:name w:val="正文说明"/>
    <w:basedOn w:val="1"/>
    <w:link w:val="341"/>
    <w:qFormat/>
    <w:uiPriority w:val="0"/>
    <w:pPr>
      <w:adjustRightInd/>
      <w:spacing w:line="360" w:lineRule="auto"/>
    </w:pPr>
    <w:rPr>
      <w:kern w:val="0"/>
      <w:sz w:val="24"/>
    </w:rPr>
  </w:style>
  <w:style w:type="character" w:customStyle="1" w:styleId="343">
    <w:name w:val="脚注文本 Char1"/>
    <w:qFormat/>
    <w:uiPriority w:val="0"/>
    <w:rPr>
      <w:rFonts w:ascii="Times New Roman" w:hAnsi="Times New Roman" w:eastAsia="宋体" w:cs="Times New Roman"/>
      <w:sz w:val="18"/>
      <w:szCs w:val="18"/>
    </w:rPr>
  </w:style>
  <w:style w:type="character" w:customStyle="1" w:styleId="344">
    <w:name w:val="Char Char1211"/>
    <w:qFormat/>
    <w:uiPriority w:val="0"/>
    <w:rPr>
      <w:rFonts w:ascii="仿宋_GB2312" w:eastAsia="仿宋_GB2312"/>
      <w:b/>
      <w:bCs/>
      <w:kern w:val="2"/>
      <w:sz w:val="24"/>
      <w:szCs w:val="24"/>
      <w:lang w:val="zh-CN" w:eastAsia="zh-CN" w:bidi="ar-SA"/>
    </w:rPr>
  </w:style>
  <w:style w:type="character" w:customStyle="1" w:styleId="345">
    <w:name w:val="标题 Char"/>
    <w:qFormat/>
    <w:uiPriority w:val="0"/>
    <w:rPr>
      <w:rFonts w:eastAsia="宋体"/>
      <w:b/>
      <w:sz w:val="24"/>
      <w:lang w:val="en-GB" w:eastAsia="zh-CN" w:bidi="ar-SA"/>
    </w:rPr>
  </w:style>
  <w:style w:type="character" w:customStyle="1" w:styleId="346">
    <w:name w:val="Char Char35"/>
    <w:qFormat/>
    <w:uiPriority w:val="6"/>
    <w:rPr>
      <w:rFonts w:ascii="Arial" w:hAnsi="Arial" w:eastAsia="黑体"/>
      <w:b/>
      <w:kern w:val="1"/>
      <w:sz w:val="28"/>
      <w:szCs w:val="28"/>
      <w:lang w:val="zh-CN"/>
    </w:rPr>
  </w:style>
  <w:style w:type="character" w:customStyle="1" w:styleId="347">
    <w:name w:val="纯文本 Char Char Char"/>
    <w:qFormat/>
    <w:uiPriority w:val="0"/>
    <w:rPr>
      <w:rFonts w:ascii="宋体" w:hAnsi="Courier New" w:eastAsia="宋体"/>
      <w:kern w:val="2"/>
      <w:sz w:val="21"/>
      <w:lang w:val="en-US" w:eastAsia="zh-CN" w:bidi="ar-SA"/>
    </w:rPr>
  </w:style>
  <w:style w:type="character" w:customStyle="1" w:styleId="348">
    <w:name w:val="Table Text Char"/>
    <w:link w:val="349"/>
    <w:qFormat/>
    <w:uiPriority w:val="0"/>
    <w:rPr>
      <w:sz w:val="24"/>
      <w:szCs w:val="24"/>
    </w:rPr>
  </w:style>
  <w:style w:type="paragraph" w:customStyle="1" w:styleId="349">
    <w:name w:val="Table Text"/>
    <w:basedOn w:val="1"/>
    <w:link w:val="348"/>
    <w:qFormat/>
    <w:uiPriority w:val="0"/>
    <w:pPr>
      <w:widowControl/>
      <w:spacing w:before="60" w:after="60"/>
      <w:jc w:val="left"/>
    </w:pPr>
    <w:rPr>
      <w:kern w:val="0"/>
      <w:sz w:val="24"/>
    </w:rPr>
  </w:style>
  <w:style w:type="character" w:customStyle="1" w:styleId="350">
    <w:name w:val="正文1 Char1"/>
    <w:qFormat/>
    <w:uiPriority w:val="0"/>
    <w:rPr>
      <w:rFonts w:ascii="仿宋_GB2312" w:hAnsi="Courier New" w:eastAsia="仿宋_GB2312"/>
      <w:kern w:val="28"/>
      <w:sz w:val="24"/>
      <w:szCs w:val="24"/>
      <w:lang w:val="en-US" w:eastAsia="zh-CN"/>
    </w:rPr>
  </w:style>
  <w:style w:type="character" w:customStyle="1" w:styleId="351">
    <w:name w:val="页脚 Char1"/>
    <w:qFormat/>
    <w:uiPriority w:val="0"/>
    <w:rPr>
      <w:rFonts w:eastAsia="宋体"/>
      <w:kern w:val="2"/>
      <w:sz w:val="18"/>
      <w:szCs w:val="18"/>
      <w:lang w:val="en-US" w:eastAsia="zh-CN" w:bidi="ar-SA"/>
    </w:rPr>
  </w:style>
  <w:style w:type="character" w:customStyle="1" w:styleId="352">
    <w:name w:val="Bold"/>
    <w:qFormat/>
    <w:uiPriority w:val="0"/>
    <w:rPr>
      <w:rFonts w:ascii="Arial" w:hAnsi="Arial" w:eastAsia="黑体" w:cs="Times New Roman"/>
      <w:b/>
      <w:kern w:val="2"/>
      <w:sz w:val="32"/>
      <w:szCs w:val="32"/>
      <w:lang w:val="en-US" w:eastAsia="zh-CN" w:bidi="ar-SA"/>
    </w:rPr>
  </w:style>
  <w:style w:type="character" w:customStyle="1" w:styleId="353">
    <w:name w:val="批注文字 Char1"/>
    <w:link w:val="20"/>
    <w:qFormat/>
    <w:uiPriority w:val="0"/>
    <w:rPr>
      <w:kern w:val="2"/>
      <w:sz w:val="21"/>
      <w:szCs w:val="24"/>
    </w:rPr>
  </w:style>
  <w:style w:type="character" w:customStyle="1" w:styleId="354">
    <w:name w:val="签名 Char"/>
    <w:link w:val="44"/>
    <w:qFormat/>
    <w:uiPriority w:val="0"/>
    <w:rPr>
      <w:rFonts w:eastAsia="仿宋_GB2312"/>
      <w:sz w:val="24"/>
    </w:rPr>
  </w:style>
  <w:style w:type="character" w:customStyle="1" w:styleId="355">
    <w:name w:val="hui3"/>
    <w:qFormat/>
    <w:uiPriority w:val="0"/>
    <w:rPr>
      <w:color w:val="333333"/>
    </w:rPr>
  </w:style>
  <w:style w:type="character" w:customStyle="1" w:styleId="356">
    <w:name w:val="Char Char17"/>
    <w:qFormat/>
    <w:uiPriority w:val="6"/>
    <w:rPr>
      <w:rFonts w:eastAsia="仿宋_GB2312"/>
      <w:sz w:val="24"/>
    </w:rPr>
  </w:style>
  <w:style w:type="character" w:customStyle="1" w:styleId="357">
    <w:name w:val="标题 4 字符"/>
    <w:qFormat/>
    <w:uiPriority w:val="9"/>
    <w:rPr>
      <w:rFonts w:ascii="等线 Light" w:hAnsi="等线 Light" w:eastAsia="等线 Light" w:cs="Times New Roman"/>
      <w:b/>
      <w:bCs/>
      <w:snapToGrid w:val="0"/>
      <w:kern w:val="0"/>
      <w:sz w:val="28"/>
      <w:szCs w:val="28"/>
    </w:rPr>
  </w:style>
  <w:style w:type="character" w:customStyle="1" w:styleId="358">
    <w:name w:val="Char Char37"/>
    <w:qFormat/>
    <w:uiPriority w:val="6"/>
    <w:rPr>
      <w:b/>
      <w:kern w:val="1"/>
      <w:sz w:val="44"/>
      <w:szCs w:val="44"/>
    </w:rPr>
  </w:style>
  <w:style w:type="character" w:customStyle="1" w:styleId="359">
    <w:name w:val="列出段落 Char"/>
    <w:qFormat/>
    <w:uiPriority w:val="0"/>
    <w:rPr>
      <w:rFonts w:eastAsia="楷体_GB2312" w:cs="Lucida Sans"/>
      <w:kern w:val="2"/>
      <w:sz w:val="24"/>
      <w:szCs w:val="24"/>
      <w:lang w:val="en-US" w:eastAsia="zh-CN" w:bidi="ar-SA"/>
    </w:rPr>
  </w:style>
  <w:style w:type="character" w:customStyle="1" w:styleId="360">
    <w:name w:val="正文文本缩进 3 Char1"/>
    <w:qFormat/>
    <w:uiPriority w:val="99"/>
    <w:rPr>
      <w:rFonts w:ascii="Times New Roman" w:hAnsi="Times New Roman" w:eastAsia="宋体" w:cs="Times New Roman"/>
      <w:sz w:val="16"/>
      <w:szCs w:val="16"/>
    </w:rPr>
  </w:style>
  <w:style w:type="character" w:customStyle="1" w:styleId="361">
    <w:name w:val="公文正文 Char Char"/>
    <w:link w:val="362"/>
    <w:qFormat/>
    <w:uiPriority w:val="0"/>
    <w:rPr>
      <w:rFonts w:ascii="仿宋_GB2312" w:eastAsia="仿宋_GB2312"/>
      <w:kern w:val="2"/>
      <w:sz w:val="24"/>
      <w:szCs w:val="24"/>
    </w:rPr>
  </w:style>
  <w:style w:type="paragraph" w:customStyle="1" w:styleId="362">
    <w:name w:val="公文正文"/>
    <w:basedOn w:val="1"/>
    <w:link w:val="361"/>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qFormat/>
    <w:uiPriority w:val="0"/>
    <w:rPr>
      <w:rFonts w:eastAsia="宋体"/>
      <w:sz w:val="24"/>
      <w:szCs w:val="24"/>
      <w:lang w:val="en-US" w:eastAsia="zh-CN" w:bidi="ar-SA"/>
    </w:rPr>
  </w:style>
  <w:style w:type="character" w:customStyle="1" w:styleId="364">
    <w:name w:val="标题 1 Char Char"/>
    <w:qFormat/>
    <w:uiPriority w:val="0"/>
    <w:rPr>
      <w:rFonts w:hint="eastAsia" w:ascii="宋体" w:hAnsi="宋体" w:eastAsia="宋体"/>
      <w:b/>
      <w:spacing w:val="-2"/>
      <w:sz w:val="24"/>
      <w:lang w:val="en-US" w:eastAsia="zh-CN" w:bidi="ar-SA"/>
    </w:rPr>
  </w:style>
  <w:style w:type="character" w:customStyle="1" w:styleId="365">
    <w:name w:val="正文（缩进2汉字） Char"/>
    <w:link w:val="366"/>
    <w:qFormat/>
    <w:uiPriority w:val="0"/>
    <w:rPr>
      <w:rFonts w:ascii="宋体"/>
    </w:rPr>
  </w:style>
  <w:style w:type="paragraph" w:customStyle="1" w:styleId="366">
    <w:name w:val="正文（缩进2汉字）"/>
    <w:basedOn w:val="1"/>
    <w:link w:val="3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题 8 Char"/>
    <w:link w:val="10"/>
    <w:qFormat/>
    <w:uiPriority w:val="0"/>
    <w:rPr>
      <w:rFonts w:ascii="Arial" w:hAnsi="Arial" w:eastAsia="黑体"/>
      <w:kern w:val="2"/>
      <w:sz w:val="24"/>
      <w:szCs w:val="24"/>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正文文本缩进 3 Char"/>
    <w:link w:val="55"/>
    <w:qFormat/>
    <w:uiPriority w:val="0"/>
    <w:rPr>
      <w:kern w:val="2"/>
      <w:sz w:val="24"/>
    </w:rPr>
  </w:style>
  <w:style w:type="character" w:customStyle="1" w:styleId="385">
    <w:name w:val="日期 Char1"/>
    <w:qFormat/>
    <w:uiPriority w:val="99"/>
    <w:rPr>
      <w:rFonts w:ascii="Times New Roman" w:hAnsi="Times New Roman" w:eastAsia="宋体" w:cs="Times New Roman"/>
      <w:szCs w:val="24"/>
    </w:rPr>
  </w:style>
  <w:style w:type="character" w:customStyle="1" w:styleId="386">
    <w:name w:val="页眉 字符"/>
    <w:qFormat/>
    <w:uiPriority w:val="99"/>
    <w:rPr>
      <w:kern w:val="2"/>
      <w:sz w:val="18"/>
      <w:szCs w:val="18"/>
    </w:rPr>
  </w:style>
  <w:style w:type="character" w:customStyle="1" w:styleId="387">
    <w:name w:val="Char Char33"/>
    <w:qFormat/>
    <w:uiPriority w:val="6"/>
    <w:rPr>
      <w:rFonts w:ascii="Arial" w:hAnsi="Arial" w:eastAsia="黑体"/>
      <w:b/>
      <w:kern w:val="1"/>
      <w:sz w:val="24"/>
      <w:szCs w:val="24"/>
    </w:rPr>
  </w:style>
  <w:style w:type="character" w:customStyle="1" w:styleId="388">
    <w:name w:val="b11_01b Char"/>
    <w:link w:val="389"/>
    <w:qFormat/>
    <w:uiPriority w:val="0"/>
    <w:rPr>
      <w:rFonts w:ascii="Verdana" w:hAnsi="Verdana"/>
      <w:b/>
      <w:bCs/>
      <w:color w:val="4A82CA"/>
      <w:sz w:val="17"/>
      <w:szCs w:val="17"/>
    </w:rPr>
  </w:style>
  <w:style w:type="paragraph" w:customStyle="1" w:styleId="389">
    <w:name w:val="b11_01b"/>
    <w:basedOn w:val="1"/>
    <w:next w:val="1"/>
    <w:link w:val="3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qFormat/>
    <w:uiPriority w:val="6"/>
    <w:rPr>
      <w:rFonts w:ascii="仿宋_GB2312" w:eastAsia="仿宋_GB2312"/>
      <w:b/>
      <w:bCs/>
      <w:kern w:val="2"/>
      <w:sz w:val="24"/>
      <w:szCs w:val="24"/>
      <w:lang w:val="zh-CN" w:eastAsia="zh-CN" w:bidi="ar-SA"/>
    </w:rPr>
  </w:style>
  <w:style w:type="character" w:customStyle="1" w:styleId="391">
    <w:name w:val="Footer-Even Char"/>
    <w:qFormat/>
    <w:uiPriority w:val="0"/>
    <w:rPr>
      <w:rFonts w:eastAsia="宋体"/>
      <w:kern w:val="2"/>
      <w:sz w:val="18"/>
      <w:lang w:val="en-US" w:eastAsia="zh-CN" w:bidi="ar-SA"/>
    </w:rPr>
  </w:style>
  <w:style w:type="character" w:customStyle="1" w:styleId="392">
    <w:name w:val="页脚 Char2"/>
    <w:link w:val="41"/>
    <w:qFormat/>
    <w:uiPriority w:val="99"/>
    <w:rPr>
      <w:kern w:val="2"/>
      <w:sz w:val="18"/>
      <w:szCs w:val="18"/>
    </w:rPr>
  </w:style>
  <w:style w:type="character" w:customStyle="1" w:styleId="393">
    <w:name w:val="Char Char36"/>
    <w:qFormat/>
    <w:uiPriority w:val="6"/>
    <w:rPr>
      <w:rFonts w:ascii="仿宋_GB2312" w:hAnsi="仿宋_GB2312" w:eastAsia="仿宋_GB2312" w:cs="Arial"/>
      <w:b/>
      <w:kern w:val="1"/>
      <w:sz w:val="32"/>
      <w:szCs w:val="32"/>
      <w:lang w:val="zh-CN" w:eastAsia="zh-CN" w:bidi="ar-SA"/>
    </w:rPr>
  </w:style>
  <w:style w:type="character" w:customStyle="1" w:styleId="394">
    <w:name w:val="Char Char61"/>
    <w:qFormat/>
    <w:uiPriority w:val="6"/>
    <w:rPr>
      <w:rFonts w:eastAsia="宋体"/>
      <w:kern w:val="2"/>
      <w:sz w:val="21"/>
      <w:szCs w:val="24"/>
      <w:lang w:val="en-US" w:eastAsia="zh-CN" w:bidi="ar-SA"/>
    </w:rPr>
  </w:style>
  <w:style w:type="character" w:customStyle="1" w:styleId="395">
    <w:name w:val="正文文字缩进 2 Char Char"/>
    <w:qFormat/>
    <w:uiPriority w:val="0"/>
    <w:rPr>
      <w:rFonts w:ascii="宋体"/>
      <w:sz w:val="28"/>
    </w:rPr>
  </w:style>
  <w:style w:type="character" w:customStyle="1" w:styleId="396">
    <w:name w:val="f141"/>
    <w:qFormat/>
    <w:uiPriority w:val="0"/>
    <w:rPr>
      <w:rFonts w:ascii="Tahoma" w:hAnsi="Tahoma" w:eastAsia="宋体"/>
      <w:b/>
      <w:kern w:val="2"/>
      <w:sz w:val="21"/>
      <w:szCs w:val="21"/>
      <w:lang w:val="en-US" w:eastAsia="zh-CN" w:bidi="ar-SA"/>
    </w:rPr>
  </w:style>
  <w:style w:type="character" w:customStyle="1" w:styleId="397">
    <w:name w:val="段落 Char Char"/>
    <w:link w:val="398"/>
    <w:qFormat/>
    <w:uiPriority w:val="0"/>
    <w:rPr>
      <w:rFonts w:ascii="宋体" w:hAnsi="宋体"/>
      <w:sz w:val="24"/>
    </w:rPr>
  </w:style>
  <w:style w:type="paragraph" w:customStyle="1" w:styleId="398">
    <w:name w:val="段落"/>
    <w:basedOn w:val="1"/>
    <w:link w:val="397"/>
    <w:qFormat/>
    <w:uiPriority w:val="0"/>
    <w:pPr>
      <w:adjustRightInd/>
      <w:spacing w:line="360" w:lineRule="auto"/>
      <w:ind w:firstLine="480" w:firstLineChars="200"/>
    </w:pPr>
    <w:rPr>
      <w:rFonts w:ascii="宋体" w:hAnsi="宋体"/>
      <w:kern w:val="0"/>
      <w:sz w:val="24"/>
      <w:szCs w:val="20"/>
    </w:rPr>
  </w:style>
  <w:style w:type="character" w:customStyle="1" w:styleId="399">
    <w:name w:val="标题 3 Char2"/>
    <w:qFormat/>
    <w:uiPriority w:val="0"/>
    <w:rPr>
      <w:rFonts w:eastAsia="宋体"/>
      <w:b/>
      <w:bCs/>
      <w:kern w:val="2"/>
      <w:sz w:val="32"/>
      <w:szCs w:val="32"/>
      <w:lang w:val="en-US" w:eastAsia="zh-CN" w:bidi="ar-SA"/>
    </w:rPr>
  </w:style>
  <w:style w:type="character" w:customStyle="1" w:styleId="400">
    <w:name w:val="apple-converted-space"/>
    <w:qFormat/>
    <w:uiPriority w:val="0"/>
  </w:style>
  <w:style w:type="character" w:customStyle="1" w:styleId="401">
    <w:name w:val="页眉 Char2"/>
    <w:link w:val="42"/>
    <w:qFormat/>
    <w:uiPriority w:val="99"/>
    <w:rPr>
      <w:rFonts w:ascii="Times New Roman" w:hAnsi="Times New Roman" w:eastAsia="宋体"/>
      <w:kern w:val="2"/>
      <w:sz w:val="18"/>
      <w:szCs w:val="18"/>
    </w:rPr>
  </w:style>
  <w:style w:type="character" w:customStyle="1" w:styleId="402">
    <w:name w:val="Char Char9"/>
    <w:qFormat/>
    <w:uiPriority w:val="0"/>
    <w:rPr>
      <w:rFonts w:eastAsia="宋体"/>
      <w:kern w:val="2"/>
      <w:sz w:val="18"/>
      <w:szCs w:val="18"/>
      <w:lang w:val="en-US" w:eastAsia="zh-CN" w:bidi="ar-SA"/>
    </w:rPr>
  </w:style>
  <w:style w:type="character" w:customStyle="1" w:styleId="403">
    <w:name w:val="Char Char41"/>
    <w:qFormat/>
    <w:uiPriority w:val="0"/>
    <w:rPr>
      <w:rFonts w:eastAsia="宋体"/>
      <w:b/>
      <w:sz w:val="24"/>
      <w:lang w:val="en-GB" w:eastAsia="zh-CN" w:bidi="ar-SA"/>
    </w:rPr>
  </w:style>
  <w:style w:type="character" w:customStyle="1" w:styleId="404">
    <w:name w:val="large1"/>
    <w:qFormat/>
    <w:uiPriority w:val="0"/>
    <w:rPr>
      <w:rFonts w:hint="eastAsia" w:ascii="宋体" w:hAnsi="宋体" w:eastAsia="宋体"/>
      <w:sz w:val="21"/>
      <w:szCs w:val="21"/>
    </w:rPr>
  </w:style>
  <w:style w:type="character" w:customStyle="1" w:styleId="405">
    <w:name w:val="正文段 Char"/>
    <w:link w:val="406"/>
    <w:qFormat/>
    <w:uiPriority w:val="0"/>
    <w:rPr>
      <w:sz w:val="24"/>
    </w:rPr>
  </w:style>
  <w:style w:type="paragraph" w:customStyle="1" w:styleId="406">
    <w:name w:val="正文段"/>
    <w:basedOn w:val="1"/>
    <w:link w:val="405"/>
    <w:qFormat/>
    <w:uiPriority w:val="0"/>
    <w:pPr>
      <w:widowControl/>
      <w:snapToGrid w:val="0"/>
      <w:spacing w:after="156" w:afterLines="50"/>
      <w:ind w:firstLine="200" w:firstLineChars="200"/>
    </w:pPr>
    <w:rPr>
      <w:kern w:val="0"/>
      <w:sz w:val="24"/>
      <w:szCs w:val="20"/>
    </w:rPr>
  </w:style>
  <w:style w:type="character" w:customStyle="1" w:styleId="407">
    <w:name w:val="Char Char13"/>
    <w:qFormat/>
    <w:uiPriority w:val="6"/>
    <w:rPr>
      <w:rFonts w:ascii="宋体" w:hAnsi="宋体"/>
      <w:kern w:val="1"/>
      <w:sz w:val="21"/>
      <w:szCs w:val="24"/>
    </w:rPr>
  </w:style>
  <w:style w:type="character" w:customStyle="1" w:styleId="4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9">
    <w:name w:val="冯广丽 Char"/>
    <w:link w:val="410"/>
    <w:qFormat/>
    <w:uiPriority w:val="0"/>
    <w:rPr>
      <w:rFonts w:ascii="宋体" w:hAnsi="宋体"/>
      <w:kern w:val="2"/>
      <w:sz w:val="24"/>
      <w:szCs w:val="22"/>
    </w:rPr>
  </w:style>
  <w:style w:type="paragraph" w:customStyle="1" w:styleId="410">
    <w:name w:val="冯广丽"/>
    <w:basedOn w:val="1"/>
    <w:link w:val="409"/>
    <w:qFormat/>
    <w:uiPriority w:val="0"/>
    <w:pPr>
      <w:adjustRightInd/>
      <w:spacing w:line="360" w:lineRule="auto"/>
      <w:ind w:firstLine="480" w:firstLineChars="200"/>
    </w:pPr>
    <w:rPr>
      <w:rFonts w:ascii="宋体" w:hAnsi="宋体"/>
      <w:sz w:val="24"/>
      <w:szCs w:val="22"/>
    </w:rPr>
  </w:style>
  <w:style w:type="character" w:customStyle="1" w:styleId="411">
    <w:name w:val="批注文字 字符"/>
    <w:qFormat/>
    <w:uiPriority w:val="0"/>
    <w:rPr>
      <w:rFonts w:ascii="Arial" w:hAnsi="Arial" w:eastAsia="黑体" w:cs="Arial"/>
      <w:snapToGrid w:val="0"/>
      <w:kern w:val="0"/>
      <w:szCs w:val="21"/>
    </w:rPr>
  </w:style>
  <w:style w:type="character" w:customStyle="1" w:styleId="412">
    <w:name w:val="Char Char161"/>
    <w:qFormat/>
    <w:uiPriority w:val="0"/>
    <w:rPr>
      <w:rFonts w:eastAsia="宋体"/>
      <w:b/>
      <w:kern w:val="2"/>
      <w:sz w:val="32"/>
      <w:lang w:val="en-US" w:eastAsia="zh-CN"/>
    </w:rPr>
  </w:style>
  <w:style w:type="character" w:customStyle="1" w:styleId="413">
    <w:name w:val="javascript"/>
    <w:qFormat/>
    <w:uiPriority w:val="0"/>
  </w:style>
  <w:style w:type="character" w:customStyle="1" w:styleId="414">
    <w:name w:val="图名 Char"/>
    <w:qFormat/>
    <w:uiPriority w:val="0"/>
    <w:rPr>
      <w:rFonts w:ascii="Arial" w:hAnsi="Arial" w:eastAsia="黑体"/>
      <w:kern w:val="2"/>
      <w:sz w:val="24"/>
      <w:szCs w:val="24"/>
      <w:lang w:val="en-US" w:eastAsia="zh-CN" w:bidi="ar-SA"/>
    </w:rPr>
  </w:style>
  <w:style w:type="character" w:customStyle="1" w:styleId="415">
    <w:name w:val="Used by Word for text of Help footnotes Char Char"/>
    <w:qFormat/>
    <w:uiPriority w:val="0"/>
    <w:rPr>
      <w:rFonts w:ascii="Times New Roman" w:hAnsi="Times New Roman" w:eastAsia="宋体" w:cs="Times New Roman"/>
      <w:sz w:val="20"/>
      <w:szCs w:val="20"/>
    </w:rPr>
  </w:style>
  <w:style w:type="character" w:customStyle="1" w:styleId="416">
    <w:name w:val="编号，小四 Char"/>
    <w:link w:val="417"/>
    <w:qFormat/>
    <w:uiPriority w:val="0"/>
    <w:rPr>
      <w:rFonts w:ascii="Arial" w:hAnsi="Arial"/>
      <w:sz w:val="24"/>
    </w:rPr>
  </w:style>
  <w:style w:type="paragraph" w:customStyle="1" w:styleId="417">
    <w:name w:val="编号，小四"/>
    <w:basedOn w:val="1"/>
    <w:link w:val="416"/>
    <w:qFormat/>
    <w:uiPriority w:val="0"/>
    <w:pPr>
      <w:tabs>
        <w:tab w:val="left" w:pos="432"/>
      </w:tabs>
      <w:adjustRightInd/>
      <w:spacing w:line="360" w:lineRule="auto"/>
      <w:ind w:left="432" w:hanging="432"/>
    </w:pPr>
    <w:rPr>
      <w:rFonts w:ascii="Arial" w:hAnsi="Arial"/>
      <w:kern w:val="0"/>
      <w:sz w:val="24"/>
      <w:szCs w:val="20"/>
    </w:rPr>
  </w:style>
  <w:style w:type="character" w:customStyle="1" w:styleId="418">
    <w:name w:val="Font Style82"/>
    <w:qFormat/>
    <w:uiPriority w:val="99"/>
    <w:rPr>
      <w:rFonts w:ascii="宋体" w:eastAsia="宋体" w:cs="宋体"/>
      <w:color w:val="000000"/>
      <w:sz w:val="14"/>
      <w:szCs w:val="14"/>
    </w:rPr>
  </w:style>
  <w:style w:type="character" w:customStyle="1" w:styleId="419">
    <w:name w:val="标题 2 Char Char"/>
    <w:qFormat/>
    <w:uiPriority w:val="0"/>
    <w:rPr>
      <w:rFonts w:ascii="楷体_GB2312" w:hAnsi="Arial" w:eastAsia="楷体_GB2312"/>
      <w:b/>
      <w:bCs/>
      <w:kern w:val="2"/>
      <w:sz w:val="24"/>
      <w:szCs w:val="32"/>
      <w:lang w:val="en-US" w:eastAsia="zh-CN" w:bidi="ar-SA"/>
    </w:rPr>
  </w:style>
  <w:style w:type="character" w:customStyle="1" w:styleId="420">
    <w:name w:val="未用 Char"/>
    <w:qFormat/>
    <w:uiPriority w:val="0"/>
    <w:rPr>
      <w:rFonts w:ascii="Arial" w:hAnsi="Arial" w:eastAsia="黑体"/>
      <w:kern w:val="2"/>
      <w:sz w:val="21"/>
      <w:szCs w:val="21"/>
      <w:lang w:val="en-US" w:eastAsia="zh-CN" w:bidi="ar-SA"/>
    </w:rPr>
  </w:style>
  <w:style w:type="character" w:customStyle="1" w:styleId="421">
    <w:name w:val="myp1111"/>
    <w:qFormat/>
    <w:uiPriority w:val="0"/>
    <w:rPr>
      <w:rFonts w:hint="default" w:ascii="ˎ̥" w:hAnsi="ˎ̥"/>
      <w:color w:val="000000"/>
      <w:sz w:val="20"/>
      <w:szCs w:val="20"/>
      <w:u w:val="none"/>
    </w:rPr>
  </w:style>
  <w:style w:type="character" w:customStyle="1" w:styleId="422">
    <w:name w:val="样式 标题 4h4H4Fab-4T5Ref Heading 1rh1Heading sqlsect 1.2.3.... Char"/>
    <w:link w:val="314"/>
    <w:qFormat/>
    <w:uiPriority w:val="0"/>
    <w:rPr>
      <w:rFonts w:ascii="微软雅黑" w:hAnsi="微软雅黑" w:eastAsia="微软雅黑"/>
      <w:b/>
      <w:bCs/>
      <w:kern w:val="2"/>
      <w:sz w:val="24"/>
      <w:szCs w:val="28"/>
    </w:rPr>
  </w:style>
  <w:style w:type="character" w:customStyle="1" w:styleId="423">
    <w:name w:val="h Char Char"/>
    <w:qFormat/>
    <w:uiPriority w:val="0"/>
    <w:rPr>
      <w:rFonts w:eastAsia="宋体"/>
      <w:kern w:val="2"/>
      <w:sz w:val="18"/>
      <w:lang w:val="en-US" w:eastAsia="zh-CN" w:bidi="ar-SA"/>
    </w:rPr>
  </w:style>
  <w:style w:type="character" w:customStyle="1" w:styleId="424">
    <w:name w:val="仿宋正文 Char"/>
    <w:link w:val="425"/>
    <w:qFormat/>
    <w:uiPriority w:val="0"/>
    <w:rPr>
      <w:rFonts w:ascii="仿宋_GB2312" w:eastAsia="仿宋_GB2312"/>
      <w:kern w:val="2"/>
      <w:sz w:val="24"/>
      <w:lang w:val="en-US" w:eastAsia="zh-CN" w:bidi="ar-SA"/>
    </w:rPr>
  </w:style>
  <w:style w:type="paragraph" w:customStyle="1" w:styleId="425">
    <w:name w:val="仿宋正文"/>
    <w:basedOn w:val="1"/>
    <w:link w:val="424"/>
    <w:qFormat/>
    <w:uiPriority w:val="0"/>
    <w:pPr>
      <w:adjustRightInd/>
      <w:spacing w:line="360" w:lineRule="auto"/>
      <w:ind w:firstLine="480" w:firstLineChars="200"/>
    </w:pPr>
    <w:rPr>
      <w:rFonts w:ascii="仿宋_GB2312" w:eastAsia="仿宋_GB2312"/>
      <w:sz w:val="24"/>
      <w:szCs w:val="20"/>
    </w:rPr>
  </w:style>
  <w:style w:type="character" w:customStyle="1" w:styleId="426">
    <w:name w:val="正文首行缩进 Char Char Char Char Char Char"/>
    <w:qFormat/>
    <w:uiPriority w:val="0"/>
    <w:rPr>
      <w:rFonts w:ascii="宋体" w:eastAsia="宋体"/>
      <w:kern w:val="2"/>
      <w:sz w:val="24"/>
      <w:lang w:val="zh-CN" w:bidi="ar-SA"/>
    </w:rPr>
  </w:style>
  <w:style w:type="character" w:customStyle="1" w:styleId="427">
    <w:name w:val="样式 宋体"/>
    <w:qFormat/>
    <w:uiPriority w:val="0"/>
    <w:rPr>
      <w:rFonts w:ascii="宋体" w:hAnsi="宋体"/>
      <w:sz w:val="24"/>
    </w:rPr>
  </w:style>
  <w:style w:type="character" w:customStyle="1" w:styleId="428">
    <w:name w:val="tw4winJump"/>
    <w:qFormat/>
    <w:uiPriority w:val="0"/>
    <w:rPr>
      <w:rFonts w:ascii="Courier New" w:hAnsi="Courier New" w:cs="Courier New"/>
      <w:color w:val="008080"/>
      <w:lang w:val="en-US" w:eastAsia="zh-CN"/>
    </w:rPr>
  </w:style>
  <w:style w:type="character" w:customStyle="1" w:styleId="429">
    <w:name w:val="style36"/>
    <w:basedOn w:val="79"/>
    <w:qFormat/>
    <w:uiPriority w:val="0"/>
    <w:rPr>
      <w:rFonts w:ascii="Arial" w:hAnsi="Arial" w:eastAsia="黑体" w:cs="Arial"/>
      <w:snapToGrid w:val="0"/>
      <w:kern w:val="0"/>
      <w:szCs w:val="21"/>
    </w:rPr>
  </w:style>
  <w:style w:type="character" w:customStyle="1" w:styleId="430">
    <w:name w:val="pt9"/>
    <w:qFormat/>
    <w:uiPriority w:val="0"/>
    <w:rPr>
      <w:rFonts w:ascii="仿宋_GB2312" w:eastAsia="微软雅黑"/>
      <w:b/>
      <w:kern w:val="2"/>
      <w:sz w:val="32"/>
      <w:szCs w:val="32"/>
      <w:lang w:val="en-US" w:eastAsia="zh-CN" w:bidi="ar-SA"/>
    </w:rPr>
  </w:style>
  <w:style w:type="character" w:customStyle="1" w:styleId="431">
    <w:name w:val="DO_NOT_TRANSLATE"/>
    <w:qFormat/>
    <w:uiPriority w:val="0"/>
    <w:rPr>
      <w:rFonts w:ascii="Courier New" w:hAnsi="Courier New" w:cs="Courier New"/>
      <w:color w:val="800000"/>
      <w:lang w:val="en-US" w:eastAsia="zh-CN"/>
    </w:rPr>
  </w:style>
  <w:style w:type="character" w:customStyle="1" w:styleId="432">
    <w:name w:val="标书1 Char1"/>
    <w:qFormat/>
    <w:uiPriority w:val="0"/>
    <w:rPr>
      <w:rFonts w:eastAsia="宋体"/>
      <w:b/>
      <w:bCs/>
      <w:kern w:val="44"/>
      <w:sz w:val="44"/>
      <w:szCs w:val="44"/>
      <w:lang w:val="en-US" w:eastAsia="zh-CN" w:bidi="ar-SA"/>
    </w:rPr>
  </w:style>
  <w:style w:type="character" w:customStyle="1" w:styleId="433">
    <w:name w:val="页脚 字符"/>
    <w:qFormat/>
    <w:uiPriority w:val="99"/>
    <w:rPr>
      <w:kern w:val="2"/>
      <w:sz w:val="18"/>
      <w:szCs w:val="18"/>
    </w:rPr>
  </w:style>
  <w:style w:type="character" w:customStyle="1" w:styleId="434">
    <w:name w:val="正文2 Char"/>
    <w:qFormat/>
    <w:uiPriority w:val="0"/>
    <w:rPr>
      <w:rFonts w:eastAsia="宋体"/>
      <w:kern w:val="2"/>
      <w:sz w:val="24"/>
      <w:lang w:val="en-US" w:eastAsia="zh-CN" w:bidi="ar-SA"/>
    </w:rPr>
  </w:style>
  <w:style w:type="character" w:customStyle="1" w:styleId="435">
    <w:name w:val="Char Char21"/>
    <w:qFormat/>
    <w:uiPriority w:val="6"/>
    <w:rPr>
      <w:rFonts w:ascii="宋体" w:hAnsi="宋体"/>
      <w:kern w:val="1"/>
      <w:sz w:val="24"/>
      <w:szCs w:val="21"/>
      <w:lang w:val="zh-CN"/>
    </w:rPr>
  </w:style>
  <w:style w:type="character" w:customStyle="1" w:styleId="436">
    <w:name w:val="样式 正文缩进 + 首行缩进:  2 字符 Char Char"/>
    <w:link w:val="437"/>
    <w:qFormat/>
    <w:uiPriority w:val="0"/>
    <w:rPr>
      <w:rFonts w:cs="宋体"/>
      <w:kern w:val="2"/>
      <w:sz w:val="24"/>
    </w:rPr>
  </w:style>
  <w:style w:type="paragraph" w:customStyle="1" w:styleId="437">
    <w:name w:val="样式 正文缩进 + 首行缩进:  2 字符"/>
    <w:basedOn w:val="16"/>
    <w:link w:val="436"/>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9">
    <w:name w:val="gray6"/>
    <w:basedOn w:val="79"/>
    <w:qFormat/>
    <w:uiPriority w:val="0"/>
    <w:rPr>
      <w:rFonts w:ascii="Arial" w:hAnsi="Arial" w:eastAsia="黑体" w:cs="Arial"/>
      <w:snapToGrid w:val="0"/>
      <w:kern w:val="0"/>
      <w:szCs w:val="21"/>
    </w:rPr>
  </w:style>
  <w:style w:type="character" w:customStyle="1" w:styleId="440">
    <w:name w:val="hui"/>
    <w:basedOn w:val="79"/>
    <w:qFormat/>
    <w:uiPriority w:val="0"/>
    <w:rPr>
      <w:rFonts w:ascii="Arial" w:hAnsi="Arial" w:eastAsia="黑体" w:cs="Arial"/>
      <w:snapToGrid w:val="0"/>
      <w:kern w:val="0"/>
      <w:szCs w:val="21"/>
    </w:rPr>
  </w:style>
  <w:style w:type="character" w:customStyle="1" w:styleId="441">
    <w:name w:val="哈哈正文 Char Char"/>
    <w:qFormat/>
    <w:uiPriority w:val="0"/>
    <w:rPr>
      <w:rFonts w:ascii="宋体" w:hAnsi="宋体" w:eastAsia="宋体" w:cs="宋体"/>
      <w:kern w:val="2"/>
      <w:sz w:val="24"/>
      <w:lang w:val="en-US" w:eastAsia="zh-CN" w:bidi="ar-SA"/>
    </w:rPr>
  </w:style>
  <w:style w:type="paragraph" w:customStyle="1" w:styleId="44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9">
    <w:name w:val="标题4_自定义"/>
    <w:basedOn w:val="6"/>
    <w:qFormat/>
    <w:uiPriority w:val="0"/>
    <w:pPr>
      <w:adjustRightInd/>
      <w:spacing w:before="0" w:after="0" w:line="360" w:lineRule="auto"/>
    </w:pPr>
    <w:rPr>
      <w:rFonts w:ascii="Verdana" w:eastAsia="Verdana"/>
      <w:sz w:val="21"/>
      <w:lang w:val="en-US"/>
    </w:rPr>
  </w:style>
  <w:style w:type="paragraph" w:customStyle="1" w:styleId="450">
    <w:name w:val="正文 内标 序号标"/>
    <w:basedOn w:val="451"/>
    <w:qFormat/>
    <w:uiPriority w:val="0"/>
    <w:pPr>
      <w:tabs>
        <w:tab w:val="left" w:pos="0"/>
      </w:tabs>
      <w:adjustRightInd/>
      <w:spacing w:before="0"/>
      <w:ind w:firstLine="482"/>
    </w:pPr>
    <w:rPr>
      <w:rFonts w:ascii="微软雅黑" w:hAnsi="微软雅黑"/>
      <w:sz w:val="24"/>
      <w:szCs w:val="24"/>
    </w:rPr>
  </w:style>
  <w:style w:type="paragraph" w:customStyle="1" w:styleId="451">
    <w:name w:val="My正文"/>
    <w:basedOn w:val="1"/>
    <w:qFormat/>
    <w:uiPriority w:val="0"/>
    <w:pPr>
      <w:spacing w:before="120" w:line="360" w:lineRule="auto"/>
      <w:ind w:firstLine="567"/>
    </w:pPr>
    <w:rPr>
      <w:rFonts w:ascii="Arial" w:hAnsi="Arial"/>
      <w:sz w:val="20"/>
      <w:szCs w:val="20"/>
    </w:rPr>
  </w:style>
  <w:style w:type="paragraph" w:customStyle="1" w:styleId="4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5">
    <w:name w:val="修订2"/>
    <w:qFormat/>
    <w:uiPriority w:val="0"/>
    <w:rPr>
      <w:rFonts w:ascii="Times New Roman" w:hAnsi="Times New Roman" w:eastAsia="宋体" w:cs="Times New Roman"/>
      <w:kern w:val="2"/>
      <w:sz w:val="21"/>
      <w:lang w:val="en-US" w:eastAsia="zh-CN" w:bidi="ar-SA"/>
    </w:rPr>
  </w:style>
  <w:style w:type="paragraph" w:customStyle="1" w:styleId="45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9">
    <w:name w:val="封面公司名"/>
    <w:qFormat/>
    <w:uiPriority w:val="0"/>
    <w:pPr>
      <w:jc w:val="center"/>
    </w:pPr>
    <w:rPr>
      <w:rFonts w:ascii="Arial" w:hAnsi="Arial" w:eastAsia="楷体_GB2312" w:cs="宋体"/>
      <w:bCs/>
      <w:kern w:val="2"/>
      <w:sz w:val="28"/>
      <w:lang w:val="en-US" w:eastAsia="zh-CN" w:bidi="ar-SA"/>
    </w:rPr>
  </w:style>
  <w:style w:type="paragraph" w:customStyle="1" w:styleId="460">
    <w:name w:val="Char1 Char Char Char5"/>
    <w:basedOn w:val="1"/>
    <w:qFormat/>
    <w:uiPriority w:val="0"/>
    <w:pPr>
      <w:adjustRightInd/>
      <w:ind w:firstLine="200" w:firstLineChars="200"/>
    </w:pPr>
    <w:rPr>
      <w:rFonts w:ascii="Tahoma" w:hAnsi="Tahoma"/>
      <w:sz w:val="24"/>
      <w:szCs w:val="20"/>
    </w:rPr>
  </w:style>
  <w:style w:type="paragraph" w:customStyle="1" w:styleId="4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qFormat/>
    <w:uiPriority w:val="0"/>
    <w:pPr>
      <w:tabs>
        <w:tab w:val="left" w:pos="360"/>
      </w:tabs>
    </w:pPr>
    <w:rPr>
      <w:sz w:val="24"/>
      <w:szCs w:val="20"/>
    </w:rPr>
  </w:style>
  <w:style w:type="paragraph" w:customStyle="1" w:styleId="464">
    <w:name w:val="Char Char11 Char Char Char"/>
    <w:basedOn w:val="1"/>
    <w:qFormat/>
    <w:uiPriority w:val="0"/>
    <w:pPr>
      <w:spacing w:line="360" w:lineRule="auto"/>
    </w:pPr>
    <w:rPr>
      <w:szCs w:val="20"/>
    </w:rPr>
  </w:style>
  <w:style w:type="paragraph" w:customStyle="1" w:styleId="46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7">
    <w:name w:val="样式3"/>
    <w:basedOn w:val="34"/>
    <w:next w:val="1"/>
    <w:qFormat/>
    <w:uiPriority w:val="0"/>
    <w:pPr>
      <w:tabs>
        <w:tab w:val="left" w:pos="2790"/>
        <w:tab w:val="left" w:pos="4230"/>
      </w:tabs>
      <w:spacing w:before="312" w:beforeLines="100"/>
      <w:jc w:val="left"/>
    </w:pPr>
  </w:style>
  <w:style w:type="paragraph" w:customStyle="1" w:styleId="46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9">
    <w:name w:val="Char Char1 Char Char1 Char Char1"/>
    <w:basedOn w:val="1"/>
    <w:qFormat/>
    <w:uiPriority w:val="0"/>
    <w:pPr>
      <w:tabs>
        <w:tab w:val="left" w:pos="840"/>
      </w:tabs>
      <w:ind w:left="840" w:hanging="420"/>
    </w:pPr>
    <w:rPr>
      <w:rFonts w:ascii="Tahoma" w:hAnsi="Tahoma"/>
      <w:sz w:val="24"/>
    </w:rPr>
  </w:style>
  <w:style w:type="paragraph" w:customStyle="1" w:styleId="4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1">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3">
    <w:name w:val="正文21"/>
    <w:basedOn w:val="1"/>
    <w:qFormat/>
    <w:uiPriority w:val="0"/>
    <w:pPr>
      <w:adjustRightInd/>
      <w:spacing w:before="156" w:line="360" w:lineRule="auto"/>
      <w:ind w:firstLine="510" w:firstLineChars="200"/>
    </w:pPr>
    <w:rPr>
      <w:sz w:val="24"/>
      <w:szCs w:val="20"/>
    </w:rPr>
  </w:style>
  <w:style w:type="paragraph" w:customStyle="1" w:styleId="47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6">
    <w:name w:val="Char1"/>
    <w:basedOn w:val="1"/>
    <w:qFormat/>
    <w:uiPriority w:val="0"/>
    <w:rPr>
      <w:rFonts w:ascii="仿宋_GB2312" w:eastAsia="仿宋_GB2312"/>
      <w:b/>
      <w:sz w:val="32"/>
      <w:szCs w:val="32"/>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1">
    <w:name w:val="6级标题"/>
    <w:basedOn w:val="482"/>
    <w:qFormat/>
    <w:uiPriority w:val="0"/>
    <w:pPr>
      <w:keepNext/>
      <w:tabs>
        <w:tab w:val="left" w:pos="360"/>
      </w:tabs>
      <w:spacing w:before="0" w:after="0"/>
      <w:outlineLvl w:val="5"/>
    </w:pPr>
  </w:style>
  <w:style w:type="paragraph" w:customStyle="1" w:styleId="482">
    <w:name w:val="5级标题"/>
    <w:basedOn w:val="48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3">
    <w:name w:val="4级标题"/>
    <w:basedOn w:val="26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4">
    <w:name w:val="样式 正文文本缩进 + 段前: 2 字符"/>
    <w:basedOn w:val="1"/>
    <w:qFormat/>
    <w:uiPriority w:val="0"/>
    <w:pPr>
      <w:adjustRightInd/>
      <w:ind w:left="420" w:leftChars="200"/>
      <w:jc w:val="left"/>
    </w:pPr>
    <w:rPr>
      <w:sz w:val="28"/>
      <w:szCs w:val="20"/>
      <w:lang w:eastAsia="zh-TW"/>
    </w:rPr>
  </w:style>
  <w:style w:type="paragraph" w:customStyle="1" w:styleId="485">
    <w:name w:val="Char2 Char Char"/>
    <w:basedOn w:val="1"/>
    <w:qFormat/>
    <w:uiPriority w:val="0"/>
    <w:pPr>
      <w:adjustRightInd/>
    </w:pPr>
    <w:rPr>
      <w:rFonts w:ascii="Tahoma" w:hAnsi="Tahoma"/>
      <w:sz w:val="24"/>
      <w:szCs w:val="20"/>
    </w:rPr>
  </w:style>
  <w:style w:type="paragraph" w:customStyle="1" w:styleId="486">
    <w:name w:val="_Style 11"/>
    <w:basedOn w:val="1"/>
    <w:qFormat/>
    <w:uiPriority w:val="34"/>
    <w:pPr>
      <w:adjustRightInd/>
      <w:ind w:firstLine="420" w:firstLineChars="200"/>
    </w:pPr>
    <w:rPr>
      <w:rFonts w:eastAsia="仿宋_GB2312"/>
      <w:sz w:val="28"/>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qFormat/>
    <w:uiPriority w:val="0"/>
    <w:rPr>
      <w:rFonts w:ascii="Tahoma" w:hAnsi="Tahoma"/>
      <w:sz w:val="24"/>
      <w:szCs w:val="20"/>
    </w:rPr>
  </w:style>
  <w:style w:type="paragraph" w:customStyle="1" w:styleId="48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1">
    <w:name w:val="No Spacing_2d2f4273-e14c-4457-b008-e8be94de3306"/>
    <w:basedOn w:val="1"/>
    <w:link w:val="939"/>
    <w:qFormat/>
    <w:uiPriority w:val="99"/>
    <w:rPr>
      <w:szCs w:val="22"/>
    </w:rPr>
  </w:style>
  <w:style w:type="paragraph" w:customStyle="1" w:styleId="49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3">
    <w:name w:val="Char Char Char Char Char Char Char Char Char Char Char Char1 Char1"/>
    <w:basedOn w:val="1"/>
    <w:qFormat/>
    <w:uiPriority w:val="6"/>
    <w:rPr>
      <w:rFonts w:ascii="Tahoma" w:hAnsi="Tahoma" w:cs="仿宋_GB2312"/>
      <w:sz w:val="24"/>
      <w:szCs w:val="20"/>
    </w:rPr>
  </w:style>
  <w:style w:type="paragraph" w:customStyle="1" w:styleId="49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7">
    <w:name w:val="MM Topic 2"/>
    <w:basedOn w:val="3"/>
    <w:qFormat/>
    <w:uiPriority w:val="0"/>
    <w:pPr>
      <w:tabs>
        <w:tab w:val="left" w:pos="1260"/>
      </w:tabs>
      <w:ind w:left="1260" w:hanging="420"/>
    </w:pPr>
    <w:rPr>
      <w:rFonts w:ascii="Arial" w:hAnsi="Arial" w:eastAsia="黑体"/>
      <w:lang w:val="en-US"/>
    </w:rPr>
  </w:style>
  <w:style w:type="paragraph" w:customStyle="1" w:styleId="498">
    <w:name w:val="五级无标题条"/>
    <w:basedOn w:val="1"/>
    <w:qFormat/>
    <w:uiPriority w:val="0"/>
    <w:pPr>
      <w:adjustRightInd/>
    </w:pPr>
  </w:style>
  <w:style w:type="paragraph" w:customStyle="1" w:styleId="499">
    <w:name w:val="Char5"/>
    <w:basedOn w:val="1"/>
    <w:qFormat/>
    <w:uiPriority w:val="0"/>
    <w:rPr>
      <w:rFonts w:ascii="仿宋_GB2312" w:eastAsia="仿宋_GB2312"/>
      <w:b/>
      <w:sz w:val="32"/>
      <w:szCs w:val="32"/>
    </w:rPr>
  </w:style>
  <w:style w:type="paragraph" w:customStyle="1" w:styleId="50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1">
    <w:name w:val="彩色列表 - 强调文字颜色 12"/>
    <w:basedOn w:val="1"/>
    <w:qFormat/>
    <w:uiPriority w:val="0"/>
    <w:pPr>
      <w:adjustRightInd/>
      <w:ind w:firstLine="420" w:firstLineChars="200"/>
    </w:pPr>
    <w:rPr>
      <w:rFonts w:ascii="Calibri" w:hAnsi="Calibri"/>
      <w:szCs w:val="22"/>
    </w:rPr>
  </w:style>
  <w:style w:type="paragraph" w:customStyle="1" w:styleId="50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3">
    <w:name w:val="Char2"/>
    <w:basedOn w:val="1"/>
    <w:qFormat/>
    <w:uiPriority w:val="0"/>
    <w:rPr>
      <w:rFonts w:ascii="仿宋_GB2312" w:eastAsia="仿宋_GB2312"/>
      <w:b/>
      <w:sz w:val="32"/>
      <w:szCs w:val="32"/>
    </w:rPr>
  </w:style>
  <w:style w:type="paragraph" w:customStyle="1" w:styleId="504">
    <w:name w:val="数字标题3"/>
    <w:basedOn w:val="4"/>
    <w:next w:val="1"/>
    <w:qFormat/>
    <w:uiPriority w:val="0"/>
    <w:pPr>
      <w:spacing w:line="240" w:lineRule="auto"/>
    </w:pPr>
    <w:rPr>
      <w:sz w:val="28"/>
      <w:szCs w:val="28"/>
    </w:rPr>
  </w:style>
  <w:style w:type="paragraph" w:customStyle="1" w:styleId="505">
    <w:name w:val="FA正文"/>
    <w:basedOn w:val="1"/>
    <w:qFormat/>
    <w:uiPriority w:val="0"/>
    <w:pPr>
      <w:spacing w:line="360" w:lineRule="auto"/>
      <w:ind w:firstLine="480" w:firstLineChars="200"/>
    </w:pPr>
    <w:rPr>
      <w:rFonts w:hAnsi="宋体"/>
      <w:sz w:val="24"/>
      <w:szCs w:val="20"/>
    </w:rPr>
  </w:style>
  <w:style w:type="paragraph" w:customStyle="1" w:styleId="506">
    <w:name w:val="MM Topic 5"/>
    <w:basedOn w:val="7"/>
    <w:qFormat/>
    <w:uiPriority w:val="0"/>
    <w:pPr>
      <w:tabs>
        <w:tab w:val="left" w:pos="2520"/>
      </w:tabs>
      <w:adjustRightInd/>
      <w:ind w:left="2520" w:hanging="420"/>
    </w:pPr>
  </w:style>
  <w:style w:type="paragraph" w:customStyle="1" w:styleId="507">
    <w:name w:val="Char Char Char Char Char Char Char Char Char Char1"/>
    <w:basedOn w:val="1"/>
    <w:qFormat/>
    <w:uiPriority w:val="0"/>
    <w:rPr>
      <w:rFonts w:ascii="仿宋_GB2312" w:eastAsia="仿宋_GB2312"/>
      <w:b/>
      <w:sz w:val="32"/>
      <w:szCs w:val="32"/>
    </w:rPr>
  </w:style>
  <w:style w:type="paragraph" w:customStyle="1" w:styleId="50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9">
    <w:name w:val="修订1"/>
    <w:qFormat/>
    <w:uiPriority w:val="3"/>
    <w:rPr>
      <w:rFonts w:ascii="Times New Roman" w:hAnsi="Times New Roman" w:eastAsia="宋体" w:cs="Times New Roman"/>
      <w:color w:val="000000"/>
      <w:kern w:val="1"/>
      <w:sz w:val="21"/>
      <w:lang w:val="en-US" w:eastAsia="zh-CN" w:bidi="ar-SA"/>
    </w:rPr>
  </w:style>
  <w:style w:type="paragraph" w:customStyle="1" w:styleId="510">
    <w:name w:val="Char2 Char Char Char"/>
    <w:basedOn w:val="1"/>
    <w:qFormat/>
    <w:uiPriority w:val="0"/>
    <w:rPr>
      <w:rFonts w:ascii="仿宋_GB2312" w:eastAsia="仿宋_GB2312"/>
      <w:b/>
      <w:sz w:val="32"/>
      <w:szCs w:val="32"/>
    </w:rPr>
  </w:style>
  <w:style w:type="paragraph" w:customStyle="1" w:styleId="511">
    <w:name w:val="Char2 Char Char Char1"/>
    <w:basedOn w:val="1"/>
    <w:qFormat/>
    <w:uiPriority w:val="6"/>
    <w:rPr>
      <w:rFonts w:ascii="仿宋_GB2312" w:eastAsia="仿宋_GB2312"/>
      <w:b/>
      <w:sz w:val="32"/>
      <w:szCs w:val="32"/>
    </w:rPr>
  </w:style>
  <w:style w:type="paragraph" w:customStyle="1" w:styleId="512">
    <w:name w:val="默认段落样式"/>
    <w:basedOn w:val="142"/>
    <w:qFormat/>
    <w:uiPriority w:val="0"/>
    <w:pPr>
      <w:spacing w:before="0"/>
      <w:ind w:firstLine="480"/>
      <w:outlineLvl w:val="2"/>
    </w:pPr>
    <w:rPr>
      <w:rFonts w:ascii="仿宋_GB2312" w:hAnsi="宋体" w:eastAsia="仿宋_GB2312"/>
      <w:color w:val="000000"/>
      <w:szCs w:val="24"/>
    </w:rPr>
  </w:style>
  <w:style w:type="paragraph" w:customStyle="1" w:styleId="513">
    <w:name w:val="图中文字"/>
    <w:basedOn w:val="1"/>
    <w:qFormat/>
    <w:uiPriority w:val="0"/>
    <w:pPr>
      <w:snapToGrid w:val="0"/>
      <w:spacing w:line="0" w:lineRule="atLeast"/>
      <w:ind w:firstLine="200" w:firstLineChars="200"/>
      <w:jc w:val="center"/>
    </w:pPr>
    <w:rPr>
      <w:sz w:val="24"/>
      <w:szCs w:val="20"/>
    </w:rPr>
  </w:style>
  <w:style w:type="paragraph" w:customStyle="1" w:styleId="5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MM Topic 3"/>
    <w:basedOn w:val="4"/>
    <w:qFormat/>
    <w:uiPriority w:val="0"/>
    <w:pPr>
      <w:tabs>
        <w:tab w:val="left" w:pos="1680"/>
      </w:tabs>
      <w:adjustRightInd/>
      <w:ind w:left="1680" w:hanging="420"/>
    </w:pPr>
  </w:style>
  <w:style w:type="paragraph" w:customStyle="1" w:styleId="516">
    <w:name w:val="标准小四"/>
    <w:basedOn w:val="1"/>
    <w:qFormat/>
    <w:uiPriority w:val="0"/>
    <w:pPr>
      <w:spacing w:line="360" w:lineRule="auto"/>
      <w:ind w:firstLine="480" w:firstLineChars="200"/>
    </w:pPr>
    <w:rPr>
      <w:rFonts w:ascii="Arial" w:hAnsi="Arial"/>
      <w:sz w:val="24"/>
      <w:szCs w:val="21"/>
    </w:rPr>
  </w:style>
  <w:style w:type="paragraph" w:customStyle="1" w:styleId="51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8">
    <w:name w:val="表格（小）"/>
    <w:basedOn w:val="1"/>
    <w:qFormat/>
    <w:uiPriority w:val="0"/>
    <w:pPr>
      <w:adjustRightInd/>
      <w:snapToGrid w:val="0"/>
      <w:spacing w:line="300" w:lineRule="auto"/>
    </w:pPr>
    <w:rPr>
      <w:rFonts w:eastAsia="仿宋"/>
      <w:szCs w:val="21"/>
    </w:rPr>
  </w:style>
  <w:style w:type="paragraph" w:customStyle="1" w:styleId="5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0">
    <w:name w:val="Char2 Char Char1"/>
    <w:basedOn w:val="1"/>
    <w:qFormat/>
    <w:uiPriority w:val="6"/>
    <w:pPr>
      <w:adjustRightInd/>
    </w:pPr>
    <w:rPr>
      <w:rFonts w:ascii="Tahoma" w:hAnsi="Tahoma"/>
      <w:sz w:val="24"/>
      <w:szCs w:val="20"/>
    </w:rPr>
  </w:style>
  <w:style w:type="paragraph" w:customStyle="1" w:styleId="521">
    <w:name w:val="列出段落5"/>
    <w:basedOn w:val="1"/>
    <w:qFormat/>
    <w:uiPriority w:val="0"/>
    <w:pPr>
      <w:spacing w:line="360" w:lineRule="auto"/>
      <w:ind w:firstLine="200" w:firstLineChars="200"/>
    </w:pPr>
    <w:rPr>
      <w:rFonts w:eastAsia="楷体_GB2312" w:cs="Lucida Sans"/>
      <w:sz w:val="24"/>
    </w:rPr>
  </w:style>
  <w:style w:type="paragraph" w:customStyle="1" w:styleId="52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92"/>
    <w:next w:val="92"/>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92"/>
    <w:next w:val="92"/>
    <w:qFormat/>
    <w:uiPriority w:val="0"/>
    <w:rPr>
      <w:rFonts w:ascii="宋体" w:eastAsia="宋体" w:cs="Times New Roman"/>
      <w:color w:val="auto"/>
    </w:rPr>
  </w:style>
  <w:style w:type="paragraph" w:customStyle="1" w:styleId="5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156"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0" w:after="0"/>
      <w:ind w:left="1680"/>
      <w:outlineLvl w:val="2"/>
    </w:pPr>
  </w:style>
  <w:style w:type="paragraph" w:customStyle="1" w:styleId="665">
    <w:name w:val="章标题"/>
    <w:next w:val="6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qFormat/>
    <w:uiPriority w:val="0"/>
    <w:rPr>
      <w:rFonts w:ascii="仿宋_GB2312" w:eastAsia="仿宋_GB2312"/>
      <w:b/>
      <w:sz w:val="32"/>
      <w:szCs w:val="32"/>
    </w:rPr>
  </w:style>
  <w:style w:type="paragraph" w:customStyle="1" w:styleId="800">
    <w:name w:val="五级条标题"/>
    <w:basedOn w:val="801"/>
    <w:next w:val="647"/>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62"/>
    <w:next w:val="647"/>
    <w:qFormat/>
    <w:uiPriority w:val="0"/>
    <w:pPr>
      <w:tabs>
        <w:tab w:val="clear" w:pos="2520"/>
      </w:tabs>
      <w:ind w:left="2940"/>
      <w:outlineLvl w:val="5"/>
    </w:pPr>
  </w:style>
  <w:style w:type="paragraph" w:customStyle="1" w:styleId="8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0"/>
    <w:rPr>
      <w:rFonts w:ascii="仿宋_GB2312" w:eastAsia="仿宋_GB2312"/>
      <w:b/>
      <w:sz w:val="32"/>
      <w:szCs w:val="32"/>
    </w:rPr>
  </w:style>
  <w:style w:type="paragraph" w:customStyle="1" w:styleId="8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6">
    <w:name w:val="首行缩进"/>
    <w:basedOn w:val="1"/>
    <w:qFormat/>
    <w:uiPriority w:val="0"/>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8">
    <w:name w:val="单元格左对齐"/>
    <w:basedOn w:val="1"/>
    <w:qFormat/>
    <w:uiPriority w:val="0"/>
    <w:pPr>
      <w:adjustRightInd/>
      <w:spacing w:line="360" w:lineRule="auto"/>
    </w:pPr>
    <w:rPr>
      <w:sz w:val="24"/>
    </w:rPr>
  </w:style>
  <w:style w:type="paragraph" w:customStyle="1" w:styleId="809">
    <w:name w:val="正文主体"/>
    <w:basedOn w:val="631"/>
    <w:qFormat/>
    <w:uiPriority w:val="0"/>
  </w:style>
  <w:style w:type="paragraph" w:customStyle="1" w:styleId="8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qFormat/>
    <w:uiPriority w:val="0"/>
    <w:pPr>
      <w:adjustRightInd/>
      <w:spacing w:line="360" w:lineRule="auto"/>
      <w:ind w:firstLine="480" w:firstLineChars="200"/>
    </w:pPr>
    <w:rPr>
      <w:sz w:val="24"/>
      <w:szCs w:val="20"/>
    </w:rPr>
  </w:style>
  <w:style w:type="paragraph" w:customStyle="1" w:styleId="814">
    <w:name w:val="P1"/>
    <w:basedOn w:val="1"/>
    <w:qFormat/>
    <w:uiPriority w:val="0"/>
    <w:pPr>
      <w:adjustRightInd/>
      <w:spacing w:line="288" w:lineRule="auto"/>
      <w:ind w:firstLine="425" w:firstLineChars="200"/>
    </w:pPr>
  </w:style>
  <w:style w:type="paragraph" w:customStyle="1" w:styleId="815">
    <w:name w:val="列表内容"/>
    <w:basedOn w:val="1"/>
    <w:next w:val="1"/>
    <w:qFormat/>
    <w:uiPriority w:val="0"/>
    <w:pPr>
      <w:widowControl/>
      <w:tabs>
        <w:tab w:val="left" w:pos="840"/>
      </w:tabs>
      <w:ind w:left="840" w:hanging="420"/>
      <w:jc w:val="left"/>
    </w:pPr>
    <w:rPr>
      <w:kern w:val="0"/>
      <w:sz w:val="18"/>
    </w:rPr>
  </w:style>
  <w:style w:type="paragraph" w:customStyle="1" w:styleId="816">
    <w:name w:val="Char Char11 Char Char Char1"/>
    <w:basedOn w:val="1"/>
    <w:qFormat/>
    <w:uiPriority w:val="6"/>
    <w:pPr>
      <w:spacing w:line="360" w:lineRule="auto"/>
    </w:pPr>
    <w:rPr>
      <w:szCs w:val="20"/>
    </w:rPr>
  </w:style>
  <w:style w:type="paragraph" w:customStyle="1" w:styleId="8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9">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qFormat/>
    <w:uiPriority w:val="0"/>
    <w:pPr>
      <w:spacing w:line="360" w:lineRule="auto"/>
    </w:pPr>
    <w:rPr>
      <w:szCs w:val="20"/>
    </w:rPr>
  </w:style>
  <w:style w:type="paragraph" w:customStyle="1" w:styleId="82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qFormat/>
    <w:uiPriority w:val="0"/>
    <w:rPr>
      <w:rFonts w:ascii="仿宋_GB2312" w:eastAsia="仿宋_GB2312"/>
      <w:b/>
      <w:sz w:val="32"/>
      <w:szCs w:val="32"/>
    </w:rPr>
  </w:style>
  <w:style w:type="paragraph" w:customStyle="1" w:styleId="8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qFormat/>
    <w:uiPriority w:val="0"/>
    <w:pPr>
      <w:adjustRightInd/>
      <w:spacing w:line="360" w:lineRule="auto"/>
      <w:ind w:firstLine="480"/>
    </w:pPr>
    <w:rPr>
      <w:rFonts w:cs="宋体"/>
      <w:sz w:val="24"/>
      <w:szCs w:val="20"/>
    </w:rPr>
  </w:style>
  <w:style w:type="paragraph" w:customStyle="1" w:styleId="829">
    <w:name w:val="Char Char4 Char Char"/>
    <w:basedOn w:val="1"/>
    <w:qFormat/>
    <w:uiPriority w:val="0"/>
    <w:pPr>
      <w:widowControl/>
      <w:adjustRightInd/>
      <w:spacing w:after="160" w:line="240" w:lineRule="exact"/>
      <w:jc w:val="left"/>
    </w:pPr>
  </w:style>
  <w:style w:type="paragraph" w:customStyle="1" w:styleId="83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qFormat/>
    <w:uiPriority w:val="0"/>
    <w:pPr>
      <w:spacing w:line="360" w:lineRule="auto"/>
    </w:pPr>
    <w:rPr>
      <w:szCs w:val="20"/>
    </w:rPr>
  </w:style>
  <w:style w:type="paragraph" w:customStyle="1" w:styleId="83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qFormat/>
    <w:uiPriority w:val="0"/>
    <w:pPr>
      <w:adjustRightInd/>
      <w:ind w:firstLine="200" w:firstLineChars="200"/>
    </w:pPr>
    <w:rPr>
      <w:rFonts w:ascii="Tahoma" w:hAnsi="Tahoma"/>
      <w:sz w:val="24"/>
      <w:szCs w:val="20"/>
    </w:rPr>
  </w:style>
  <w:style w:type="paragraph" w:customStyle="1" w:styleId="839">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43"/>
    <w:qFormat/>
    <w:uiPriority w:val="0"/>
    <w:pPr>
      <w:tabs>
        <w:tab w:val="left" w:pos="0"/>
      </w:tabs>
      <w:ind w:left="900" w:firstLine="0" w:firstLineChars="0"/>
    </w:pPr>
  </w:style>
  <w:style w:type="paragraph" w:customStyle="1" w:styleId="842">
    <w:name w:val="Bulleted List"/>
    <w:basedOn w:val="1"/>
    <w:qFormat/>
    <w:uiPriority w:val="0"/>
    <w:pPr>
      <w:tabs>
        <w:tab w:val="left" w:pos="1260"/>
      </w:tabs>
      <w:adjustRightInd/>
      <w:ind w:left="1260" w:hanging="420"/>
    </w:pPr>
  </w:style>
  <w:style w:type="paragraph" w:customStyle="1" w:styleId="84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4">
    <w:name w:val="样式 左侧:  0.85 厘米"/>
    <w:basedOn w:val="1"/>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qFormat/>
    <w:uiPriority w:val="0"/>
    <w:rPr>
      <w:rFonts w:ascii="Tahoma" w:hAnsi="Tahoma" w:cs="仿宋_GB2312"/>
      <w:sz w:val="24"/>
      <w:szCs w:val="20"/>
    </w:rPr>
  </w:style>
  <w:style w:type="paragraph" w:customStyle="1" w:styleId="84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19"/>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67"/>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9"/>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45"/>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6"/>
    <w:qFormat/>
    <w:uiPriority w:val="0"/>
    <w:rPr>
      <w:b w:val="0"/>
      <w:sz w:val="20"/>
    </w:rPr>
  </w:style>
  <w:style w:type="paragraph" w:customStyle="1" w:styleId="900">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qFormat/>
    <w:uiPriority w:val="0"/>
    <w:pPr>
      <w:tabs>
        <w:tab w:val="left" w:pos="1080"/>
      </w:tabs>
      <w:ind w:left="1080" w:hanging="1080"/>
    </w:pPr>
  </w:style>
  <w:style w:type="paragraph" w:customStyle="1" w:styleId="903">
    <w:name w:val="数字标题1"/>
    <w:basedOn w:val="2"/>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1"/>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9"/>
    <w:qFormat/>
    <w:uiPriority w:val="0"/>
    <w:rPr>
      <w:kern w:val="2"/>
      <w:sz w:val="21"/>
      <w:szCs w:val="24"/>
      <w:lang w:val="zh-CN"/>
    </w:rPr>
  </w:style>
  <w:style w:type="character" w:customStyle="1" w:styleId="939">
    <w:name w:val="无间隔 Char"/>
    <w:link w:val="491"/>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67"/>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9"/>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修订4"/>
    <w:qFormat/>
    <w:uiPriority w:val="99"/>
    <w:rPr>
      <w:rFonts w:ascii="Times New Roman" w:hAnsi="Times New Roman" w:eastAsia="宋体" w:cs="Times New Roman"/>
      <w:kern w:val="2"/>
      <w:sz w:val="21"/>
      <w:szCs w:val="24"/>
      <w:lang w:val="en-US" w:eastAsia="zh-CN" w:bidi="ar-SA"/>
    </w:rPr>
  </w:style>
  <w:style w:type="paragraph" w:customStyle="1" w:styleId="971">
    <w:name w:val="WPSOffice手动目录 1"/>
    <w:qFormat/>
    <w:uiPriority w:val="0"/>
    <w:pPr>
      <w:ind w:leftChars="0"/>
    </w:pPr>
    <w:rPr>
      <w:rFonts w:ascii="Times New Roman" w:hAnsi="Times New Roman" w:eastAsia="宋体" w:cs="Times New Roman"/>
      <w:sz w:val="20"/>
      <w:szCs w:val="20"/>
    </w:rPr>
  </w:style>
  <w:style w:type="paragraph" w:customStyle="1" w:styleId="972">
    <w:name w:val="WPSOffice手动目录 2"/>
    <w:qFormat/>
    <w:uiPriority w:val="0"/>
    <w:pPr>
      <w:ind w:leftChars="200"/>
    </w:pPr>
    <w:rPr>
      <w:rFonts w:ascii="Times New Roman" w:hAnsi="Times New Roman" w:eastAsia="宋体" w:cs="Times New Roman"/>
      <w:sz w:val="20"/>
      <w:szCs w:val="20"/>
    </w:rPr>
  </w:style>
  <w:style w:type="paragraph" w:customStyle="1" w:styleId="973">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74">
    <w:name w:val="NormalCharacter"/>
    <w:qFormat/>
    <w:uiPriority w:val="0"/>
  </w:style>
  <w:style w:type="character" w:customStyle="1" w:styleId="975">
    <w:name w:val="flname8"/>
    <w:qFormat/>
    <w:uiPriority w:val="99"/>
    <w:rPr>
      <w:rFonts w:hint="default" w:ascii="Times New Roman" w:hAnsi="Times New Roman" w:cs="Times New Roman"/>
    </w:rPr>
  </w:style>
  <w:style w:type="paragraph" w:customStyle="1" w:styleId="976">
    <w:name w:val="!!正文"/>
    <w:next w:val="1"/>
    <w:qFormat/>
    <w:uiPriority w:val="0"/>
    <w:pPr>
      <w:widowControl w:val="0"/>
      <w:snapToGrid w:val="0"/>
      <w:spacing w:before="30" w:beforeLines="30" w:after="30" w:afterLines="30" w:line="360" w:lineRule="auto"/>
      <w:ind w:firstLine="200" w:firstLineChars="200"/>
      <w:jc w:val="both"/>
    </w:pPr>
    <w:rPr>
      <w:rFonts w:ascii="宋体" w:hAnsi="永中宋体" w:eastAsia="宋体" w:cs="宋体"/>
      <w:kern w:val="2"/>
      <w:sz w:val="24"/>
      <w:lang w:val="en-US" w:eastAsia="zh-CN" w:bidi="ar-SA"/>
    </w:rPr>
  </w:style>
  <w:style w:type="paragraph" w:customStyle="1" w:styleId="977">
    <w:name w:val="图表"/>
    <w:basedOn w:val="1"/>
    <w:next w:val="5"/>
    <w:qFormat/>
    <w:uiPriority w:val="0"/>
    <w:pPr>
      <w:widowControl/>
      <w:spacing w:before="160" w:after="120"/>
      <w:jc w:val="center"/>
    </w:pPr>
    <w:rPr>
      <w:rFonts w:ascii="宋体" w:hAnsi="宋体" w:eastAsia="宋体"/>
    </w:rPr>
  </w:style>
  <w:style w:type="paragraph" w:customStyle="1" w:styleId="978">
    <w:name w:val="图表内文字"/>
    <w:basedOn w:val="977"/>
    <w:qFormat/>
    <w:uiPriority w:val="0"/>
    <w:pPr>
      <w:spacing w:before="0" w:after="0"/>
      <w:jc w:val="both"/>
    </w:pPr>
    <w:rPr>
      <w:rFonts w:ascii="Times New Roman" w:hAnsi="Times New Roman"/>
      <w:sz w:val="24"/>
    </w:rPr>
  </w:style>
  <w:style w:type="paragraph" w:customStyle="1" w:styleId="979">
    <w:name w:val="XJ正文"/>
    <w:basedOn w:val="1"/>
    <w:qFormat/>
    <w:uiPriority w:val="0"/>
    <w:pPr>
      <w:ind w:firstLine="560"/>
      <w:jc w:val="left"/>
    </w:pPr>
    <w:rPr>
      <w:rFonts w:ascii="宋体" w:hAnsi="宋体"/>
      <w:sz w:val="28"/>
      <w:lang w:val="zh-CN"/>
    </w:rPr>
  </w:style>
  <w:style w:type="paragraph" w:customStyle="1" w:styleId="980">
    <w:name w:val="样式 行距: 1.5 倍行距 首行缩进:  2 字符"/>
    <w:basedOn w:val="1"/>
    <w:autoRedefine/>
    <w:qFormat/>
    <w:uiPriority w:val="0"/>
    <w:pPr>
      <w:spacing w:line="360" w:lineRule="auto"/>
      <w:ind w:firstLine="400" w:firstLineChars="200"/>
    </w:pPr>
    <w:rPr>
      <w:rFonts w:cs="宋体"/>
    </w:rPr>
  </w:style>
  <w:style w:type="paragraph" w:customStyle="1" w:styleId="981">
    <w:name w:val="样式 文字 1 图案: 清除 (白色) 行距: 1.5 倍行距 首行缩进:  2 字符"/>
    <w:basedOn w:val="1"/>
    <w:autoRedefine/>
    <w:qFormat/>
    <w:uiPriority w:val="0"/>
    <w:pPr>
      <w:spacing w:line="360" w:lineRule="auto"/>
      <w:ind w:firstLine="400" w:firstLineChars="200"/>
    </w:pPr>
    <w:rPr>
      <w:rFonts w:cs="宋体"/>
      <w:color w:val="000000" w:themeColor="text1"/>
      <w:shd w:val="clear" w:color="auto" w:fill="FFFFFF"/>
      <w14:textFill>
        <w14:solidFill>
          <w14:schemeClr w14:val="tx1"/>
        </w14:solidFill>
      </w14:textFill>
    </w:rPr>
  </w:style>
  <w:style w:type="paragraph" w:styleId="982">
    <w:name w:val="List Paragraph"/>
    <w:basedOn w:val="1"/>
    <w:autoRedefine/>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46011</Words>
  <Characters>47757</Characters>
  <Paragraphs>3000</Paragraphs>
  <TotalTime>4</TotalTime>
  <ScaleCrop>false</ScaleCrop>
  <LinksUpToDate>false</LinksUpToDate>
  <CharactersWithSpaces>51467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DELL</dc:creator>
  <cp:lastModifiedBy>S&amp;W</cp:lastModifiedBy>
  <cp:lastPrinted>2023-11-29T06:22:00Z</cp:lastPrinted>
  <dcterms:modified xsi:type="dcterms:W3CDTF">2024-08-14T08:21:59Z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A6F0B7C232464975B55B3CCF803F457D_13</vt:lpwstr>
  </property>
</Properties>
</file>