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7D58C">
      <w:pPr>
        <w:adjustRightInd/>
        <w:spacing w:line="360" w:lineRule="auto"/>
        <w:jc w:val="center"/>
        <w:rPr>
          <w:rFonts w:ascii="宋体" w:hAnsi="宋体" w:cs="宋体"/>
          <w:b/>
          <w:color w:val="auto"/>
          <w:sz w:val="48"/>
          <w:szCs w:val="48"/>
          <w:highlight w:val="none"/>
        </w:rPr>
      </w:pPr>
      <w:bookmarkStart w:id="540" w:name="_GoBack"/>
    </w:p>
    <w:p w14:paraId="581E50A5">
      <w:pPr>
        <w:adjustRightInd/>
        <w:spacing w:line="360" w:lineRule="auto"/>
        <w:jc w:val="center"/>
        <w:rPr>
          <w:rFonts w:hint="eastAsia" w:ascii="宋体" w:hAnsi="宋体" w:eastAsia="宋体" w:cs="宋体"/>
          <w:color w:val="auto"/>
          <w:sz w:val="48"/>
          <w:szCs w:val="48"/>
          <w:highlight w:val="none"/>
        </w:rPr>
      </w:pPr>
      <w:bookmarkStart w:id="0" w:name="_Toc4543"/>
    </w:p>
    <w:bookmarkEnd w:id="0"/>
    <w:p w14:paraId="18B54106">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镇海区看守所智能化改造项目</w:t>
      </w:r>
    </w:p>
    <w:p w14:paraId="0B60EA54">
      <w:pPr>
        <w:adjustRightInd/>
        <w:spacing w:line="360" w:lineRule="auto"/>
        <w:jc w:val="center"/>
        <w:rPr>
          <w:rFonts w:hint="default"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p>
    <w:p w14:paraId="1D658BC5">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E5789E5">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val="en-US" w:eastAsia="zh-CN"/>
        </w:rPr>
        <w:t>项目</w:t>
      </w: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 xml:space="preserve"> CBNB-20242629G</w:t>
      </w:r>
    </w:p>
    <w:p w14:paraId="2446806B">
      <w:pPr>
        <w:adjustRightInd/>
        <w:spacing w:line="360" w:lineRule="auto"/>
        <w:rPr>
          <w:rFonts w:ascii="宋体" w:hAnsi="宋体" w:cs="宋体"/>
          <w:color w:val="auto"/>
          <w:sz w:val="28"/>
          <w:szCs w:val="20"/>
          <w:highlight w:val="none"/>
        </w:rPr>
      </w:pPr>
    </w:p>
    <w:p w14:paraId="112DF870">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DDDA878">
      <w:pPr>
        <w:spacing w:line="360" w:lineRule="auto"/>
        <w:jc w:val="center"/>
        <w:rPr>
          <w:rFonts w:ascii="宋体" w:hAnsi="宋体" w:cs="宋体"/>
          <w:b/>
          <w:color w:val="auto"/>
          <w:sz w:val="44"/>
          <w:szCs w:val="44"/>
          <w:highlight w:val="none"/>
        </w:rPr>
      </w:pPr>
    </w:p>
    <w:p w14:paraId="6A72C09B">
      <w:pPr>
        <w:spacing w:line="360" w:lineRule="auto"/>
        <w:jc w:val="center"/>
        <w:rPr>
          <w:rFonts w:ascii="宋体" w:hAnsi="宋体" w:cs="宋体"/>
          <w:color w:val="auto"/>
          <w:sz w:val="24"/>
          <w:highlight w:val="none"/>
        </w:rPr>
      </w:pPr>
    </w:p>
    <w:p w14:paraId="33A7BEDE">
      <w:pPr>
        <w:spacing w:line="360" w:lineRule="auto"/>
        <w:jc w:val="center"/>
        <w:rPr>
          <w:rFonts w:ascii="宋体" w:hAnsi="宋体" w:cs="宋体"/>
          <w:color w:val="auto"/>
          <w:sz w:val="24"/>
          <w:highlight w:val="none"/>
        </w:rPr>
      </w:pPr>
    </w:p>
    <w:p w14:paraId="7A67BEF9">
      <w:pPr>
        <w:spacing w:line="360" w:lineRule="auto"/>
        <w:rPr>
          <w:rFonts w:ascii="宋体" w:hAnsi="宋体" w:cs="宋体"/>
          <w:color w:val="auto"/>
          <w:sz w:val="32"/>
          <w:szCs w:val="32"/>
          <w:highlight w:val="none"/>
        </w:rPr>
      </w:pPr>
    </w:p>
    <w:p w14:paraId="52C2C02B">
      <w:pPr>
        <w:pStyle w:val="63"/>
        <w:rPr>
          <w:rFonts w:ascii="宋体" w:hAnsi="宋体" w:cs="宋体"/>
          <w:color w:val="auto"/>
          <w:sz w:val="32"/>
          <w:szCs w:val="32"/>
          <w:highlight w:val="none"/>
        </w:rPr>
      </w:pPr>
    </w:p>
    <w:p w14:paraId="4B355887">
      <w:pPr>
        <w:rPr>
          <w:color w:val="auto"/>
          <w:highlight w:val="none"/>
        </w:rPr>
      </w:pPr>
    </w:p>
    <w:p w14:paraId="62175D00">
      <w:pPr>
        <w:spacing w:line="360" w:lineRule="auto"/>
        <w:jc w:val="center"/>
        <w:rPr>
          <w:rFonts w:hint="eastAsia"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采购人：</w:t>
      </w:r>
      <w:r>
        <w:rPr>
          <w:rFonts w:hint="eastAsia" w:ascii="宋体" w:hAnsi="宋体" w:cs="宋体"/>
          <w:bCs/>
          <w:color w:val="auto"/>
          <w:sz w:val="32"/>
          <w:szCs w:val="32"/>
          <w:highlight w:val="none"/>
          <w:lang w:eastAsia="zh-CN"/>
        </w:rPr>
        <w:t>宁波市公安局镇海分局</w:t>
      </w:r>
    </w:p>
    <w:p w14:paraId="0C164079">
      <w:pPr>
        <w:spacing w:line="360" w:lineRule="auto"/>
        <w:jc w:val="cente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 xml:space="preserve">  </w:t>
      </w:r>
      <w:bookmarkStart w:id="1" w:name="_Toc2466"/>
      <w:r>
        <w:rPr>
          <w:rFonts w:hint="eastAsia" w:ascii="宋体" w:hAnsi="宋体" w:eastAsia="宋体" w:cs="宋体"/>
          <w:bCs/>
          <w:color w:val="auto"/>
          <w:sz w:val="32"/>
          <w:szCs w:val="32"/>
          <w:highlight w:val="none"/>
          <w:lang w:val="en-US" w:eastAsia="zh-CN"/>
        </w:rPr>
        <w:t>采购代理机构：宁波中基国际招标有限公司</w:t>
      </w:r>
      <w:bookmarkEnd w:id="1"/>
    </w:p>
    <w:p w14:paraId="685D5ADD">
      <w:pPr>
        <w:spacing w:line="360" w:lineRule="auto"/>
        <w:jc w:val="center"/>
        <w:rPr>
          <w:rFonts w:hint="eastAsia" w:ascii="宋体" w:hAnsi="宋体" w:eastAsia="宋体" w:cs="宋体"/>
          <w:bCs/>
          <w:color w:val="auto"/>
          <w:sz w:val="32"/>
          <w:szCs w:val="32"/>
          <w:highlight w:val="none"/>
          <w:lang w:eastAsia="zh-CN"/>
        </w:rPr>
      </w:pPr>
    </w:p>
    <w:p w14:paraId="0DABDCE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val="en-US" w:eastAsia="zh-CN"/>
        </w:rPr>
        <w:t>2024</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12</w:t>
      </w:r>
      <w:r>
        <w:rPr>
          <w:rFonts w:hint="eastAsia" w:ascii="宋体" w:hAnsi="宋体" w:cs="宋体"/>
          <w:bCs/>
          <w:color w:val="auto"/>
          <w:sz w:val="32"/>
          <w:szCs w:val="32"/>
          <w:highlight w:val="none"/>
        </w:rPr>
        <w:t>月</w:t>
      </w:r>
    </w:p>
    <w:p w14:paraId="62CAE1B1">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2" w:name="_Hlt67893495"/>
      <w:bookmarkEnd w:id="2"/>
    </w:p>
    <w:p w14:paraId="4F451B14">
      <w:pPr>
        <w:spacing w:line="360" w:lineRule="auto"/>
        <w:jc w:val="center"/>
        <w:rPr>
          <w:rFonts w:ascii="宋体" w:hAnsi="宋体" w:cs="宋体"/>
          <w:color w:val="auto"/>
          <w:sz w:val="24"/>
          <w:highlight w:val="none"/>
        </w:rPr>
      </w:pPr>
    </w:p>
    <w:p w14:paraId="3A0FBC3D">
      <w:pPr>
        <w:spacing w:line="360" w:lineRule="auto"/>
        <w:outlineLvl w:val="9"/>
        <w:rPr>
          <w:rFonts w:ascii="宋体" w:hAnsi="宋体" w:cs="宋体"/>
          <w:color w:val="auto"/>
          <w:sz w:val="32"/>
          <w:szCs w:val="32"/>
          <w:highlight w:val="none"/>
        </w:rPr>
      </w:pPr>
    </w:p>
    <w:sdt>
      <w:sdtPr>
        <w:rPr>
          <w:rFonts w:ascii="宋体" w:hAnsi="宋体" w:eastAsia="宋体" w:cs="Times New Roman"/>
          <w:color w:val="auto"/>
          <w:kern w:val="2"/>
          <w:sz w:val="48"/>
          <w:szCs w:val="48"/>
          <w:highlight w:val="none"/>
          <w:lang w:val="en-US" w:eastAsia="zh-CN" w:bidi="ar-SA"/>
        </w:rPr>
        <w:id w:val="147476114"/>
        <w15:color w:val="DBDBDB"/>
        <w:docPartObj>
          <w:docPartGallery w:val="Table of Contents"/>
          <w:docPartUnique/>
        </w:docPartObj>
      </w:sdtPr>
      <w:sdtEndPr>
        <w:rPr>
          <w:rFonts w:ascii="宋体" w:hAnsi="宋体" w:eastAsia="宋体" w:cs="Times New Roman"/>
          <w:color w:val="auto"/>
          <w:kern w:val="2"/>
          <w:sz w:val="48"/>
          <w:szCs w:val="48"/>
          <w:highlight w:val="none"/>
          <w:lang w:val="en-US" w:eastAsia="zh-CN" w:bidi="ar-SA"/>
        </w:rPr>
      </w:sdtEndPr>
      <w:sdtContent>
        <w:p w14:paraId="489FCBE0">
          <w:pPr>
            <w:spacing w:before="0" w:beforeLines="0" w:after="0" w:afterLines="0" w:line="240" w:lineRule="auto"/>
            <w:ind w:left="0" w:leftChars="0" w:right="0" w:rightChars="0" w:firstLine="0" w:firstLineChars="0"/>
            <w:jc w:val="center"/>
            <w:rPr>
              <w:rFonts w:ascii="宋体" w:hAnsi="宋体" w:eastAsia="宋体"/>
              <w:color w:val="auto"/>
              <w:sz w:val="48"/>
              <w:szCs w:val="48"/>
              <w:highlight w:val="none"/>
            </w:rPr>
          </w:pPr>
          <w:r>
            <w:rPr>
              <w:rFonts w:ascii="宋体" w:hAnsi="宋体" w:eastAsia="宋体"/>
              <w:color w:val="auto"/>
              <w:sz w:val="48"/>
              <w:szCs w:val="48"/>
              <w:highlight w:val="none"/>
            </w:rPr>
            <w:t>目</w:t>
          </w:r>
          <w:r>
            <w:rPr>
              <w:rFonts w:hint="eastAsia" w:ascii="宋体" w:hAnsi="宋体" w:eastAsia="宋体"/>
              <w:color w:val="auto"/>
              <w:sz w:val="48"/>
              <w:szCs w:val="48"/>
              <w:highlight w:val="none"/>
              <w:lang w:val="en-US" w:eastAsia="zh-CN"/>
            </w:rPr>
            <w:t xml:space="preserve">  </w:t>
          </w:r>
          <w:r>
            <w:rPr>
              <w:rFonts w:ascii="宋体" w:hAnsi="宋体" w:eastAsia="宋体"/>
              <w:color w:val="auto"/>
              <w:sz w:val="48"/>
              <w:szCs w:val="48"/>
              <w:highlight w:val="none"/>
            </w:rPr>
            <w:t>录</w:t>
          </w:r>
        </w:p>
        <w:p w14:paraId="0938EB65">
          <w:pPr>
            <w:pStyle w:val="63"/>
            <w:rPr>
              <w:rFonts w:ascii="宋体" w:hAnsi="宋体" w:eastAsia="宋体"/>
              <w:color w:val="auto"/>
              <w:sz w:val="48"/>
              <w:szCs w:val="48"/>
              <w:highlight w:val="none"/>
            </w:rPr>
          </w:pPr>
        </w:p>
        <w:p w14:paraId="24F2A073">
          <w:pPr>
            <w:rPr>
              <w:color w:val="auto"/>
              <w:highlight w:val="none"/>
            </w:rPr>
          </w:pPr>
        </w:p>
        <w:p w14:paraId="2CCB4481">
          <w:pPr>
            <w:pStyle w:val="44"/>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_Toc32263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第一部分 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_Toc32263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5751B1F">
          <w:pPr>
            <w:pStyle w:val="44"/>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_Toc1745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第二部分 投标人须知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fldChar w:fldCharType="end"/>
          </w:r>
        </w:p>
        <w:p w14:paraId="548C9CC2">
          <w:pPr>
            <w:pStyle w:val="44"/>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_Toc9424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第三部分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_Toc9424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3A2DC02">
          <w:pPr>
            <w:pStyle w:val="44"/>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_Toc22578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第四部分 评标办法</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8</w:t>
          </w:r>
        </w:p>
        <w:p w14:paraId="055DA3E1">
          <w:pPr>
            <w:pStyle w:val="44"/>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_Toc12957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第五部分 拟签订的合同文本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_Toc12957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926DFD6">
          <w:pPr>
            <w:pStyle w:val="44"/>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_Toc12182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第六部分 应提交的有关格式范例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_Toc12182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5FA82E4">
          <w:pPr>
            <w:keepNext w:val="0"/>
            <w:keepLines w:val="0"/>
            <w:pageBreakBefore w:val="0"/>
            <w:kinsoku/>
            <w:wordWrap/>
            <w:overflowPunct/>
            <w:topLinePunct w:val="0"/>
            <w:autoSpaceDE/>
            <w:autoSpaceDN/>
            <w:bidi w:val="0"/>
            <w:snapToGrid/>
            <w:spacing w:line="600" w:lineRule="exact"/>
            <w:textAlignment w:val="auto"/>
            <w:rPr>
              <w:color w:val="auto"/>
              <w:highlight w:val="none"/>
            </w:rPr>
          </w:pPr>
          <w:r>
            <w:rPr>
              <w:rFonts w:hint="eastAsia" w:ascii="宋体" w:hAnsi="宋体" w:eastAsia="宋体" w:cs="宋体"/>
              <w:color w:val="auto"/>
              <w:sz w:val="28"/>
              <w:szCs w:val="28"/>
              <w:highlight w:val="none"/>
            </w:rPr>
            <w:fldChar w:fldCharType="end"/>
          </w:r>
        </w:p>
      </w:sdtContent>
    </w:sdt>
    <w:p w14:paraId="7512E2CC">
      <w:pPr>
        <w:spacing w:line="360" w:lineRule="auto"/>
        <w:ind w:firstLine="549" w:firstLineChars="229"/>
        <w:rPr>
          <w:rFonts w:ascii="宋体" w:hAnsi="宋体" w:cs="宋体"/>
          <w:color w:val="auto"/>
          <w:sz w:val="24"/>
          <w:highlight w:val="none"/>
        </w:rPr>
      </w:pPr>
      <w:bookmarkStart w:id="3" w:name="_Hlt91233176"/>
      <w:bookmarkEnd w:id="3"/>
      <w:bookmarkStart w:id="4" w:name="_Toc91899869"/>
    </w:p>
    <w:p w14:paraId="1F887744">
      <w:pPr>
        <w:spacing w:line="360" w:lineRule="auto"/>
        <w:ind w:firstLine="549" w:firstLineChars="229"/>
        <w:rPr>
          <w:rFonts w:ascii="宋体" w:hAnsi="宋体" w:cs="宋体"/>
          <w:color w:val="auto"/>
          <w:sz w:val="24"/>
          <w:highlight w:val="none"/>
        </w:rPr>
      </w:pPr>
    </w:p>
    <w:p w14:paraId="774F8A24">
      <w:pPr>
        <w:spacing w:line="360" w:lineRule="auto"/>
        <w:ind w:firstLine="549" w:firstLineChars="229"/>
        <w:rPr>
          <w:rFonts w:ascii="宋体" w:hAnsi="宋体" w:cs="宋体"/>
          <w:color w:val="auto"/>
          <w:sz w:val="24"/>
          <w:highlight w:val="none"/>
        </w:rPr>
      </w:pPr>
    </w:p>
    <w:p w14:paraId="378BC191">
      <w:pPr>
        <w:spacing w:line="360" w:lineRule="auto"/>
        <w:ind w:firstLine="549" w:firstLineChars="229"/>
        <w:rPr>
          <w:rFonts w:ascii="宋体" w:hAnsi="宋体" w:cs="宋体"/>
          <w:color w:val="auto"/>
          <w:sz w:val="24"/>
          <w:highlight w:val="none"/>
        </w:rPr>
      </w:pPr>
    </w:p>
    <w:p w14:paraId="6E825E51">
      <w:pPr>
        <w:spacing w:line="360" w:lineRule="auto"/>
        <w:ind w:firstLine="549" w:firstLineChars="229"/>
        <w:rPr>
          <w:rFonts w:ascii="宋体" w:hAnsi="宋体" w:cs="宋体"/>
          <w:color w:val="auto"/>
          <w:sz w:val="24"/>
          <w:highlight w:val="none"/>
        </w:rPr>
      </w:pPr>
    </w:p>
    <w:p w14:paraId="0EAD1FA3">
      <w:pPr>
        <w:spacing w:line="360" w:lineRule="auto"/>
        <w:ind w:firstLine="549" w:firstLineChars="229"/>
        <w:rPr>
          <w:rFonts w:ascii="宋体" w:hAnsi="宋体" w:cs="宋体"/>
          <w:color w:val="auto"/>
          <w:sz w:val="24"/>
          <w:highlight w:val="none"/>
        </w:rPr>
      </w:pPr>
    </w:p>
    <w:p w14:paraId="01658A2D">
      <w:pPr>
        <w:spacing w:line="360" w:lineRule="auto"/>
        <w:ind w:firstLine="549" w:firstLineChars="229"/>
        <w:rPr>
          <w:rFonts w:ascii="宋体" w:hAnsi="宋体" w:cs="宋体"/>
          <w:color w:val="auto"/>
          <w:sz w:val="24"/>
          <w:highlight w:val="none"/>
        </w:rPr>
      </w:pPr>
    </w:p>
    <w:p w14:paraId="4A47F7A5">
      <w:pPr>
        <w:spacing w:line="360" w:lineRule="auto"/>
        <w:ind w:firstLine="549" w:firstLineChars="229"/>
        <w:rPr>
          <w:rFonts w:ascii="宋体" w:hAnsi="宋体" w:cs="宋体"/>
          <w:color w:val="auto"/>
          <w:sz w:val="24"/>
          <w:highlight w:val="none"/>
        </w:rPr>
      </w:pPr>
    </w:p>
    <w:p w14:paraId="3CB3751C">
      <w:pPr>
        <w:spacing w:line="360" w:lineRule="auto"/>
        <w:ind w:firstLine="549" w:firstLineChars="229"/>
        <w:rPr>
          <w:rFonts w:ascii="宋体" w:hAnsi="宋体" w:cs="宋体"/>
          <w:color w:val="auto"/>
          <w:sz w:val="24"/>
          <w:highlight w:val="none"/>
        </w:rPr>
      </w:pPr>
    </w:p>
    <w:p w14:paraId="3D4D327C">
      <w:pPr>
        <w:spacing w:line="360" w:lineRule="auto"/>
        <w:ind w:firstLine="549" w:firstLineChars="229"/>
        <w:rPr>
          <w:rFonts w:ascii="宋体" w:hAnsi="宋体" w:cs="宋体"/>
          <w:color w:val="auto"/>
          <w:sz w:val="24"/>
          <w:highlight w:val="none"/>
        </w:rPr>
      </w:pPr>
    </w:p>
    <w:p w14:paraId="2D700F6C">
      <w:pPr>
        <w:spacing w:line="360" w:lineRule="auto"/>
        <w:ind w:firstLine="549" w:firstLineChars="229"/>
        <w:rPr>
          <w:rFonts w:ascii="宋体" w:hAnsi="宋体" w:cs="宋体"/>
          <w:color w:val="auto"/>
          <w:sz w:val="24"/>
          <w:highlight w:val="none"/>
        </w:rPr>
      </w:pPr>
    </w:p>
    <w:p w14:paraId="71067659">
      <w:pPr>
        <w:spacing w:line="360" w:lineRule="auto"/>
        <w:ind w:firstLine="549" w:firstLineChars="229"/>
        <w:rPr>
          <w:rFonts w:ascii="宋体" w:hAnsi="宋体" w:cs="宋体"/>
          <w:color w:val="auto"/>
          <w:sz w:val="24"/>
          <w:highlight w:val="none"/>
        </w:rPr>
      </w:pPr>
    </w:p>
    <w:p w14:paraId="7DE6F379">
      <w:pPr>
        <w:spacing w:line="360" w:lineRule="auto"/>
        <w:ind w:firstLine="549" w:firstLineChars="229"/>
        <w:rPr>
          <w:rFonts w:ascii="宋体" w:hAnsi="宋体" w:cs="宋体"/>
          <w:color w:val="auto"/>
          <w:sz w:val="24"/>
          <w:highlight w:val="none"/>
        </w:rPr>
      </w:pPr>
    </w:p>
    <w:p w14:paraId="33B8BE28">
      <w:pPr>
        <w:spacing w:line="360" w:lineRule="auto"/>
        <w:rPr>
          <w:rFonts w:ascii="宋体" w:hAnsi="宋体" w:cs="宋体"/>
          <w:color w:val="auto"/>
          <w:sz w:val="24"/>
          <w:highlight w:val="none"/>
        </w:rPr>
      </w:pPr>
    </w:p>
    <w:p w14:paraId="15BD8924">
      <w:pPr>
        <w:adjustRightInd/>
        <w:spacing w:line="360" w:lineRule="auto"/>
        <w:jc w:val="center"/>
        <w:outlineLvl w:val="0"/>
        <w:rPr>
          <w:rFonts w:ascii="宋体" w:hAnsi="宋体" w:cs="宋体"/>
          <w:b/>
          <w:color w:val="auto"/>
          <w:sz w:val="36"/>
          <w:szCs w:val="20"/>
          <w:highlight w:val="none"/>
        </w:rPr>
      </w:pPr>
      <w:bookmarkStart w:id="5" w:name="第一部分"/>
      <w:r>
        <w:rPr>
          <w:rFonts w:hint="eastAsia" w:ascii="宋体" w:hAnsi="宋体" w:cs="宋体"/>
          <w:b/>
          <w:color w:val="auto"/>
          <w:sz w:val="36"/>
          <w:szCs w:val="36"/>
          <w:highlight w:val="none"/>
        </w:rPr>
        <w:br w:type="page"/>
      </w:r>
      <w:bookmarkEnd w:id="4"/>
      <w:bookmarkEnd w:id="5"/>
      <w:bookmarkStart w:id="6" w:name="_Hlt74649545"/>
      <w:bookmarkEnd w:id="6"/>
      <w:bookmarkStart w:id="7" w:name="_Hlt74729822"/>
      <w:bookmarkEnd w:id="7"/>
      <w:bookmarkStart w:id="8" w:name="_Hlt74707423"/>
      <w:bookmarkEnd w:id="8"/>
      <w:bookmarkStart w:id="9" w:name="_Hlt74728647"/>
      <w:bookmarkEnd w:id="9"/>
      <w:bookmarkStart w:id="10" w:name="_Toc32263"/>
      <w:bookmarkStart w:id="11" w:name="_Toc15656"/>
      <w:bookmarkStart w:id="12" w:name="第二部分"/>
      <w:bookmarkStart w:id="13" w:name="_Toc91899870"/>
      <w:bookmarkStart w:id="14" w:name="_Toc91899871"/>
      <w:r>
        <w:rPr>
          <w:rStyle w:val="284"/>
          <w:rFonts w:hint="eastAsia"/>
          <w:color w:val="auto"/>
          <w:highlight w:val="none"/>
        </w:rPr>
        <w:t>第一部分 招标公告</w:t>
      </w:r>
      <w:bookmarkEnd w:id="10"/>
      <w:bookmarkEnd w:id="11"/>
    </w:p>
    <w:p w14:paraId="0F30A83E">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7AD069B">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镇海区看守所智能化改造项目招标项目的潜在投标人应在政采云平台（https://www.zcygov.cn/） 获取（下载）招标文件，并于2024年12月26日 09:30（北京时间）前递交（上传）投标文件。</w:t>
      </w:r>
    </w:p>
    <w:p w14:paraId="2697A47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57CC22E">
      <w:pPr>
        <w:spacing w:line="360" w:lineRule="auto"/>
        <w:outlineLvl w:val="1"/>
        <w:rPr>
          <w:rFonts w:hint="eastAsia" w:ascii="宋体" w:hAnsi="宋体" w:eastAsia="宋体" w:cs="宋体"/>
          <w:color w:val="auto"/>
          <w:sz w:val="24"/>
          <w:highlight w:val="none"/>
          <w:u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u w:val="none"/>
        </w:rPr>
        <w:t xml:space="preserve">  </w:t>
      </w:r>
      <w:bookmarkStart w:id="15" w:name="_Toc23734"/>
      <w:r>
        <w:rPr>
          <w:rFonts w:hint="eastAsia" w:ascii="宋体" w:hAnsi="宋体" w:cs="宋体"/>
          <w:b/>
          <w:color w:val="auto"/>
          <w:sz w:val="24"/>
          <w:highlight w:val="none"/>
          <w:u w:val="none"/>
        </w:rPr>
        <w:t>项目编号：</w:t>
      </w:r>
      <w:bookmarkEnd w:id="15"/>
      <w:r>
        <w:rPr>
          <w:rFonts w:hint="eastAsia" w:ascii="宋体" w:hAnsi="宋体" w:cs="宋体"/>
          <w:bCs/>
          <w:color w:val="auto"/>
          <w:sz w:val="24"/>
          <w:szCs w:val="24"/>
          <w:highlight w:val="none"/>
          <w:u w:val="none"/>
          <w:lang w:eastAsia="zh-CN"/>
        </w:rPr>
        <w:t>CBNB-20242629G</w:t>
      </w:r>
    </w:p>
    <w:p w14:paraId="573B92C6">
      <w:pPr>
        <w:spacing w:line="360" w:lineRule="auto"/>
        <w:rPr>
          <w:rFonts w:hint="eastAsia" w:ascii="宋体" w:hAnsi="宋体" w:eastAsia="宋体" w:cs="宋体"/>
          <w:color w:val="auto"/>
          <w:sz w:val="24"/>
          <w:highlight w:val="none"/>
          <w:u w:val="none"/>
          <w:lang w:eastAsia="zh-CN"/>
        </w:rPr>
      </w:pPr>
      <w:r>
        <w:rPr>
          <w:rFonts w:hint="eastAsia" w:ascii="宋体" w:hAnsi="宋体" w:cs="宋体"/>
          <w:color w:val="auto"/>
          <w:sz w:val="24"/>
          <w:highlight w:val="none"/>
          <w:u w:val="none"/>
        </w:rPr>
        <w:t xml:space="preserve">   </w:t>
      </w:r>
      <w:r>
        <w:rPr>
          <w:rFonts w:hint="eastAsia" w:ascii="宋体" w:hAnsi="宋体" w:cs="宋体"/>
          <w:b/>
          <w:color w:val="auto"/>
          <w:sz w:val="24"/>
          <w:highlight w:val="none"/>
          <w:u w:val="none"/>
        </w:rPr>
        <w:t xml:space="preserve"> 项目名称：</w:t>
      </w:r>
      <w:r>
        <w:rPr>
          <w:rFonts w:hint="eastAsia" w:ascii="宋体" w:hAnsi="宋体" w:cs="宋体"/>
          <w:bCs/>
          <w:color w:val="auto"/>
          <w:sz w:val="24"/>
          <w:szCs w:val="24"/>
          <w:highlight w:val="none"/>
          <w:u w:val="none"/>
          <w:lang w:eastAsia="zh-CN"/>
        </w:rPr>
        <w:t>镇海区看守所智能化改造项目</w:t>
      </w:r>
    </w:p>
    <w:p w14:paraId="58DFF934">
      <w:pPr>
        <w:spacing w:line="360" w:lineRule="auto"/>
        <w:rPr>
          <w:rFonts w:hint="default" w:ascii="宋体" w:hAnsi="宋体" w:eastAsia="宋体" w:cs="宋体"/>
          <w:b w:val="0"/>
          <w:bCs w:val="0"/>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val="0"/>
          <w:bCs w:val="0"/>
          <w:color w:val="auto"/>
          <w:sz w:val="24"/>
          <w:highlight w:val="none"/>
        </w:rPr>
        <w:t xml:space="preserve"> </w:t>
      </w:r>
      <w:r>
        <w:rPr>
          <w:rFonts w:hint="eastAsia" w:ascii="宋体" w:hAnsi="宋体" w:cs="宋体"/>
          <w:b/>
          <w:bCs/>
          <w:color w:val="auto"/>
          <w:sz w:val="24"/>
          <w:highlight w:val="none"/>
        </w:rPr>
        <w:t xml:space="preserve"> 预算金额（元）：</w:t>
      </w:r>
      <w:r>
        <w:rPr>
          <w:rFonts w:hint="eastAsia" w:ascii="宋体" w:hAnsi="宋体" w:cs="宋体"/>
          <w:b w:val="0"/>
          <w:bCs w:val="0"/>
          <w:color w:val="auto"/>
          <w:sz w:val="24"/>
          <w:highlight w:val="none"/>
          <w:lang w:val="en-US" w:eastAsia="zh-CN"/>
        </w:rPr>
        <w:t>2,345,023.00</w:t>
      </w:r>
    </w:p>
    <w:p w14:paraId="61E91548">
      <w:pPr>
        <w:spacing w:line="360" w:lineRule="auto"/>
        <w:ind w:firstLine="480"/>
        <w:rPr>
          <w:rFonts w:hint="default"/>
          <w:color w:val="auto"/>
          <w:highlight w:val="none"/>
          <w:lang w:val="en-US" w:eastAsia="zh-CN"/>
        </w:rPr>
      </w:pPr>
      <w:r>
        <w:rPr>
          <w:rFonts w:hint="eastAsia" w:ascii="宋体" w:hAnsi="宋体" w:cs="宋体"/>
          <w:b/>
          <w:bCs/>
          <w:color w:val="auto"/>
          <w:sz w:val="24"/>
          <w:highlight w:val="none"/>
        </w:rPr>
        <w:t>最高限价（元）：</w:t>
      </w:r>
      <w:r>
        <w:rPr>
          <w:rFonts w:hint="eastAsia" w:ascii="宋体" w:hAnsi="宋体" w:cs="宋体"/>
          <w:b w:val="0"/>
          <w:bCs w:val="0"/>
          <w:color w:val="auto"/>
          <w:sz w:val="24"/>
          <w:highlight w:val="none"/>
          <w:lang w:val="en-US" w:eastAsia="zh-CN"/>
        </w:rPr>
        <w:t>2,345,023.00</w:t>
      </w:r>
    </w:p>
    <w:p w14:paraId="494FE74B">
      <w:pPr>
        <w:spacing w:line="360" w:lineRule="auto"/>
        <w:ind w:firstLine="480" w:firstLineChars="200"/>
        <w:rPr>
          <w:rFonts w:hint="eastAsia" w:asciiTheme="minorEastAsia" w:hAnsiTheme="minorEastAsia" w:eastAsiaTheme="minorEastAsia"/>
          <w:snapToGrid/>
          <w:color w:val="auto"/>
          <w:kern w:val="2"/>
          <w:sz w:val="24"/>
          <w:szCs w:val="24"/>
          <w:highlight w:val="none"/>
          <w:lang w:val="en-US" w:eastAsia="zh-CN"/>
        </w:rPr>
      </w:pPr>
      <w:r>
        <w:rPr>
          <w:rFonts w:hint="eastAsia" w:asciiTheme="minorEastAsia" w:hAnsiTheme="minorEastAsia" w:eastAsiaTheme="minorEastAsia"/>
          <w:snapToGrid/>
          <w:color w:val="auto"/>
          <w:kern w:val="2"/>
          <w:sz w:val="24"/>
          <w:szCs w:val="24"/>
          <w:highlight w:val="none"/>
          <w:lang w:val="en-US" w:eastAsia="zh-CN"/>
        </w:rPr>
        <w:t>采购需求：</w:t>
      </w:r>
    </w:p>
    <w:p w14:paraId="1A959CDC">
      <w:pPr>
        <w:spacing w:line="360" w:lineRule="auto"/>
        <w:ind w:firstLine="480" w:firstLineChars="200"/>
        <w:rPr>
          <w:rFonts w:hint="eastAsia" w:asciiTheme="minorEastAsia" w:hAnsiTheme="minorEastAsia" w:eastAsiaTheme="minorEastAsia"/>
          <w:snapToGrid/>
          <w:color w:val="auto"/>
          <w:kern w:val="2"/>
          <w:sz w:val="24"/>
          <w:szCs w:val="24"/>
          <w:highlight w:val="none"/>
          <w:lang w:val="en-US" w:eastAsia="zh-CN"/>
        </w:rPr>
      </w:pPr>
      <w:r>
        <w:rPr>
          <w:rFonts w:hint="eastAsia" w:asciiTheme="minorEastAsia" w:hAnsiTheme="minorEastAsia" w:eastAsiaTheme="minorEastAsia"/>
          <w:snapToGrid/>
          <w:color w:val="auto"/>
          <w:kern w:val="2"/>
          <w:sz w:val="24"/>
          <w:szCs w:val="24"/>
          <w:highlight w:val="none"/>
        </w:rPr>
        <w:t>标项名称:</w:t>
      </w:r>
      <w:r>
        <w:rPr>
          <w:rFonts w:hint="eastAsia" w:ascii="宋体" w:hAnsi="宋体" w:cs="宋体"/>
          <w:bCs/>
          <w:color w:val="auto"/>
          <w:sz w:val="24"/>
          <w:szCs w:val="24"/>
          <w:highlight w:val="none"/>
          <w:u w:val="none"/>
          <w:lang w:eastAsia="zh-CN"/>
        </w:rPr>
        <w:t>镇海区看守所智能化改造项目</w:t>
      </w:r>
    </w:p>
    <w:p w14:paraId="596F5A44">
      <w:pPr>
        <w:spacing w:line="360" w:lineRule="auto"/>
        <w:ind w:firstLine="480" w:firstLineChars="200"/>
        <w:rPr>
          <w:rFonts w:hint="default" w:asciiTheme="minorEastAsia" w:hAnsiTheme="minorEastAsia" w:eastAsiaTheme="minorEastAsia"/>
          <w:snapToGrid/>
          <w:color w:val="auto"/>
          <w:kern w:val="2"/>
          <w:sz w:val="24"/>
          <w:szCs w:val="24"/>
          <w:highlight w:val="none"/>
          <w:lang w:val="en-US" w:eastAsia="zh-CN"/>
        </w:rPr>
      </w:pPr>
      <w:r>
        <w:rPr>
          <w:rFonts w:hint="eastAsia" w:asciiTheme="minorEastAsia" w:hAnsiTheme="minorEastAsia" w:eastAsiaTheme="minorEastAsia"/>
          <w:snapToGrid/>
          <w:color w:val="auto"/>
          <w:kern w:val="2"/>
          <w:sz w:val="24"/>
          <w:szCs w:val="24"/>
          <w:highlight w:val="none"/>
        </w:rPr>
        <w:t>数量:</w:t>
      </w:r>
      <w:r>
        <w:rPr>
          <w:rFonts w:hint="eastAsia" w:asciiTheme="minorEastAsia" w:hAnsiTheme="minorEastAsia" w:eastAsiaTheme="minorEastAsia"/>
          <w:snapToGrid/>
          <w:color w:val="auto"/>
          <w:kern w:val="2"/>
          <w:sz w:val="24"/>
          <w:szCs w:val="24"/>
          <w:highlight w:val="none"/>
          <w:lang w:val="en-US" w:eastAsia="zh-CN"/>
        </w:rPr>
        <w:t>1批</w:t>
      </w:r>
    </w:p>
    <w:p w14:paraId="31F3354D">
      <w:pPr>
        <w:spacing w:line="360" w:lineRule="auto"/>
        <w:ind w:firstLine="480" w:firstLineChars="200"/>
        <w:rPr>
          <w:rFonts w:hint="eastAsia" w:asciiTheme="minorEastAsia" w:hAnsiTheme="minorEastAsia" w:eastAsiaTheme="minorEastAsia"/>
          <w:snapToGrid/>
          <w:color w:val="auto"/>
          <w:kern w:val="2"/>
          <w:sz w:val="24"/>
          <w:szCs w:val="24"/>
          <w:highlight w:val="none"/>
          <w:lang w:val="en-US" w:eastAsia="zh-CN"/>
        </w:rPr>
      </w:pPr>
      <w:r>
        <w:rPr>
          <w:rFonts w:hint="eastAsia" w:asciiTheme="minorEastAsia" w:hAnsiTheme="minorEastAsia" w:eastAsiaTheme="minorEastAsia"/>
          <w:snapToGrid/>
          <w:color w:val="auto"/>
          <w:kern w:val="2"/>
          <w:sz w:val="24"/>
          <w:szCs w:val="24"/>
          <w:highlight w:val="none"/>
        </w:rPr>
        <w:t>预算金额（元）:</w:t>
      </w:r>
      <w:r>
        <w:rPr>
          <w:rFonts w:hint="eastAsia" w:ascii="宋体" w:hAnsi="宋体" w:cs="宋体" w:eastAsiaTheme="minorEastAsia"/>
          <w:b w:val="0"/>
          <w:bCs w:val="0"/>
          <w:color w:val="auto"/>
          <w:sz w:val="24"/>
          <w:highlight w:val="none"/>
          <w:lang w:eastAsia="zh-CN"/>
        </w:rPr>
        <w:t>2,345,023.00</w:t>
      </w:r>
    </w:p>
    <w:p w14:paraId="42EC4006">
      <w:pPr>
        <w:pStyle w:val="63"/>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Theme="minorEastAsia" w:hAnsiTheme="minorEastAsia" w:eastAsiaTheme="minorEastAsia"/>
          <w:snapToGrid/>
          <w:color w:val="auto"/>
          <w:kern w:val="2"/>
          <w:sz w:val="24"/>
          <w:szCs w:val="24"/>
          <w:highlight w:val="none"/>
          <w:lang w:val="en-US" w:eastAsia="zh-CN"/>
        </w:rPr>
      </w:pPr>
      <w:r>
        <w:rPr>
          <w:rFonts w:hint="eastAsia" w:asciiTheme="minorEastAsia" w:hAnsiTheme="minorEastAsia" w:eastAsiaTheme="minorEastAsia"/>
          <w:snapToGrid/>
          <w:color w:val="auto"/>
          <w:kern w:val="2"/>
          <w:sz w:val="24"/>
          <w:szCs w:val="24"/>
          <w:highlight w:val="none"/>
        </w:rPr>
        <w:t>简要规格描述或项目基本概况介绍、用途：具体以招标文件第三部分采购需求为准，供应商可点击本公告下方“浏览采购文件”查看采购需求。</w:t>
      </w:r>
    </w:p>
    <w:p w14:paraId="1EA2ECC8">
      <w:pPr>
        <w:pStyle w:val="133"/>
        <w:keepNext w:val="0"/>
        <w:keepLines w:val="0"/>
        <w:pageBreakBefore w:val="0"/>
        <w:kinsoku/>
        <w:wordWrap/>
        <w:overflowPunct/>
        <w:topLinePunct w:val="0"/>
        <w:autoSpaceDE/>
        <w:autoSpaceDN/>
        <w:bidi w:val="0"/>
        <w:adjustRightInd w:val="0"/>
        <w:snapToGrid w:val="0"/>
        <w:spacing w:before="0"/>
        <w:ind w:firstLine="482"/>
        <w:textAlignment w:val="auto"/>
        <w:outlineLvl w:val="2"/>
        <w:rPr>
          <w:rFonts w:hint="eastAsia" w:asciiTheme="minorEastAsia" w:hAnsiTheme="minorEastAsia" w:eastAsiaTheme="minorEastAsia"/>
          <w:snapToGrid/>
          <w:color w:val="auto"/>
          <w:kern w:val="2"/>
          <w:sz w:val="24"/>
          <w:szCs w:val="24"/>
          <w:highlight w:val="none"/>
          <w:lang w:val="en-US" w:eastAsia="zh-CN"/>
        </w:rPr>
      </w:pPr>
      <w:bookmarkStart w:id="16" w:name="_Toc27797"/>
      <w:r>
        <w:rPr>
          <w:rFonts w:hint="eastAsia" w:asciiTheme="minorEastAsia" w:hAnsiTheme="minorEastAsia" w:eastAsiaTheme="minorEastAsia"/>
          <w:snapToGrid/>
          <w:color w:val="auto"/>
          <w:kern w:val="2"/>
          <w:sz w:val="24"/>
          <w:szCs w:val="24"/>
          <w:highlight w:val="none"/>
        </w:rPr>
        <w:t>备注：</w:t>
      </w:r>
      <w:r>
        <w:rPr>
          <w:rFonts w:hint="eastAsia" w:asciiTheme="minorEastAsia" w:hAnsiTheme="minorEastAsia" w:eastAsiaTheme="minorEastAsia"/>
          <w:snapToGrid/>
          <w:color w:val="auto"/>
          <w:kern w:val="2"/>
          <w:sz w:val="24"/>
          <w:szCs w:val="24"/>
          <w:highlight w:val="none"/>
          <w:lang w:val="en-US" w:eastAsia="zh-CN"/>
        </w:rPr>
        <w:t>/</w:t>
      </w:r>
    </w:p>
    <w:p w14:paraId="16426BA6">
      <w:pPr>
        <w:pStyle w:val="133"/>
        <w:keepNext w:val="0"/>
        <w:keepLines w:val="0"/>
        <w:pageBreakBefore w:val="0"/>
        <w:kinsoku/>
        <w:wordWrap/>
        <w:overflowPunct/>
        <w:topLinePunct w:val="0"/>
        <w:autoSpaceDE/>
        <w:autoSpaceDN/>
        <w:bidi w:val="0"/>
        <w:adjustRightInd w:val="0"/>
        <w:snapToGrid w:val="0"/>
        <w:spacing w:before="0"/>
        <w:ind w:firstLine="482"/>
        <w:textAlignment w:val="auto"/>
        <w:outlineLvl w:val="2"/>
        <w:rPr>
          <w:rFonts w:ascii="宋体" w:hAnsi="宋体" w:cs="宋体"/>
          <w:color w:val="auto"/>
          <w:highlight w:val="none"/>
        </w:rPr>
      </w:pPr>
      <w:r>
        <w:rPr>
          <w:rFonts w:hint="eastAsia" w:ascii="宋体" w:hAnsi="宋体" w:cs="宋体"/>
          <w:b w:val="0"/>
          <w:bCs/>
          <w:color w:val="auto"/>
          <w:highlight w:val="none"/>
        </w:rPr>
        <w:t>合同履约期限：</w:t>
      </w:r>
      <w:bookmarkEnd w:id="16"/>
      <w:r>
        <w:rPr>
          <w:rFonts w:hint="eastAsia" w:ascii="宋体" w:hAnsi="宋体" w:cs="宋体"/>
          <w:b w:val="0"/>
          <w:bCs/>
          <w:color w:val="auto"/>
          <w:szCs w:val="21"/>
          <w:highlight w:val="none"/>
        </w:rPr>
        <w:t>本项目在合同签订生效后六个月内完成项目实施。</w:t>
      </w:r>
    </w:p>
    <w:p w14:paraId="5B332144">
      <w:pPr>
        <w:pStyle w:val="5"/>
        <w:spacing w:line="360" w:lineRule="auto"/>
        <w:ind w:firstLine="480"/>
        <w:rPr>
          <w:rFonts w:hint="eastAsia" w:hAnsi="宋体" w:eastAsia="宋体" w:cs="宋体"/>
          <w:color w:val="auto"/>
          <w:kern w:val="0"/>
          <w:sz w:val="24"/>
          <w:highlight w:val="none"/>
          <w:lang w:eastAsia="zh-CN"/>
        </w:rPr>
      </w:pPr>
      <w:r>
        <w:rPr>
          <w:rFonts w:hint="eastAsia" w:hAnsi="宋体" w:cs="宋体"/>
          <w:b/>
          <w:color w:val="auto"/>
          <w:sz w:val="24"/>
          <w:highlight w:val="none"/>
        </w:rPr>
        <w:t>本项目接受联合体投标</w:t>
      </w:r>
      <w:r>
        <w:rPr>
          <w:rFonts w:hint="eastAsia" w:hAnsi="宋体" w:cs="宋体"/>
          <w:b/>
          <w:color w:val="auto"/>
          <w:sz w:val="24"/>
          <w:highlight w:val="none"/>
          <w:lang w:eastAsia="zh-CN"/>
        </w:rPr>
        <w:t>。</w:t>
      </w:r>
    </w:p>
    <w:p w14:paraId="07CDB2FB">
      <w:pPr>
        <w:spacing w:line="360" w:lineRule="auto"/>
        <w:outlineLvl w:val="1"/>
        <w:rPr>
          <w:rFonts w:ascii="宋体" w:hAnsi="宋体" w:cs="宋体"/>
          <w:b/>
          <w:color w:val="auto"/>
          <w:sz w:val="24"/>
          <w:highlight w:val="none"/>
        </w:rPr>
      </w:pPr>
      <w:bookmarkStart w:id="17" w:name="_Toc23184"/>
      <w:r>
        <w:rPr>
          <w:rFonts w:hint="eastAsia" w:ascii="宋体" w:hAnsi="宋体" w:cs="宋体"/>
          <w:b/>
          <w:color w:val="auto"/>
          <w:sz w:val="24"/>
          <w:highlight w:val="none"/>
        </w:rPr>
        <w:t>二、</w:t>
      </w:r>
      <w:bookmarkStart w:id="18" w:name="_Hlk101132948"/>
      <w:r>
        <w:rPr>
          <w:rFonts w:hint="eastAsia" w:ascii="宋体" w:hAnsi="宋体" w:cs="宋体"/>
          <w:b/>
          <w:color w:val="auto"/>
          <w:sz w:val="24"/>
          <w:highlight w:val="none"/>
        </w:rPr>
        <w:t>申请人的资格要求</w:t>
      </w:r>
      <w:bookmarkEnd w:id="18"/>
      <w:r>
        <w:rPr>
          <w:rFonts w:hint="eastAsia" w:ascii="宋体" w:hAnsi="宋体" w:cs="宋体"/>
          <w:b/>
          <w:color w:val="auto"/>
          <w:sz w:val="24"/>
          <w:highlight w:val="none"/>
        </w:rPr>
        <w:t>：</w:t>
      </w:r>
      <w:bookmarkEnd w:id="17"/>
    </w:p>
    <w:p w14:paraId="42A80965">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eastAsia="宋体" w:cs="宋体"/>
          <w:color w:val="auto"/>
          <w:sz w:val="24"/>
          <w:highlight w:val="none"/>
          <w:lang w:val="en-US" w:eastAsia="zh-CN"/>
        </w:rPr>
        <w:t>重大税收违法失信主体</w:t>
      </w:r>
      <w:r>
        <w:rPr>
          <w:rFonts w:hint="eastAsia" w:ascii="宋体" w:hAnsi="宋体" w:cs="宋体"/>
          <w:snapToGrid w:val="0"/>
          <w:color w:val="auto"/>
          <w:kern w:val="28"/>
          <w:sz w:val="24"/>
          <w:szCs w:val="20"/>
          <w:highlight w:val="none"/>
        </w:rPr>
        <w:t>、政府采购严重违法失信行为记录名单；</w:t>
      </w:r>
    </w:p>
    <w:p w14:paraId="074AABA6">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.落实政府采购政策需满足的资格</w:t>
      </w:r>
      <w:r>
        <w:rPr>
          <w:rFonts w:hint="eastAsia" w:ascii="宋体" w:hAnsi="宋体" w:eastAsia="宋体" w:cs="宋体"/>
          <w:snapToGrid w:val="0"/>
          <w:color w:val="auto"/>
          <w:kern w:val="28"/>
          <w:sz w:val="24"/>
          <w:szCs w:val="20"/>
          <w:highlight w:val="none"/>
        </w:rPr>
        <w:t>要求：</w:t>
      </w:r>
      <w:r>
        <w:rPr>
          <w:rFonts w:hint="eastAsia" w:ascii="宋体" w:hAnsi="宋体" w:cs="宋体"/>
          <w:snapToGrid w:val="0"/>
          <w:color w:val="auto"/>
          <w:kern w:val="28"/>
          <w:sz w:val="24"/>
          <w:szCs w:val="20"/>
          <w:highlight w:val="none"/>
          <w:lang w:val="en-US" w:eastAsia="zh-CN"/>
        </w:rPr>
        <w:t>无</w:t>
      </w:r>
      <w:r>
        <w:rPr>
          <w:rFonts w:hint="eastAsia" w:ascii="宋体" w:hAnsi="宋体" w:cs="宋体"/>
          <w:color w:val="auto"/>
          <w:sz w:val="24"/>
          <w:highlight w:val="none"/>
          <w:lang w:eastAsia="zh-CN"/>
        </w:rPr>
        <w:t>。</w:t>
      </w:r>
    </w:p>
    <w:p w14:paraId="100E400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lang w:val="en-US" w:eastAsia="zh-CN"/>
        </w:rPr>
        <w:t>无</w:t>
      </w:r>
      <w:r>
        <w:rPr>
          <w:rFonts w:hint="eastAsia" w:ascii="宋体" w:hAnsi="宋体" w:cs="宋体"/>
          <w:color w:val="auto"/>
          <w:sz w:val="24"/>
          <w:highlight w:val="none"/>
          <w:lang w:eastAsia="zh-CN"/>
        </w:rPr>
        <w:t>。</w:t>
      </w:r>
    </w:p>
    <w:p w14:paraId="5B3F5C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0603A97">
      <w:pPr>
        <w:rPr>
          <w:rFonts w:ascii="宋体" w:hAnsi="宋体" w:cs="宋体"/>
          <w:b/>
          <w:color w:val="auto"/>
          <w:sz w:val="24"/>
          <w:highlight w:val="none"/>
        </w:rPr>
      </w:pPr>
      <w:bookmarkStart w:id="19" w:name="_Toc15435"/>
      <w:r>
        <w:rPr>
          <w:rFonts w:hint="eastAsia" w:ascii="宋体" w:hAnsi="宋体" w:cs="宋体"/>
          <w:b/>
          <w:color w:val="auto"/>
          <w:sz w:val="24"/>
          <w:highlight w:val="none"/>
        </w:rPr>
        <w:t>三、获取招标文件</w:t>
      </w:r>
      <w:bookmarkEnd w:id="19"/>
      <w:r>
        <w:rPr>
          <w:rFonts w:hint="eastAsia" w:ascii="宋体" w:hAnsi="宋体" w:cs="宋体"/>
          <w:b/>
          <w:color w:val="auto"/>
          <w:sz w:val="24"/>
          <w:highlight w:val="none"/>
        </w:rPr>
        <w:t xml:space="preserve"> </w:t>
      </w:r>
    </w:p>
    <w:p w14:paraId="76F3D3DE">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时间：2024年12月04日至2024年12月11日 ，每天上午00:00至12:00 ，下午12:00至23:59（北京时间，线上获取法定节假日均可，线下获取文件法定节假日除外）</w:t>
      </w:r>
    </w:p>
    <w:p w14:paraId="0679B99A">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 xml:space="preserve">地点（网址）：政采云平台（https://www.zcygov.cn/） </w:t>
      </w:r>
    </w:p>
    <w:p w14:paraId="2EDFB062">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 xml:space="preserve">方式：供应商登录政采云平台https://www.zcygov.cn/在线申请获取采购文件（进入“项目采购”应用，在获取采购文件菜单中选择项目，申请获取采购文件）。 </w:t>
      </w:r>
    </w:p>
    <w:p w14:paraId="4EA58FBD">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 xml:space="preserve">售价（元）：0 </w:t>
      </w:r>
      <w:r>
        <w:rPr>
          <w:rFonts w:hint="eastAsia" w:ascii="宋体" w:hAnsi="宋体" w:cs="宋体"/>
          <w:b w:val="0"/>
          <w:bCs/>
          <w:color w:val="auto"/>
          <w:sz w:val="24"/>
          <w:highlight w:val="none"/>
        </w:rPr>
        <w:tab/>
      </w:r>
    </w:p>
    <w:p w14:paraId="4F118415">
      <w:pPr>
        <w:spacing w:line="360" w:lineRule="auto"/>
        <w:outlineLvl w:val="1"/>
        <w:rPr>
          <w:rFonts w:ascii="宋体" w:hAnsi="宋体" w:cs="宋体"/>
          <w:b/>
          <w:bCs w:val="0"/>
          <w:color w:val="auto"/>
          <w:sz w:val="24"/>
          <w:highlight w:val="none"/>
        </w:rPr>
      </w:pPr>
      <w:bookmarkStart w:id="20" w:name="_Toc18115"/>
      <w:r>
        <w:rPr>
          <w:rFonts w:hint="eastAsia" w:ascii="宋体" w:hAnsi="宋体" w:cs="宋体"/>
          <w:b/>
          <w:bCs w:val="0"/>
          <w:color w:val="auto"/>
          <w:sz w:val="24"/>
          <w:highlight w:val="none"/>
        </w:rPr>
        <w:t>四、提交投标文件截止时间、开标时间和地点</w:t>
      </w:r>
      <w:bookmarkEnd w:id="20"/>
    </w:p>
    <w:p w14:paraId="12B08151">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提交投标文件截止时间：</w:t>
      </w:r>
      <w:r>
        <w:rPr>
          <w:rFonts w:hint="eastAsia" w:ascii="宋体" w:hAnsi="宋体" w:cs="宋体"/>
          <w:b w:val="0"/>
          <w:bCs/>
          <w:color w:val="auto"/>
          <w:sz w:val="24"/>
          <w:highlight w:val="none"/>
          <w:u w:val="single"/>
        </w:rPr>
        <w:t>2024年12月26日 09:30</w:t>
      </w:r>
      <w:r>
        <w:rPr>
          <w:rFonts w:hint="eastAsia" w:ascii="宋体" w:hAnsi="宋体" w:cs="宋体"/>
          <w:b w:val="0"/>
          <w:bCs/>
          <w:color w:val="auto"/>
          <w:sz w:val="24"/>
          <w:highlight w:val="none"/>
        </w:rPr>
        <w:t>（北京时间）</w:t>
      </w:r>
    </w:p>
    <w:p w14:paraId="748CF1DB">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 xml:space="preserve">投标地点（网址）：政采云平台（https://www.zcygov.cn/） </w:t>
      </w:r>
    </w:p>
    <w:p w14:paraId="6D864812">
      <w:pPr>
        <w:spacing w:line="360" w:lineRule="auto"/>
        <w:ind w:firstLine="480" w:firstLineChars="200"/>
        <w:rPr>
          <w:rFonts w:ascii="宋体" w:hAnsi="宋体" w:cs="宋体"/>
          <w:b w:val="0"/>
          <w:bCs/>
          <w:color w:val="auto"/>
          <w:sz w:val="24"/>
          <w:highlight w:val="none"/>
          <w:u w:val="single"/>
        </w:rPr>
      </w:pPr>
      <w:r>
        <w:rPr>
          <w:rFonts w:hint="eastAsia" w:ascii="宋体" w:hAnsi="宋体" w:cs="宋体"/>
          <w:b w:val="0"/>
          <w:bCs/>
          <w:color w:val="auto"/>
          <w:sz w:val="24"/>
          <w:highlight w:val="none"/>
        </w:rPr>
        <w:t>开标时间：</w:t>
      </w:r>
      <w:r>
        <w:rPr>
          <w:rFonts w:hint="eastAsia" w:ascii="宋体" w:hAnsi="宋体" w:cs="宋体"/>
          <w:b w:val="0"/>
          <w:bCs/>
          <w:color w:val="auto"/>
          <w:sz w:val="24"/>
          <w:highlight w:val="none"/>
          <w:u w:val="single"/>
        </w:rPr>
        <w:t>2024年12月26日 09:30</w:t>
      </w:r>
      <w:r>
        <w:rPr>
          <w:rFonts w:hint="eastAsia" w:ascii="宋体" w:hAnsi="宋体" w:cs="宋体"/>
          <w:b w:val="0"/>
          <w:bCs/>
          <w:color w:val="auto"/>
          <w:sz w:val="24"/>
          <w:highlight w:val="none"/>
        </w:rPr>
        <w:t>（北京时间）</w:t>
      </w:r>
    </w:p>
    <w:p w14:paraId="530A5E04">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开标地点（网址）：浙江省宁波市镇海区骆驼街道金华南路57号三楼开标厅三</w:t>
      </w:r>
    </w:p>
    <w:p w14:paraId="72BB0896">
      <w:pPr>
        <w:spacing w:line="360" w:lineRule="auto"/>
        <w:outlineLvl w:val="1"/>
        <w:rPr>
          <w:rFonts w:ascii="宋体" w:hAnsi="宋体" w:cs="宋体"/>
          <w:color w:val="auto"/>
          <w:sz w:val="24"/>
          <w:highlight w:val="none"/>
        </w:rPr>
      </w:pPr>
      <w:bookmarkStart w:id="21" w:name="_Toc16463"/>
      <w:r>
        <w:rPr>
          <w:rFonts w:hint="eastAsia" w:ascii="宋体" w:hAnsi="宋体" w:cs="宋体"/>
          <w:b/>
          <w:color w:val="auto"/>
          <w:sz w:val="24"/>
          <w:highlight w:val="none"/>
        </w:rPr>
        <w:t>五、公告期限</w:t>
      </w:r>
      <w:bookmarkEnd w:id="21"/>
      <w:r>
        <w:rPr>
          <w:rFonts w:hint="eastAsia" w:ascii="宋体" w:hAnsi="宋体" w:cs="宋体"/>
          <w:b/>
          <w:color w:val="auto"/>
          <w:sz w:val="24"/>
          <w:highlight w:val="none"/>
        </w:rPr>
        <w:t xml:space="preserve"> </w:t>
      </w:r>
    </w:p>
    <w:p w14:paraId="5CD640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0E125393">
      <w:pPr>
        <w:spacing w:line="360" w:lineRule="auto"/>
        <w:outlineLvl w:val="1"/>
        <w:rPr>
          <w:rFonts w:ascii="宋体" w:hAnsi="宋体" w:cs="宋体"/>
          <w:b/>
          <w:color w:val="auto"/>
          <w:sz w:val="24"/>
          <w:highlight w:val="none"/>
        </w:rPr>
      </w:pPr>
      <w:bookmarkStart w:id="22" w:name="_Toc20735"/>
      <w:r>
        <w:rPr>
          <w:rFonts w:hint="eastAsia" w:ascii="宋体" w:hAnsi="宋体" w:cs="宋体"/>
          <w:b/>
          <w:color w:val="auto"/>
          <w:sz w:val="24"/>
          <w:highlight w:val="none"/>
        </w:rPr>
        <w:t>六、其他补充事宜</w:t>
      </w:r>
      <w:bookmarkEnd w:id="22"/>
    </w:p>
    <w:p w14:paraId="3E9161E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F1535B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F3932B">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color w:val="auto"/>
          <w:sz w:val="24"/>
          <w:highlight w:val="none"/>
        </w:rPr>
        <w:t>。</w:t>
      </w:r>
    </w:p>
    <w:p w14:paraId="14F079C6">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其他事项：</w:t>
      </w:r>
    </w:p>
    <w:p w14:paraId="7C0923B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需要落实的政府采购政策：包括节约资源、保护环境、支持创新、促进中小企业发展等。详见招标文件的第二部分总则。</w:t>
      </w:r>
    </w:p>
    <w:p w14:paraId="59CC3B21">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w:t>
      </w:r>
      <w:r>
        <w:rPr>
          <w:rFonts w:hint="eastAsia" w:ascii="宋体" w:hAnsi="宋体" w:cs="宋体"/>
          <w:color w:val="auto"/>
          <w:sz w:val="24"/>
          <w:highlight w:val="none"/>
          <w:lang w:val="en-US" w:eastAsia="zh-CN"/>
        </w:rPr>
        <w:t>章</w:t>
      </w:r>
      <w:r>
        <w:rPr>
          <w:rFonts w:hint="eastAsia" w:ascii="宋体" w:hAnsi="宋体" w:cs="宋体"/>
          <w:color w:val="auto"/>
          <w:sz w:val="24"/>
          <w:highlight w:val="none"/>
        </w:rPr>
        <w:t>”、“生成电子标书”等操作；⑤采购人、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w:t>
      </w:r>
      <w:r>
        <w:rPr>
          <w:rFonts w:hint="eastAsia" w:ascii="宋体" w:hAnsi="宋体" w:cs="宋体"/>
          <w:color w:val="auto"/>
          <w:sz w:val="24"/>
          <w:highlight w:val="none"/>
          <w:lang w:val="en-US" w:eastAsia="zh-CN"/>
        </w:rPr>
        <w:t>寄</w:t>
      </w:r>
      <w:r>
        <w:rPr>
          <w:rFonts w:hint="eastAsia" w:ascii="宋体" w:hAnsi="宋体" w:cs="宋体"/>
          <w:color w:val="auto"/>
          <w:sz w:val="24"/>
          <w:highlight w:val="none"/>
        </w:rPr>
        <w:t>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w:t>
      </w:r>
      <w:r>
        <w:rPr>
          <w:rFonts w:hint="eastAsia" w:ascii="宋体" w:hAnsi="宋体" w:eastAsia="宋体" w:cs="宋体"/>
          <w:color w:val="auto"/>
          <w:sz w:val="24"/>
          <w:highlight w:val="none"/>
        </w:rPr>
        <w:t>中心-帮助文档-项目采购-操作流程-电子招投标-政府采购项目电子交易管理操作指南-供应商”。</w:t>
      </w:r>
    </w:p>
    <w:p w14:paraId="0707B4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）招标文件公告期限与招标公告的公告期限一致。</w:t>
      </w:r>
    </w:p>
    <w:p w14:paraId="5191D01B">
      <w:pPr>
        <w:spacing w:line="360" w:lineRule="auto"/>
        <w:outlineLvl w:val="1"/>
        <w:rPr>
          <w:rFonts w:ascii="宋体" w:hAnsi="宋体" w:cs="宋体"/>
          <w:b/>
          <w:color w:val="auto"/>
          <w:sz w:val="24"/>
          <w:highlight w:val="none"/>
        </w:rPr>
      </w:pPr>
      <w:bookmarkStart w:id="23" w:name="_Toc3685"/>
      <w:r>
        <w:rPr>
          <w:rFonts w:hint="eastAsia" w:ascii="宋体" w:hAnsi="宋体" w:cs="宋体"/>
          <w:b/>
          <w:color w:val="auto"/>
          <w:sz w:val="24"/>
          <w:highlight w:val="none"/>
        </w:rPr>
        <w:t>七、对本次采购提出询问、质疑、投诉，请按以下方式联系</w:t>
      </w:r>
      <w:bookmarkEnd w:id="23"/>
    </w:p>
    <w:p w14:paraId="1E1A997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47ED8AA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名称：宁波市公安局镇海分局</w:t>
      </w:r>
    </w:p>
    <w:p w14:paraId="4492EE5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地址：宁波市镇海区招宝山街道中山路4号 </w:t>
      </w:r>
    </w:p>
    <w:p w14:paraId="5C23574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传真：/</w:t>
      </w:r>
    </w:p>
    <w:p w14:paraId="4BD5A92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项目联系人（询问）：钱老师</w:t>
      </w:r>
    </w:p>
    <w:p w14:paraId="595742C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项目联系方式（询问）：0574-86635026</w:t>
      </w:r>
    </w:p>
    <w:p w14:paraId="7DF028E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质疑联系人：张老师</w:t>
      </w:r>
    </w:p>
    <w:p w14:paraId="7D2B3AF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 xml:space="preserve">质疑联系方式：0574-86635720 </w:t>
      </w:r>
    </w:p>
    <w:p w14:paraId="0C9F0E5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p>
    <w:p w14:paraId="75562B1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            </w:t>
      </w:r>
    </w:p>
    <w:p w14:paraId="28E7A65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名称：宁波中基国际招标有限公司             </w:t>
      </w:r>
    </w:p>
    <w:p w14:paraId="43A6D5A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地址：宁波市鄞州区天童南路666号中基大厦19楼             </w:t>
      </w:r>
    </w:p>
    <w:p w14:paraId="491408C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传真：0574-87425386             </w:t>
      </w:r>
    </w:p>
    <w:p w14:paraId="226D5D8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吕昕烨、史维、吕勇</w:t>
      </w:r>
      <w:r>
        <w:rPr>
          <w:rFonts w:hint="eastAsia" w:ascii="宋体" w:hAnsi="宋体" w:eastAsia="宋体" w:cs="宋体"/>
          <w:color w:val="auto"/>
          <w:sz w:val="24"/>
          <w:highlight w:val="none"/>
        </w:rPr>
        <w:t>            </w:t>
      </w:r>
    </w:p>
    <w:p w14:paraId="06B2F21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项目联系方式（询问）：0574-8742</w:t>
      </w:r>
      <w:r>
        <w:rPr>
          <w:rFonts w:hint="eastAsia" w:ascii="宋体" w:hAnsi="宋体" w:cs="宋体"/>
          <w:color w:val="auto"/>
          <w:sz w:val="24"/>
          <w:highlight w:val="none"/>
          <w:lang w:val="en-US" w:eastAsia="zh-CN"/>
        </w:rPr>
        <w:t>5130</w:t>
      </w:r>
    </w:p>
    <w:p w14:paraId="47E7316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方芸</w:t>
      </w:r>
      <w:r>
        <w:rPr>
          <w:rFonts w:hint="eastAsia" w:ascii="宋体" w:hAnsi="宋体" w:eastAsia="宋体" w:cs="宋体"/>
          <w:color w:val="auto"/>
          <w:sz w:val="24"/>
          <w:highlight w:val="none"/>
        </w:rPr>
        <w:t>             </w:t>
      </w:r>
    </w:p>
    <w:p w14:paraId="1F0A340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Cs w:val="21"/>
          <w:highlight w:val="none"/>
        </w:rPr>
      </w:pPr>
      <w:r>
        <w:rPr>
          <w:rFonts w:hint="eastAsia" w:ascii="宋体" w:hAnsi="宋体" w:eastAsia="宋体" w:cs="宋体"/>
          <w:color w:val="auto"/>
          <w:sz w:val="24"/>
          <w:highlight w:val="none"/>
        </w:rPr>
        <w:t>质疑联系方式：0574-</w:t>
      </w:r>
      <w:r>
        <w:rPr>
          <w:rFonts w:hint="eastAsia" w:ascii="宋体" w:hAnsi="宋体" w:cs="宋体"/>
          <w:color w:val="auto"/>
          <w:sz w:val="24"/>
          <w:highlight w:val="none"/>
          <w:lang w:val="en-US" w:eastAsia="zh-CN"/>
        </w:rPr>
        <w:t>88090063</w:t>
      </w:r>
      <w:r>
        <w:rPr>
          <w:rFonts w:hint="eastAsia" w:ascii="宋体" w:hAnsi="宋体" w:eastAsia="宋体" w:cs="宋体"/>
          <w:color w:val="auto"/>
          <w:sz w:val="24"/>
          <w:highlight w:val="none"/>
        </w:rPr>
        <w:t>　　　</w:t>
      </w:r>
      <w:r>
        <w:rPr>
          <w:rFonts w:hint="eastAsia" w:ascii="宋体" w:hAnsi="宋体" w:cs="宋体"/>
          <w:color w:val="auto"/>
          <w:szCs w:val="21"/>
          <w:highlight w:val="none"/>
        </w:rPr>
        <w:t>　　　     </w:t>
      </w:r>
    </w:p>
    <w:p w14:paraId="46372355">
      <w:pPr>
        <w:keepNext w:val="0"/>
        <w:keepLines w:val="0"/>
        <w:pageBreakBefore w:val="0"/>
        <w:widowControl w:val="0"/>
        <w:kinsoku/>
        <w:wordWrap/>
        <w:overflowPunct/>
        <w:topLinePunct w:val="0"/>
        <w:autoSpaceDE/>
        <w:autoSpaceDN/>
        <w:bidi w:val="0"/>
        <w:adjustRightInd w:val="0"/>
        <w:snapToGrid/>
        <w:spacing w:line="360" w:lineRule="auto"/>
        <w:ind w:left="630" w:leftChars="200" w:hanging="210" w:hangingChars="1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39C941D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            </w:t>
      </w:r>
    </w:p>
    <w:p w14:paraId="62265A8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称：宁波市镇海区采购管理办公室</w:t>
      </w:r>
    </w:p>
    <w:p w14:paraId="2E030CC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 /</w:t>
      </w:r>
    </w:p>
    <w:p w14:paraId="16AD02A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686E271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联系人：金老师</w:t>
      </w:r>
    </w:p>
    <w:p w14:paraId="2118371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监督投诉电话：0574-89389666</w:t>
      </w:r>
    </w:p>
    <w:p w14:paraId="06560877">
      <w:pPr>
        <w:pStyle w:val="24"/>
        <w:rPr>
          <w:rFonts w:hint="eastAsia"/>
          <w:color w:val="auto"/>
          <w:highlight w:val="none"/>
          <w:lang w:val="en"/>
        </w:rPr>
      </w:pPr>
    </w:p>
    <w:p w14:paraId="3C598E2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ascii="宋体" w:hAnsi="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w:t>
      </w:r>
      <w:r>
        <w:rPr>
          <w:rFonts w:hint="eastAsia" w:ascii="宋体" w:hAnsi="宋体" w:cs="宋体"/>
          <w:color w:val="auto"/>
          <w:sz w:val="21"/>
          <w:szCs w:val="21"/>
          <w:highlight w:val="none"/>
        </w:rPr>
        <w:t>（https://www.zcygov.cn/），点击右侧咨询小采，获取采小蜜智能服务管家帮助，或拨打政采云服务热线95763获取热线服务帮助。</w:t>
      </w:r>
    </w:p>
    <w:p w14:paraId="57AD8CD2">
      <w:pPr>
        <w:spacing w:line="360" w:lineRule="auto"/>
        <w:ind w:firstLine="420" w:firstLineChars="200"/>
        <w:rPr>
          <w:rFonts w:hAnsi="宋体" w:cs="宋体"/>
          <w:b/>
          <w:color w:val="auto"/>
          <w:sz w:val="36"/>
          <w:szCs w:val="20"/>
          <w:highlight w:val="none"/>
        </w:rPr>
      </w:pPr>
      <w:r>
        <w:rPr>
          <w:rFonts w:hint="eastAsia" w:ascii="宋体" w:hAnsi="宋体" w:cs="宋体"/>
          <w:color w:val="auto"/>
          <w:sz w:val="21"/>
          <w:szCs w:val="21"/>
          <w:highlight w:val="none"/>
        </w:rPr>
        <w:t>CA问题联系电话（人工）：汇信CA 400-888-4636；天谷CA 400-087-8198。</w:t>
      </w:r>
      <w:r>
        <w:rPr>
          <w:rFonts w:hint="eastAsia" w:hAnsi="宋体" w:cs="宋体"/>
          <w:color w:val="auto"/>
          <w:sz w:val="21"/>
          <w:szCs w:val="21"/>
          <w:highlight w:val="none"/>
        </w:rPr>
        <w:t xml:space="preserve">  </w:t>
      </w: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3E58A1F8">
      <w:pPr>
        <w:pStyle w:val="3"/>
        <w:outlineLvl w:val="9"/>
        <w:rPr>
          <w:rFonts w:ascii="宋体"/>
          <w:snapToGrid w:val="0"/>
          <w:color w:val="auto"/>
          <w:highlight w:val="none"/>
        </w:rPr>
      </w:pPr>
      <w:r>
        <w:rPr>
          <w:color w:val="auto"/>
          <w:highlight w:val="none"/>
        </w:rPr>
        <w:br w:type="page"/>
      </w:r>
    </w:p>
    <w:p w14:paraId="44BAFA1C">
      <w:pPr>
        <w:adjustRightInd/>
        <w:spacing w:line="360" w:lineRule="auto"/>
        <w:jc w:val="center"/>
        <w:outlineLvl w:val="0"/>
        <w:rPr>
          <w:rFonts w:ascii="宋体" w:hAnsi="宋体" w:cs="宋体"/>
          <w:b/>
          <w:color w:val="auto"/>
          <w:sz w:val="36"/>
          <w:szCs w:val="20"/>
          <w:highlight w:val="none"/>
        </w:rPr>
      </w:pPr>
      <w:bookmarkStart w:id="24" w:name="_Toc31038"/>
      <w:bookmarkStart w:id="25" w:name="_Toc1745"/>
      <w:r>
        <w:rPr>
          <w:rFonts w:hint="eastAsia" w:ascii="宋体" w:hAnsi="宋体" w:cs="宋体"/>
          <w:b/>
          <w:color w:val="auto"/>
          <w:sz w:val="36"/>
          <w:szCs w:val="20"/>
          <w:highlight w:val="none"/>
        </w:rPr>
        <w:t>第二部分</w:t>
      </w:r>
      <w:bookmarkEnd w:id="12"/>
      <w:r>
        <w:rPr>
          <w:rFonts w:hint="eastAsia" w:ascii="宋体" w:hAnsi="宋体" w:cs="宋体"/>
          <w:b/>
          <w:color w:val="auto"/>
          <w:sz w:val="36"/>
          <w:szCs w:val="20"/>
          <w:highlight w:val="none"/>
        </w:rPr>
        <w:t xml:space="preserve"> 投标人须知</w:t>
      </w:r>
      <w:bookmarkEnd w:id="13"/>
      <w:bookmarkEnd w:id="24"/>
      <w:bookmarkEnd w:id="25"/>
    </w:p>
    <w:p w14:paraId="6AC73E03">
      <w:pPr>
        <w:adjustRightInd/>
        <w:spacing w:line="360" w:lineRule="auto"/>
        <w:ind w:firstLine="3845" w:firstLineChars="1197"/>
        <w:outlineLvl w:val="1"/>
        <w:rPr>
          <w:rFonts w:ascii="宋体" w:hAnsi="宋体" w:cs="宋体"/>
          <w:b/>
          <w:color w:val="auto"/>
          <w:sz w:val="32"/>
          <w:szCs w:val="20"/>
          <w:highlight w:val="none"/>
        </w:rPr>
      </w:pPr>
      <w:bookmarkStart w:id="26" w:name="_Toc17934"/>
      <w:r>
        <w:rPr>
          <w:rFonts w:hint="eastAsia" w:ascii="宋体" w:hAnsi="宋体" w:cs="宋体"/>
          <w:b/>
          <w:color w:val="auto"/>
          <w:sz w:val="32"/>
          <w:szCs w:val="20"/>
          <w:highlight w:val="none"/>
        </w:rPr>
        <w:t>前附表</w:t>
      </w:r>
      <w:bookmarkEnd w:id="26"/>
    </w:p>
    <w:tbl>
      <w:tblPr>
        <w:tblStyle w:val="64"/>
        <w:tblW w:w="9869" w:type="dxa"/>
        <w:tblInd w:w="-2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80"/>
        <w:gridCol w:w="2227"/>
        <w:gridCol w:w="6662"/>
      </w:tblGrid>
      <w:tr w14:paraId="3A478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980" w:type="dxa"/>
            <w:tcBorders>
              <w:top w:val="single" w:color="auto" w:sz="4" w:space="0"/>
              <w:left w:val="single" w:color="auto" w:sz="4" w:space="0"/>
              <w:bottom w:val="single" w:color="auto" w:sz="4" w:space="0"/>
              <w:right w:val="single" w:color="auto" w:sz="4" w:space="0"/>
            </w:tcBorders>
          </w:tcPr>
          <w:p w14:paraId="288131B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227" w:type="dxa"/>
            <w:tcBorders>
              <w:top w:val="single" w:color="000000" w:sz="8" w:space="0"/>
              <w:left w:val="single" w:color="auto" w:sz="4" w:space="0"/>
              <w:bottom w:val="single" w:color="000000" w:sz="8" w:space="0"/>
              <w:right w:val="single" w:color="000000" w:sz="8" w:space="0"/>
            </w:tcBorders>
            <w:vAlign w:val="center"/>
          </w:tcPr>
          <w:p w14:paraId="1D403D4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59A5AD0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5215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5" w:hRule="atLeast"/>
          <w:tblHeader/>
        </w:trPr>
        <w:tc>
          <w:tcPr>
            <w:tcW w:w="980" w:type="dxa"/>
            <w:tcBorders>
              <w:top w:val="single" w:color="auto" w:sz="4" w:space="0"/>
              <w:left w:val="single" w:color="auto" w:sz="4" w:space="0"/>
              <w:bottom w:val="single" w:color="auto" w:sz="4" w:space="0"/>
              <w:right w:val="single" w:color="auto" w:sz="4" w:space="0"/>
            </w:tcBorders>
            <w:vAlign w:val="center"/>
          </w:tcPr>
          <w:p w14:paraId="1EC3D41C">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w:t>
            </w:r>
          </w:p>
        </w:tc>
        <w:tc>
          <w:tcPr>
            <w:tcW w:w="2227" w:type="dxa"/>
            <w:tcBorders>
              <w:top w:val="single" w:color="000000" w:sz="8" w:space="0"/>
              <w:left w:val="single" w:color="auto" w:sz="4" w:space="0"/>
              <w:bottom w:val="single" w:color="000000" w:sz="8" w:space="0"/>
              <w:right w:val="single" w:color="000000" w:sz="8" w:space="0"/>
            </w:tcBorders>
            <w:vAlign w:val="center"/>
          </w:tcPr>
          <w:p w14:paraId="7901518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50FF8935">
            <w:pPr>
              <w:spacing w:line="360" w:lineRule="auto"/>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货物类，核心产品为：</w:t>
            </w:r>
            <w:r>
              <w:rPr>
                <w:rFonts w:hint="eastAsia" w:ascii="宋体" w:hAnsi="宋体" w:cs="宋体"/>
                <w:color w:val="auto"/>
                <w:sz w:val="24"/>
                <w:highlight w:val="none"/>
                <w:u w:val="single"/>
                <w:lang w:val="en-US" w:eastAsia="zh-CN"/>
              </w:rPr>
              <w:t xml:space="preserve"> 智能警戒网络摄像机  </w:t>
            </w:r>
          </w:p>
        </w:tc>
      </w:tr>
      <w:tr w14:paraId="441C0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980" w:type="dxa"/>
            <w:tcBorders>
              <w:top w:val="single" w:color="auto" w:sz="4" w:space="0"/>
              <w:left w:val="single" w:color="auto" w:sz="4" w:space="0"/>
              <w:bottom w:val="single" w:color="auto" w:sz="4" w:space="0"/>
              <w:right w:val="single" w:color="auto" w:sz="4" w:space="0"/>
            </w:tcBorders>
            <w:vAlign w:val="center"/>
          </w:tcPr>
          <w:p w14:paraId="20D837C8">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2</w:t>
            </w:r>
          </w:p>
        </w:tc>
        <w:tc>
          <w:tcPr>
            <w:tcW w:w="2227" w:type="dxa"/>
            <w:tcBorders>
              <w:top w:val="single" w:color="000000" w:sz="8" w:space="0"/>
              <w:left w:val="single" w:color="auto" w:sz="4" w:space="0"/>
              <w:bottom w:val="single" w:color="000000" w:sz="8" w:space="0"/>
              <w:right w:val="single" w:color="000000" w:sz="8" w:space="0"/>
            </w:tcBorders>
            <w:vAlign w:val="center"/>
          </w:tcPr>
          <w:p w14:paraId="27620FD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0CDF7EBF">
            <w:pPr>
              <w:numPr>
                <w:ilvl w:val="0"/>
                <w:numId w:val="0"/>
              </w:numPr>
              <w:snapToGrid w:val="0"/>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（1）本项目为</w:t>
            </w:r>
            <w:r>
              <w:rPr>
                <w:rFonts w:hint="eastAsia" w:ascii="宋体" w:hAnsi="宋体" w:cs="宋体"/>
                <w:color w:val="auto"/>
                <w:kern w:val="0"/>
                <w:sz w:val="24"/>
                <w:highlight w:val="none"/>
                <w:u w:val="single"/>
                <w:lang w:val="en-US" w:eastAsia="zh-CN"/>
              </w:rPr>
              <w:t xml:space="preserve"> 非 </w:t>
            </w:r>
            <w:r>
              <w:rPr>
                <w:rFonts w:hint="eastAsia" w:ascii="宋体" w:hAnsi="宋体" w:cs="宋体"/>
                <w:color w:val="auto"/>
                <w:kern w:val="0"/>
                <w:sz w:val="24"/>
                <w:highlight w:val="none"/>
                <w:lang w:val="en-US" w:eastAsia="zh-CN"/>
              </w:rPr>
              <w:t>专门面向中小企业。</w:t>
            </w:r>
          </w:p>
          <w:p w14:paraId="09B022A9">
            <w:pPr>
              <w:numPr>
                <w:ilvl w:val="0"/>
                <w:numId w:val="0"/>
              </w:numPr>
              <w:snapToGrid w:val="0"/>
              <w:spacing w:line="360" w:lineRule="auto"/>
              <w:rPr>
                <w:rFonts w:hint="eastAsia" w:ascii="宋体" w:hAnsi="宋体" w:cs="宋体"/>
                <w:color w:val="auto"/>
                <w:kern w:val="0"/>
                <w:sz w:val="24"/>
                <w:highlight w:val="none"/>
                <w:u w:val="single"/>
                <w:lang w:val="en-US" w:eastAsia="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标的</w:t>
            </w:r>
            <w:r>
              <w:rPr>
                <w:rFonts w:hint="eastAsia" w:ascii="宋体" w:hAnsi="宋体" w:cs="宋体"/>
                <w:color w:val="auto"/>
                <w:kern w:val="0"/>
                <w:sz w:val="24"/>
                <w:highlight w:val="none"/>
                <w:u w:val="none"/>
              </w:rPr>
              <w:t>：</w:t>
            </w:r>
            <w:r>
              <w:rPr>
                <w:rFonts w:hint="eastAsia" w:ascii="宋体" w:hAnsi="宋体" w:cs="宋体"/>
                <w:color w:val="auto"/>
                <w:kern w:val="0"/>
                <w:sz w:val="24"/>
                <w:highlight w:val="none"/>
                <w:u w:val="single"/>
                <w:lang w:val="en-US" w:eastAsia="zh-CN"/>
              </w:rPr>
              <w:t>监所智能终端、防脱逃系统、监室全景摄像机、全景防水摄像机、拾音器、室外防水拾音器、高清智能球机（室内型）、人脸门禁考勤机、智能警戒网络摄像机、磁盘阵列、存储硬盘、硬盘录像机、存储硬盘、显示器、视频综合平台（解码）</w:t>
            </w:r>
          </w:p>
          <w:p w14:paraId="7FF2E693">
            <w:pPr>
              <w:numPr>
                <w:ilvl w:val="0"/>
                <w:numId w:val="0"/>
              </w:numPr>
              <w:snapToGrid w:val="0"/>
              <w:spacing w:line="360" w:lineRule="auto"/>
              <w:rPr>
                <w:rFonts w:hint="eastAsia"/>
                <w:color w:val="auto"/>
                <w:highlight w:val="none"/>
                <w:lang w:val="en-US" w:eastAsia="zh-CN"/>
              </w:rPr>
            </w:pPr>
            <w:r>
              <w:rPr>
                <w:rFonts w:hint="eastAsia" w:ascii="宋体" w:hAnsi="宋体" w:cs="宋体"/>
                <w:color w:val="auto"/>
                <w:kern w:val="0"/>
                <w:sz w:val="24"/>
                <w:highlight w:val="none"/>
                <w:u w:val="single"/>
                <w:lang w:val="en-US" w:eastAsia="zh-CN"/>
              </w:rPr>
              <w:t>监控通道数、服务器、算力服务器、智能分析软件改造与升级、 核心交换机、业务板卡（电口）、业务板卡（光口）、接入交换机、8口交换机、机架式电源1、机架式电源2、光纤配线架、光纤终端盒、12U墙柜、LED灯泡、灯座、应急照明强启开关、网络时钟屏、多模光模块、单模光模块、单模光跳线、单模光纤尾纤、多模光跳线、网络跳线、电视机、电视机支架、电源时序器、电教终端、监室内音箱、放风场音箱、高清编码器、直播摄像机、直播耳麦、电教管理平台一体机、监室信息显示终端、监室信息显示软件、服务器、操作系统、防爆对讲分机、防爆对讲分机（室外防水）、对讲分机底盒、对讲主机（桌面式）、对讲软件、窗口会见终端（含支架）、窗口会见管理机、电动投影幕、投影设备</w:t>
            </w:r>
            <w:r>
              <w:rPr>
                <w:rFonts w:hint="eastAsia" w:ascii="宋体" w:hAnsi="宋体" w:cs="宋体"/>
                <w:color w:val="auto"/>
                <w:kern w:val="0"/>
                <w:sz w:val="24"/>
                <w:highlight w:val="none"/>
                <w:u w:val="none"/>
              </w:rPr>
              <w:t>，</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工业 </w:t>
            </w:r>
            <w:r>
              <w:rPr>
                <w:rFonts w:hint="eastAsia" w:ascii="宋体" w:hAnsi="宋体" w:cs="宋体"/>
                <w:color w:val="auto"/>
                <w:kern w:val="0"/>
                <w:sz w:val="24"/>
                <w:highlight w:val="none"/>
              </w:rPr>
              <w:t>行业；</w:t>
            </w:r>
          </w:p>
          <w:p w14:paraId="64F0BD8F">
            <w:pPr>
              <w:pStyle w:val="3"/>
              <w:keepNext/>
              <w:keepLines/>
              <w:pageBreakBefore w:val="0"/>
              <w:widowControl w:val="0"/>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color w:val="auto"/>
                <w:kern w:val="28"/>
                <w:sz w:val="24"/>
                <w:szCs w:val="24"/>
                <w:highlight w:val="none"/>
                <w:lang w:val="en-US" w:eastAsia="zh-CN" w:bidi="ar-SA"/>
              </w:rPr>
            </w:pPr>
            <w:bookmarkStart w:id="27" w:name="_Toc15395"/>
            <w:r>
              <w:rPr>
                <w:rFonts w:hint="eastAsia" w:ascii="宋体" w:hAnsi="宋体" w:eastAsia="宋体" w:cs="宋体"/>
                <w:b w:val="0"/>
                <w:bCs w:val="0"/>
                <w:color w:val="auto"/>
                <w:kern w:val="28"/>
                <w:sz w:val="24"/>
                <w:szCs w:val="24"/>
                <w:highlight w:val="none"/>
                <w:lang w:val="en-US" w:eastAsia="zh-CN" w:bidi="ar-SA"/>
              </w:rPr>
              <w:t>备注：《关于印发中小企业划型标准规定的通知》（工信</w:t>
            </w:r>
            <w:bookmarkEnd w:id="27"/>
            <w:bookmarkStart w:id="28" w:name="_Toc11782"/>
            <w:r>
              <w:rPr>
                <w:rFonts w:hint="eastAsia" w:ascii="宋体" w:hAnsi="宋体" w:eastAsia="宋体" w:cs="宋体"/>
                <w:b w:val="0"/>
                <w:bCs w:val="0"/>
                <w:color w:val="auto"/>
                <w:kern w:val="28"/>
                <w:sz w:val="24"/>
                <w:szCs w:val="24"/>
                <w:highlight w:val="none"/>
                <w:lang w:val="en-US" w:eastAsia="zh-CN" w:bidi="ar-SA"/>
              </w:rPr>
              <w:t>部联企业〔2011〕300）：</w:t>
            </w:r>
            <w:bookmarkEnd w:id="28"/>
          </w:p>
          <w:p w14:paraId="6E1CAE4F">
            <w:pPr>
              <w:pStyle w:val="3"/>
              <w:keepNext/>
              <w:keepLines/>
              <w:pageBreakBefore w:val="0"/>
              <w:widowControl w:val="0"/>
              <w:kinsoku/>
              <w:wordWrap/>
              <w:overflowPunct/>
              <w:topLinePunct w:val="0"/>
              <w:autoSpaceDE/>
              <w:autoSpaceDN/>
              <w:bidi w:val="0"/>
              <w:adjustRightInd w:val="0"/>
              <w:snapToGrid w:val="0"/>
              <w:ind w:left="0" w:firstLine="0"/>
              <w:jc w:val="both"/>
              <w:textAlignment w:val="auto"/>
              <w:rPr>
                <w:rFonts w:ascii="宋体" w:hAnsi="宋体" w:eastAsia="宋体" w:cs="宋体"/>
                <w:color w:val="auto"/>
                <w:highlight w:val="none"/>
                <w:lang w:val="en-US"/>
              </w:rPr>
            </w:pPr>
            <w:r>
              <w:rPr>
                <w:rFonts w:hint="eastAsia" w:ascii="宋体" w:hAnsi="宋体" w:eastAsia="宋体" w:cs="宋体"/>
                <w:b/>
                <w:bCs/>
                <w:color w:val="auto"/>
                <w:kern w:val="28"/>
                <w:sz w:val="24"/>
                <w:szCs w:val="24"/>
                <w:highlight w:val="none"/>
                <w:lang w:val="en-US"/>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FEA5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0" w:hRule="atLeast"/>
          <w:tblHeader/>
        </w:trPr>
        <w:tc>
          <w:tcPr>
            <w:tcW w:w="980" w:type="dxa"/>
            <w:tcBorders>
              <w:top w:val="single" w:color="auto" w:sz="4" w:space="0"/>
              <w:left w:val="single" w:color="auto" w:sz="4" w:space="0"/>
              <w:bottom w:val="single" w:color="auto" w:sz="4" w:space="0"/>
              <w:right w:val="single" w:color="auto" w:sz="4" w:space="0"/>
            </w:tcBorders>
            <w:vAlign w:val="center"/>
          </w:tcPr>
          <w:p w14:paraId="2755E2D2">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3</w:t>
            </w:r>
          </w:p>
        </w:tc>
        <w:tc>
          <w:tcPr>
            <w:tcW w:w="2227" w:type="dxa"/>
            <w:tcBorders>
              <w:top w:val="single" w:color="000000" w:sz="8" w:space="0"/>
              <w:left w:val="single" w:color="auto" w:sz="4" w:space="0"/>
              <w:bottom w:val="single" w:color="000000" w:sz="8" w:space="0"/>
              <w:right w:val="single" w:color="000000" w:sz="8" w:space="0"/>
            </w:tcBorders>
            <w:vAlign w:val="center"/>
          </w:tcPr>
          <w:p w14:paraId="532F17E6">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w:t>
            </w:r>
          </w:p>
          <w:p w14:paraId="11FDA6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5B70D85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528B3C48">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Theme="minorEastAsia" w:hAnsiTheme="minorEastAsia" w:eastAsiaTheme="minorEastAsia"/>
                <w:snapToGrid/>
                <w:color w:val="auto"/>
                <w:kern w:val="2"/>
                <w:sz w:val="24"/>
                <w:szCs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B7BF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980" w:type="dxa"/>
            <w:tcBorders>
              <w:top w:val="single" w:color="auto" w:sz="4" w:space="0"/>
              <w:left w:val="single" w:color="auto" w:sz="4" w:space="0"/>
              <w:bottom w:val="single" w:color="auto" w:sz="4" w:space="0"/>
              <w:right w:val="single" w:color="auto" w:sz="4" w:space="0"/>
            </w:tcBorders>
            <w:vAlign w:val="center"/>
          </w:tcPr>
          <w:p w14:paraId="43F18765">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4</w:t>
            </w:r>
          </w:p>
        </w:tc>
        <w:tc>
          <w:tcPr>
            <w:tcW w:w="2227" w:type="dxa"/>
            <w:tcBorders>
              <w:top w:val="single" w:color="000000" w:sz="8" w:space="0"/>
              <w:left w:val="single" w:color="auto" w:sz="4" w:space="0"/>
              <w:bottom w:val="single" w:color="000000" w:sz="8" w:space="0"/>
              <w:right w:val="single" w:color="000000" w:sz="8" w:space="0"/>
            </w:tcBorders>
            <w:vAlign w:val="center"/>
          </w:tcPr>
          <w:p w14:paraId="138E2A7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5FD393BF">
            <w:pPr>
              <w:spacing w:line="360" w:lineRule="auto"/>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r>
              <w:rPr>
                <w:rFonts w:hint="eastAsia" w:ascii="宋体" w:hAnsi="宋体" w:cs="宋体"/>
                <w:color w:val="auto"/>
                <w:sz w:val="24"/>
                <w:highlight w:val="none"/>
                <w:lang w:eastAsia="zh-CN"/>
              </w:rPr>
              <w:t>。</w:t>
            </w:r>
          </w:p>
          <w:p w14:paraId="2FBD46C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516C9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5" w:hRule="atLeast"/>
          <w:tblHeader/>
        </w:trPr>
        <w:tc>
          <w:tcPr>
            <w:tcW w:w="980" w:type="dxa"/>
            <w:tcBorders>
              <w:top w:val="single" w:color="auto" w:sz="4" w:space="0"/>
              <w:left w:val="single" w:color="auto" w:sz="4" w:space="0"/>
              <w:bottom w:val="single" w:color="auto" w:sz="4" w:space="0"/>
              <w:right w:val="single" w:color="auto" w:sz="4" w:space="0"/>
            </w:tcBorders>
          </w:tcPr>
          <w:p w14:paraId="23042C2D">
            <w:pPr>
              <w:snapToGrid w:val="0"/>
              <w:spacing w:line="360" w:lineRule="auto"/>
              <w:jc w:val="center"/>
              <w:rPr>
                <w:rFonts w:ascii="宋体" w:hAnsi="宋体" w:cs="宋体"/>
                <w:b/>
                <w:bCs/>
                <w:color w:val="auto"/>
                <w:sz w:val="24"/>
                <w:highlight w:val="none"/>
              </w:rPr>
            </w:pPr>
          </w:p>
          <w:p w14:paraId="67BC0C29">
            <w:pPr>
              <w:snapToGrid w:val="0"/>
              <w:spacing w:line="360" w:lineRule="auto"/>
              <w:jc w:val="center"/>
              <w:rPr>
                <w:rFonts w:ascii="宋体" w:hAnsi="宋体" w:cs="宋体"/>
                <w:b/>
                <w:bCs/>
                <w:color w:val="auto"/>
                <w:sz w:val="24"/>
                <w:highlight w:val="none"/>
              </w:rPr>
            </w:pPr>
          </w:p>
          <w:p w14:paraId="0BA08A1D">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5</w:t>
            </w:r>
          </w:p>
        </w:tc>
        <w:tc>
          <w:tcPr>
            <w:tcW w:w="2227" w:type="dxa"/>
            <w:tcBorders>
              <w:top w:val="single" w:color="000000" w:sz="8" w:space="0"/>
              <w:left w:val="single" w:color="auto" w:sz="4" w:space="0"/>
              <w:bottom w:val="single" w:color="000000" w:sz="8" w:space="0"/>
              <w:right w:val="single" w:color="000000" w:sz="8" w:space="0"/>
            </w:tcBorders>
            <w:vAlign w:val="center"/>
          </w:tcPr>
          <w:p w14:paraId="6750090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w:t>
            </w:r>
          </w:p>
          <w:p w14:paraId="2FFCD1C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或现场考察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44D3A0D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140D985">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C656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980" w:type="dxa"/>
            <w:tcBorders>
              <w:top w:val="single" w:color="auto" w:sz="4" w:space="0"/>
              <w:left w:val="single" w:color="auto" w:sz="4" w:space="0"/>
              <w:bottom w:val="single" w:color="auto" w:sz="4" w:space="0"/>
              <w:right w:val="single" w:color="auto" w:sz="4" w:space="0"/>
            </w:tcBorders>
            <w:vAlign w:val="center"/>
          </w:tcPr>
          <w:p w14:paraId="0BBEC728">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6</w:t>
            </w:r>
          </w:p>
        </w:tc>
        <w:tc>
          <w:tcPr>
            <w:tcW w:w="2227" w:type="dxa"/>
            <w:tcBorders>
              <w:top w:val="single" w:color="000000" w:sz="8" w:space="0"/>
              <w:left w:val="single" w:color="auto" w:sz="4" w:space="0"/>
              <w:bottom w:val="single" w:color="000000" w:sz="8" w:space="0"/>
              <w:right w:val="single" w:color="000000" w:sz="8" w:space="0"/>
            </w:tcBorders>
            <w:vAlign w:val="center"/>
          </w:tcPr>
          <w:p w14:paraId="0E6B859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0E47C32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AB5F31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3C168C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483D3F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1BD1C1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69A2D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7F6D937">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7B759E5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432460A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FB6F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980" w:type="dxa"/>
            <w:tcBorders>
              <w:top w:val="single" w:color="auto" w:sz="4" w:space="0"/>
              <w:left w:val="single" w:color="auto" w:sz="4" w:space="0"/>
              <w:bottom w:val="single" w:color="auto" w:sz="4" w:space="0"/>
              <w:right w:val="single" w:color="auto" w:sz="4" w:space="0"/>
            </w:tcBorders>
            <w:vAlign w:val="center"/>
          </w:tcPr>
          <w:p w14:paraId="02E5B62E">
            <w:pPr>
              <w:snapToGrid w:val="0"/>
              <w:spacing w:line="360" w:lineRule="auto"/>
              <w:jc w:val="center"/>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7</w:t>
            </w:r>
          </w:p>
        </w:tc>
        <w:tc>
          <w:tcPr>
            <w:tcW w:w="2227" w:type="dxa"/>
            <w:tcBorders>
              <w:top w:val="single" w:color="000000" w:sz="8" w:space="0"/>
              <w:left w:val="single" w:color="auto" w:sz="4" w:space="0"/>
              <w:bottom w:val="single" w:color="000000" w:sz="8" w:space="0"/>
              <w:right w:val="single" w:color="000000" w:sz="8" w:space="0"/>
            </w:tcBorders>
            <w:vAlign w:val="center"/>
          </w:tcPr>
          <w:p w14:paraId="662B5597">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374A4F3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252200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14:paraId="34E5FB7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w:t>
            </w:r>
            <w:r>
              <w:rPr>
                <w:rFonts w:hint="eastAsia" w:ascii="宋体" w:hAnsi="宋体" w:cs="宋体"/>
                <w:color w:val="auto"/>
                <w:kern w:val="0"/>
                <w:sz w:val="24"/>
                <w:highlight w:val="none"/>
                <w:lang w:val="en-US" w:eastAsia="zh-CN"/>
              </w:rPr>
              <w:t>演示</w:t>
            </w:r>
            <w:r>
              <w:rPr>
                <w:rFonts w:hint="eastAsia" w:ascii="宋体" w:hAnsi="宋体" w:cs="宋体"/>
                <w:color w:val="auto"/>
                <w:kern w:val="0"/>
                <w:sz w:val="24"/>
                <w:highlight w:val="none"/>
              </w:rPr>
              <w:t>时间不超过</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分钟，讲解次序以投标文件解密时间先后次序为准。</w:t>
            </w:r>
          </w:p>
          <w:p w14:paraId="31C04BF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（2）方案讲解演示方式：</w:t>
            </w:r>
          </w:p>
          <w:p w14:paraId="628B067D">
            <w:pPr>
              <w:snapToGrid w:val="0"/>
              <w:spacing w:line="360" w:lineRule="auto"/>
              <w:rPr>
                <w:rFonts w:ascii="宋体" w:hAnsi="宋体" w:cs="宋体"/>
                <w:color w:val="auto"/>
                <w:kern w:val="0"/>
                <w:sz w:val="24"/>
                <w:highlight w:val="none"/>
              </w:rPr>
            </w:pPr>
            <w:r>
              <w:rPr>
                <w:rFonts w:hint="eastAsia" w:ascii="宋体" w:hAnsi="宋体" w:eastAsia="宋体" w:cs="Times New Roman"/>
                <w:b w:val="0"/>
                <w:bCs w:val="0"/>
                <w:color w:val="auto"/>
                <w:sz w:val="24"/>
                <w:szCs w:val="24"/>
                <w:highlight w:val="none"/>
                <w:lang w:val="en-US" w:eastAsia="zh-CN"/>
              </w:rPr>
              <w:t>录制演示内容。录制的演示内容需以U盘形式单独密封包装，送达时间及地址同备份投标文件送达时间和地点</w:t>
            </w:r>
            <w:r>
              <w:rPr>
                <w:rFonts w:hint="eastAsia" w:ascii="宋体" w:hAnsi="宋体" w:cs="宋体"/>
                <w:color w:val="auto"/>
                <w:kern w:val="0"/>
                <w:sz w:val="24"/>
                <w:highlight w:val="none"/>
              </w:rPr>
              <w:t>。</w:t>
            </w:r>
          </w:p>
          <w:p w14:paraId="0743333E">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7BC6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980" w:type="dxa"/>
            <w:vMerge w:val="restart"/>
            <w:tcBorders>
              <w:top w:val="single" w:color="auto" w:sz="4" w:space="0"/>
              <w:left w:val="single" w:color="auto" w:sz="4" w:space="0"/>
              <w:right w:val="single" w:color="auto" w:sz="4" w:space="0"/>
            </w:tcBorders>
          </w:tcPr>
          <w:p w14:paraId="4E9895FC">
            <w:pPr>
              <w:snapToGrid w:val="0"/>
              <w:spacing w:line="360" w:lineRule="auto"/>
              <w:jc w:val="center"/>
              <w:rPr>
                <w:rFonts w:ascii="宋体" w:hAnsi="宋体" w:cs="宋体"/>
                <w:color w:val="auto"/>
                <w:sz w:val="24"/>
                <w:highlight w:val="none"/>
              </w:rPr>
            </w:pPr>
          </w:p>
          <w:p w14:paraId="0FB395E6">
            <w:pPr>
              <w:snapToGrid w:val="0"/>
              <w:spacing w:line="360" w:lineRule="auto"/>
              <w:jc w:val="center"/>
              <w:rPr>
                <w:rFonts w:ascii="宋体" w:hAnsi="宋体" w:cs="宋体"/>
                <w:color w:val="auto"/>
                <w:sz w:val="24"/>
                <w:highlight w:val="none"/>
              </w:rPr>
            </w:pPr>
          </w:p>
          <w:p w14:paraId="6322CCBD">
            <w:pPr>
              <w:snapToGrid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8</w:t>
            </w:r>
          </w:p>
        </w:tc>
        <w:tc>
          <w:tcPr>
            <w:tcW w:w="2227" w:type="dxa"/>
            <w:vMerge w:val="restart"/>
            <w:tcBorders>
              <w:top w:val="single" w:color="000000" w:sz="8" w:space="0"/>
              <w:left w:val="single" w:color="auto" w:sz="4" w:space="0"/>
              <w:right w:val="single" w:color="000000" w:sz="8" w:space="0"/>
            </w:tcBorders>
            <w:vAlign w:val="center"/>
          </w:tcPr>
          <w:p w14:paraId="7B2400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662" w:type="dxa"/>
            <w:tcBorders>
              <w:top w:val="single" w:color="000000" w:sz="8" w:space="0"/>
              <w:left w:val="single" w:color="000000" w:sz="2" w:space="0"/>
              <w:bottom w:val="single" w:color="auto" w:sz="4" w:space="0"/>
              <w:right w:val="single" w:color="000000" w:sz="8" w:space="0"/>
            </w:tcBorders>
            <w:vAlign w:val="center"/>
          </w:tcPr>
          <w:p w14:paraId="7F603D27">
            <w:pPr>
              <w:spacing w:line="360" w:lineRule="auto"/>
              <w:jc w:val="both"/>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0B8E9EB">
            <w:pPr>
              <w:spacing w:line="360" w:lineRule="auto"/>
              <w:jc w:val="both"/>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DBAE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 w:hRule="atLeast"/>
          <w:tblHeader/>
        </w:trPr>
        <w:tc>
          <w:tcPr>
            <w:tcW w:w="980" w:type="dxa"/>
            <w:vMerge w:val="continue"/>
            <w:tcBorders>
              <w:left w:val="single" w:color="auto" w:sz="4" w:space="0"/>
              <w:bottom w:val="single" w:color="auto" w:sz="4" w:space="0"/>
              <w:right w:val="single" w:color="auto" w:sz="4" w:space="0"/>
            </w:tcBorders>
          </w:tcPr>
          <w:p w14:paraId="27F95556">
            <w:pPr>
              <w:snapToGrid w:val="0"/>
              <w:spacing w:line="360" w:lineRule="auto"/>
              <w:jc w:val="center"/>
              <w:rPr>
                <w:rFonts w:ascii="宋体" w:hAnsi="宋体" w:cs="宋体"/>
                <w:color w:val="auto"/>
                <w:sz w:val="24"/>
                <w:highlight w:val="none"/>
              </w:rPr>
            </w:pPr>
          </w:p>
        </w:tc>
        <w:tc>
          <w:tcPr>
            <w:tcW w:w="2227" w:type="dxa"/>
            <w:vMerge w:val="continue"/>
            <w:tcBorders>
              <w:left w:val="single" w:color="auto" w:sz="4" w:space="0"/>
              <w:bottom w:val="single" w:color="000000" w:sz="8" w:space="0"/>
              <w:right w:val="single" w:color="000000" w:sz="8" w:space="0"/>
            </w:tcBorders>
            <w:vAlign w:val="center"/>
          </w:tcPr>
          <w:p w14:paraId="249C4E64">
            <w:pPr>
              <w:snapToGrid w:val="0"/>
              <w:spacing w:line="360" w:lineRule="auto"/>
              <w:jc w:val="center"/>
              <w:rPr>
                <w:rFonts w:ascii="宋体" w:hAnsi="宋体" w:cs="宋体"/>
                <w:b/>
                <w:color w:val="auto"/>
                <w:sz w:val="24"/>
                <w:highlight w:val="none"/>
              </w:rPr>
            </w:pPr>
          </w:p>
        </w:tc>
        <w:tc>
          <w:tcPr>
            <w:tcW w:w="6662" w:type="dxa"/>
            <w:tcBorders>
              <w:top w:val="single" w:color="auto" w:sz="4" w:space="0"/>
              <w:left w:val="single" w:color="000000" w:sz="2" w:space="0"/>
              <w:bottom w:val="single" w:color="000000" w:sz="8" w:space="0"/>
              <w:right w:val="single" w:color="000000" w:sz="8" w:space="0"/>
            </w:tcBorders>
            <w:vAlign w:val="center"/>
          </w:tcPr>
          <w:p w14:paraId="668B426E">
            <w:pPr>
              <w:spacing w:line="360" w:lineRule="auto"/>
              <w:jc w:val="both"/>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01CB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80" w:type="dxa"/>
            <w:tcBorders>
              <w:top w:val="single" w:color="auto" w:sz="4" w:space="0"/>
              <w:left w:val="single" w:color="000000" w:sz="8" w:space="0"/>
              <w:bottom w:val="single" w:color="auto" w:sz="4" w:space="0"/>
              <w:right w:val="single" w:color="000000" w:sz="2" w:space="0"/>
            </w:tcBorders>
          </w:tcPr>
          <w:p w14:paraId="1C551131">
            <w:pPr>
              <w:snapToGrid w:val="0"/>
              <w:spacing w:line="360" w:lineRule="auto"/>
              <w:jc w:val="center"/>
              <w:rPr>
                <w:rFonts w:ascii="宋体" w:hAnsi="宋体" w:cs="宋体"/>
                <w:color w:val="auto"/>
                <w:sz w:val="24"/>
                <w:highlight w:val="none"/>
              </w:rPr>
            </w:pPr>
          </w:p>
          <w:p w14:paraId="3311EAF7">
            <w:pPr>
              <w:snapToGrid w:val="0"/>
              <w:spacing w:line="360" w:lineRule="auto"/>
              <w:jc w:val="center"/>
              <w:rPr>
                <w:rFonts w:ascii="宋体" w:hAnsi="宋体" w:cs="宋体"/>
                <w:color w:val="auto"/>
                <w:sz w:val="24"/>
                <w:highlight w:val="none"/>
              </w:rPr>
            </w:pPr>
          </w:p>
          <w:p w14:paraId="125CC749">
            <w:pPr>
              <w:snapToGrid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9</w:t>
            </w:r>
          </w:p>
        </w:tc>
        <w:tc>
          <w:tcPr>
            <w:tcW w:w="2227" w:type="dxa"/>
            <w:tcBorders>
              <w:top w:val="single" w:color="000000" w:sz="8" w:space="0"/>
              <w:left w:val="single" w:color="000000" w:sz="2" w:space="0"/>
              <w:bottom w:val="single" w:color="000000" w:sz="8" w:space="0"/>
              <w:right w:val="single" w:color="000000" w:sz="8" w:space="0"/>
            </w:tcBorders>
            <w:vAlign w:val="center"/>
          </w:tcPr>
          <w:p w14:paraId="786FD1B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w:t>
            </w:r>
          </w:p>
          <w:p w14:paraId="767F214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环境标志产品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5A986E78">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DD0E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80" w:type="dxa"/>
            <w:tcBorders>
              <w:top w:val="single" w:color="auto" w:sz="4" w:space="0"/>
              <w:left w:val="single" w:color="000000" w:sz="8" w:space="0"/>
              <w:bottom w:val="single" w:color="auto" w:sz="4" w:space="0"/>
              <w:right w:val="single" w:color="000000" w:sz="2" w:space="0"/>
            </w:tcBorders>
            <w:vAlign w:val="center"/>
          </w:tcPr>
          <w:p w14:paraId="0D59DC56">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10</w:t>
            </w:r>
          </w:p>
        </w:tc>
        <w:tc>
          <w:tcPr>
            <w:tcW w:w="2227" w:type="dxa"/>
            <w:tcBorders>
              <w:top w:val="single" w:color="000000" w:sz="8" w:space="0"/>
              <w:left w:val="single" w:color="000000" w:sz="2" w:space="0"/>
              <w:bottom w:val="single" w:color="000000" w:sz="8" w:space="0"/>
              <w:right w:val="single" w:color="000000" w:sz="8" w:space="0"/>
            </w:tcBorders>
            <w:vAlign w:val="center"/>
          </w:tcPr>
          <w:p w14:paraId="688089E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3C94E2AC">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29627285">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23291FC">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B1E7B4E">
            <w:pPr>
              <w:snapToGrid w:val="0"/>
              <w:spacing w:line="360" w:lineRule="auto"/>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16890B6E">
            <w:pPr>
              <w:spacing w:line="360" w:lineRule="auto"/>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5FD174F3">
            <w:pPr>
              <w:spacing w:line="360" w:lineRule="auto"/>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1813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8" w:hRule="atLeast"/>
          <w:tblHeader/>
        </w:trPr>
        <w:tc>
          <w:tcPr>
            <w:tcW w:w="980" w:type="dxa"/>
            <w:tcBorders>
              <w:top w:val="single" w:color="auto" w:sz="4" w:space="0"/>
              <w:left w:val="single" w:color="000000" w:sz="8" w:space="0"/>
              <w:right w:val="single" w:color="000000" w:sz="2" w:space="0"/>
            </w:tcBorders>
            <w:vAlign w:val="center"/>
          </w:tcPr>
          <w:p w14:paraId="7894A484">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11</w:t>
            </w:r>
          </w:p>
        </w:tc>
        <w:tc>
          <w:tcPr>
            <w:tcW w:w="2227" w:type="dxa"/>
            <w:tcBorders>
              <w:top w:val="single" w:color="000000" w:sz="8" w:space="0"/>
              <w:left w:val="single" w:color="000000" w:sz="2" w:space="0"/>
              <w:right w:val="single" w:color="000000" w:sz="8" w:space="0"/>
            </w:tcBorders>
            <w:vAlign w:val="center"/>
          </w:tcPr>
          <w:p w14:paraId="039547C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662" w:type="dxa"/>
            <w:tcBorders>
              <w:top w:val="single" w:color="000000" w:sz="8" w:space="0"/>
              <w:left w:val="single" w:color="000000" w:sz="2" w:space="0"/>
              <w:right w:val="single" w:color="000000" w:sz="8" w:space="0"/>
            </w:tcBorders>
            <w:vAlign w:val="center"/>
          </w:tcPr>
          <w:p w14:paraId="3E10B951">
            <w:pPr>
              <w:spacing w:line="360" w:lineRule="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D667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980" w:type="dxa"/>
            <w:tcBorders>
              <w:top w:val="single" w:color="auto" w:sz="4" w:space="0"/>
              <w:left w:val="single" w:color="000000" w:sz="8" w:space="0"/>
              <w:bottom w:val="single" w:color="auto" w:sz="4" w:space="0"/>
              <w:right w:val="single" w:color="000000" w:sz="2" w:space="0"/>
            </w:tcBorders>
            <w:vAlign w:val="center"/>
          </w:tcPr>
          <w:p w14:paraId="6DD02D93">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12</w:t>
            </w:r>
          </w:p>
        </w:tc>
        <w:tc>
          <w:tcPr>
            <w:tcW w:w="2227" w:type="dxa"/>
            <w:tcBorders>
              <w:top w:val="single" w:color="000000" w:sz="8" w:space="0"/>
              <w:left w:val="single" w:color="000000" w:sz="2" w:space="0"/>
              <w:bottom w:val="single" w:color="000000" w:sz="8" w:space="0"/>
              <w:right w:val="single" w:color="000000" w:sz="8" w:space="0"/>
            </w:tcBorders>
            <w:vAlign w:val="center"/>
          </w:tcPr>
          <w:p w14:paraId="520004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662" w:type="dxa"/>
            <w:tcBorders>
              <w:top w:val="single" w:color="000000" w:sz="8" w:space="0"/>
              <w:left w:val="single" w:color="000000" w:sz="2" w:space="0"/>
              <w:bottom w:val="single" w:color="000000" w:sz="8" w:space="0"/>
              <w:right w:val="single" w:color="000000" w:sz="8" w:space="0"/>
            </w:tcBorders>
            <w:vAlign w:val="center"/>
          </w:tcPr>
          <w:p w14:paraId="680002A1">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lang w:val="en-US" w:eastAsia="zh-CN"/>
              </w:rPr>
              <w:t>（1）</w:t>
            </w:r>
            <w:r>
              <w:rPr>
                <w:rFonts w:hint="eastAsia" w:ascii="宋体" w:hAnsi="宋体" w:eastAsia="宋体" w:cs="宋体"/>
                <w:snapToGrid w:val="0"/>
                <w:color w:val="auto"/>
                <w:kern w:val="28"/>
                <w:sz w:val="24"/>
                <w:highlight w:val="none"/>
              </w:rPr>
              <w:t>供应商如提供备份投标文件的，可采用邮寄方式或直接提交方式递交备份投标文件</w:t>
            </w:r>
            <w:r>
              <w:rPr>
                <w:rFonts w:hint="eastAsia" w:ascii="宋体" w:hAnsi="宋体" w:eastAsia="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lang w:val="en-US" w:eastAsia="zh-CN"/>
              </w:rPr>
              <w:t>供应商需</w:t>
            </w:r>
            <w:r>
              <w:rPr>
                <w:rFonts w:hint="eastAsia" w:ascii="宋体" w:hAnsi="宋体" w:eastAsia="宋体" w:cs="宋体"/>
                <w:snapToGrid w:val="0"/>
                <w:color w:val="auto"/>
                <w:kern w:val="28"/>
                <w:sz w:val="24"/>
                <w:highlight w:val="none"/>
              </w:rPr>
              <w:t>将以U盘存储的备份投标文件密封递交，逾期送达或未密封将予以拒收。</w:t>
            </w:r>
          </w:p>
          <w:p w14:paraId="26E08B1B">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lang w:val="en-US" w:eastAsia="zh-CN"/>
              </w:rPr>
              <w:t>2）</w:t>
            </w:r>
            <w:r>
              <w:rPr>
                <w:rFonts w:hint="eastAsia" w:ascii="宋体" w:hAnsi="宋体" w:eastAsia="宋体" w:cs="宋体"/>
                <w:snapToGrid w:val="0"/>
                <w:color w:val="auto"/>
                <w:kern w:val="28"/>
                <w:sz w:val="24"/>
                <w:highlight w:val="none"/>
              </w:rPr>
              <w:t>采用邮寄方式递交备份投标文件，需按以下要求递交：</w:t>
            </w:r>
          </w:p>
          <w:p w14:paraId="53B143F7">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供应商应在</w:t>
            </w:r>
            <w:r>
              <w:rPr>
                <w:rFonts w:hint="eastAsia" w:ascii="宋体" w:hAnsi="宋体" w:eastAsia="宋体" w:cs="宋体"/>
                <w:snapToGrid w:val="0"/>
                <w:color w:val="auto"/>
                <w:kern w:val="28"/>
                <w:sz w:val="24"/>
                <w:highlight w:val="none"/>
                <w:lang w:val="en-US" w:eastAsia="zh-CN"/>
              </w:rPr>
              <w:t>开标</w:t>
            </w:r>
            <w:r>
              <w:rPr>
                <w:rFonts w:hint="eastAsia" w:ascii="宋体" w:hAnsi="宋体" w:eastAsia="宋体" w:cs="宋体"/>
                <w:snapToGrid w:val="0"/>
                <w:color w:val="auto"/>
                <w:kern w:val="28"/>
                <w:sz w:val="24"/>
                <w:highlight w:val="none"/>
              </w:rPr>
              <w:t>前</w:t>
            </w:r>
            <w:r>
              <w:rPr>
                <w:rFonts w:hint="eastAsia" w:ascii="宋体" w:hAnsi="宋体" w:eastAsia="宋体" w:cs="宋体"/>
                <w:snapToGrid w:val="0"/>
                <w:color w:val="auto"/>
                <w:kern w:val="28"/>
                <w:sz w:val="24"/>
                <w:highlight w:val="none"/>
                <w:lang w:val="en-US" w:eastAsia="zh-CN"/>
              </w:rPr>
              <w:t>一日</w:t>
            </w:r>
            <w:r>
              <w:rPr>
                <w:rFonts w:hint="eastAsia" w:ascii="宋体" w:hAnsi="宋体" w:eastAsia="宋体" w:cs="宋体"/>
                <w:snapToGrid w:val="0"/>
                <w:color w:val="auto"/>
                <w:kern w:val="28"/>
                <w:sz w:val="24"/>
                <w:highlight w:val="none"/>
              </w:rPr>
              <w:t>17：00（含）前将备份</w:t>
            </w:r>
            <w:r>
              <w:rPr>
                <w:rFonts w:hint="eastAsia" w:ascii="宋体" w:hAnsi="宋体" w:eastAsia="宋体" w:cs="宋体"/>
                <w:snapToGrid w:val="0"/>
                <w:color w:val="auto"/>
                <w:kern w:val="28"/>
                <w:sz w:val="24"/>
                <w:highlight w:val="none"/>
                <w:lang w:val="en-US" w:eastAsia="zh-CN"/>
              </w:rPr>
              <w:t>投标文件</w:t>
            </w:r>
            <w:r>
              <w:rPr>
                <w:rFonts w:hint="eastAsia" w:ascii="宋体" w:hAnsi="宋体" w:eastAsia="宋体" w:cs="宋体"/>
                <w:snapToGrid w:val="0"/>
                <w:color w:val="auto"/>
                <w:kern w:val="28"/>
                <w:sz w:val="24"/>
                <w:highlight w:val="none"/>
              </w:rPr>
              <w:t>邮寄至规定地点，邮寄地址为：宁波市鄞州区天童南路666号中基大厦19楼业务</w:t>
            </w:r>
            <w:r>
              <w:rPr>
                <w:rFonts w:hint="eastAsia" w:ascii="宋体" w:hAnsi="宋体" w:cs="宋体"/>
                <w:snapToGrid w:val="0"/>
                <w:color w:val="auto"/>
                <w:kern w:val="28"/>
                <w:sz w:val="24"/>
                <w:highlight w:val="none"/>
                <w:lang w:val="en-US" w:eastAsia="zh-CN"/>
              </w:rPr>
              <w:t>二</w:t>
            </w:r>
            <w:r>
              <w:rPr>
                <w:rFonts w:hint="eastAsia" w:ascii="宋体" w:hAnsi="宋体" w:eastAsia="宋体" w:cs="宋体"/>
                <w:snapToGrid w:val="0"/>
                <w:color w:val="auto"/>
                <w:kern w:val="28"/>
                <w:sz w:val="24"/>
                <w:highlight w:val="none"/>
              </w:rPr>
              <w:t>部，收件人</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史维</w:t>
            </w:r>
            <w:r>
              <w:rPr>
                <w:rFonts w:hint="eastAsia" w:ascii="宋体" w:hAnsi="宋体" w:eastAsia="宋体" w:cs="宋体"/>
                <w:snapToGrid w:val="0"/>
                <w:color w:val="auto"/>
                <w:kern w:val="28"/>
                <w:sz w:val="24"/>
                <w:highlight w:val="none"/>
              </w:rPr>
              <w:t>，联系方式：0574-87425467。由采购代理工作人员进行签收，各供应商自行考虑邮寄在途时间，邮寄过程中无论何种因素导致备份</w:t>
            </w:r>
            <w:r>
              <w:rPr>
                <w:rFonts w:hint="eastAsia" w:ascii="宋体" w:hAnsi="宋体" w:eastAsia="宋体" w:cs="宋体"/>
                <w:snapToGrid w:val="0"/>
                <w:color w:val="auto"/>
                <w:kern w:val="28"/>
                <w:sz w:val="24"/>
                <w:highlight w:val="none"/>
                <w:lang w:val="en-US" w:eastAsia="zh-CN"/>
              </w:rPr>
              <w:t>投标</w:t>
            </w:r>
            <w:r>
              <w:rPr>
                <w:rFonts w:hint="eastAsia" w:ascii="宋体" w:hAnsi="宋体" w:eastAsia="宋体" w:cs="宋体"/>
                <w:snapToGrid w:val="0"/>
                <w:color w:val="auto"/>
                <w:kern w:val="28"/>
                <w:sz w:val="24"/>
                <w:highlight w:val="none"/>
              </w:rPr>
              <w:t>文件未按时递交的后果，均由供应商自行负责。备份</w:t>
            </w:r>
            <w:r>
              <w:rPr>
                <w:rFonts w:hint="eastAsia" w:ascii="宋体" w:hAnsi="宋体" w:eastAsia="宋体" w:cs="宋体"/>
                <w:snapToGrid w:val="0"/>
                <w:color w:val="auto"/>
                <w:kern w:val="28"/>
                <w:sz w:val="24"/>
                <w:highlight w:val="none"/>
                <w:lang w:val="en-US" w:eastAsia="zh-CN"/>
              </w:rPr>
              <w:t>投标</w:t>
            </w:r>
            <w:r>
              <w:rPr>
                <w:rFonts w:hint="eastAsia" w:ascii="宋体" w:hAnsi="宋体" w:eastAsia="宋体" w:cs="宋体"/>
                <w:snapToGrid w:val="0"/>
                <w:color w:val="auto"/>
                <w:kern w:val="28"/>
                <w:sz w:val="24"/>
                <w:highlight w:val="none"/>
              </w:rPr>
              <w:t>文件递交时间以采购代理实际收到备份</w:t>
            </w:r>
            <w:r>
              <w:rPr>
                <w:rFonts w:hint="eastAsia" w:ascii="宋体" w:hAnsi="宋体" w:eastAsia="宋体" w:cs="宋体"/>
                <w:snapToGrid w:val="0"/>
                <w:color w:val="auto"/>
                <w:kern w:val="28"/>
                <w:sz w:val="24"/>
                <w:highlight w:val="none"/>
                <w:lang w:val="en-US" w:eastAsia="zh-CN"/>
              </w:rPr>
              <w:t>投标</w:t>
            </w:r>
            <w:r>
              <w:rPr>
                <w:rFonts w:hint="eastAsia" w:ascii="宋体" w:hAnsi="宋体" w:eastAsia="宋体" w:cs="宋体"/>
                <w:snapToGrid w:val="0"/>
                <w:color w:val="auto"/>
                <w:kern w:val="28"/>
                <w:sz w:val="24"/>
                <w:highlight w:val="none"/>
              </w:rPr>
              <w:t>文件的时间为准。</w:t>
            </w:r>
          </w:p>
          <w:p w14:paraId="65775E14">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lang w:val="en-US" w:eastAsia="zh-CN"/>
              </w:rPr>
              <w:t>（3）采用直接提交方式递交备份投标文件，需按以下要求递交：在投标截止时间前将备份投标文件送至</w:t>
            </w:r>
            <w:r>
              <w:rPr>
                <w:rFonts w:hint="eastAsia" w:ascii="宋体" w:hAnsi="宋体" w:eastAsia="宋体" w:cs="宋体"/>
                <w:snapToGrid w:val="0"/>
                <w:color w:val="auto"/>
                <w:kern w:val="28"/>
                <w:sz w:val="24"/>
                <w:highlight w:val="none"/>
                <w:u w:val="single"/>
                <w:lang w:val="en-US" w:eastAsia="zh-CN"/>
              </w:rPr>
              <w:t xml:space="preserve"> </w:t>
            </w:r>
            <w:r>
              <w:rPr>
                <w:rFonts w:hint="eastAsia" w:ascii="宋体" w:hAnsi="宋体" w:cs="宋体"/>
                <w:snapToGrid w:val="0"/>
                <w:color w:val="auto"/>
                <w:kern w:val="28"/>
                <w:sz w:val="24"/>
                <w:highlight w:val="none"/>
                <w:u w:val="single"/>
              </w:rPr>
              <w:t>镇海区骆驼街道金华南路55-57号三楼（镇海区公共资源交易中心）</w:t>
            </w:r>
            <w:r>
              <w:rPr>
                <w:rFonts w:hint="eastAsia" w:ascii="宋体" w:hAnsi="宋体" w:eastAsia="宋体" w:cs="宋体"/>
                <w:snapToGrid w:val="0"/>
                <w:color w:val="auto"/>
                <w:kern w:val="28"/>
                <w:sz w:val="24"/>
                <w:highlight w:val="none"/>
                <w:lang w:val="en-US" w:eastAsia="zh-CN"/>
              </w:rPr>
              <w:t xml:space="preserve">。       </w:t>
            </w:r>
          </w:p>
          <w:p w14:paraId="37BA764D">
            <w:pPr>
              <w:spacing w:line="360" w:lineRule="auto"/>
              <w:rPr>
                <w:rFonts w:hint="eastAsia" w:eastAsia="宋体"/>
                <w:color w:val="auto"/>
                <w:highlight w:val="none"/>
                <w:lang w:eastAsia="zh-CN"/>
              </w:rPr>
            </w:pPr>
            <w:r>
              <w:rPr>
                <w:rFonts w:hint="eastAsia" w:ascii="宋体" w:hAnsi="宋体" w:eastAsia="宋体" w:cs="宋体"/>
                <w:b/>
                <w:bCs/>
                <w:snapToGrid w:val="0"/>
                <w:color w:val="auto"/>
                <w:kern w:val="28"/>
                <w:sz w:val="24"/>
                <w:highlight w:val="none"/>
              </w:rPr>
              <w:t>采购人、</w:t>
            </w:r>
            <w:r>
              <w:rPr>
                <w:rFonts w:hint="eastAsia" w:ascii="宋体" w:hAnsi="宋体" w:eastAsia="宋体" w:cs="宋体"/>
                <w:b/>
                <w:bCs/>
                <w:snapToGrid w:val="0"/>
                <w:color w:val="auto"/>
                <w:kern w:val="28"/>
                <w:sz w:val="24"/>
                <w:highlight w:val="none"/>
                <w:lang w:eastAsia="zh-CN"/>
              </w:rPr>
              <w:t>采购代理机构</w:t>
            </w:r>
            <w:r>
              <w:rPr>
                <w:rFonts w:hint="eastAsia" w:ascii="宋体" w:hAnsi="宋体" w:eastAsia="宋体" w:cs="宋体"/>
                <w:b/>
                <w:bCs/>
                <w:snapToGrid w:val="0"/>
                <w:color w:val="auto"/>
                <w:kern w:val="28"/>
                <w:sz w:val="24"/>
                <w:highlight w:val="none"/>
              </w:rPr>
              <w:t>不强制投标人提交备份投标文件</w:t>
            </w:r>
            <w:r>
              <w:rPr>
                <w:rFonts w:hint="eastAsia" w:ascii="宋体" w:hAnsi="宋体" w:eastAsia="宋体" w:cs="宋体"/>
                <w:b/>
                <w:bCs/>
                <w:snapToGrid w:val="0"/>
                <w:color w:val="auto"/>
                <w:kern w:val="28"/>
                <w:sz w:val="24"/>
                <w:highlight w:val="none"/>
                <w:lang w:eastAsia="zh-CN"/>
              </w:rPr>
              <w:t>。</w:t>
            </w:r>
          </w:p>
        </w:tc>
      </w:tr>
      <w:tr w14:paraId="195E3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tblHeader/>
        </w:trPr>
        <w:tc>
          <w:tcPr>
            <w:tcW w:w="980" w:type="dxa"/>
            <w:vMerge w:val="restart"/>
            <w:tcBorders>
              <w:top w:val="single" w:color="auto" w:sz="4" w:space="0"/>
              <w:left w:val="single" w:color="000000" w:sz="8" w:space="0"/>
              <w:right w:val="single" w:color="000000" w:sz="2" w:space="0"/>
            </w:tcBorders>
            <w:vAlign w:val="center"/>
          </w:tcPr>
          <w:p w14:paraId="181C1517">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highlight w:val="none"/>
              </w:rPr>
              <w:t>13</w:t>
            </w:r>
          </w:p>
        </w:tc>
        <w:tc>
          <w:tcPr>
            <w:tcW w:w="2227" w:type="dxa"/>
            <w:vMerge w:val="restart"/>
            <w:tcBorders>
              <w:top w:val="single" w:color="000000" w:sz="8" w:space="0"/>
              <w:left w:val="single" w:color="000000" w:sz="2" w:space="0"/>
              <w:right w:val="single" w:color="000000" w:sz="8" w:space="0"/>
            </w:tcBorders>
            <w:vAlign w:val="center"/>
          </w:tcPr>
          <w:p w14:paraId="58DAA786">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cs="仿宋_GB2312" w:asciiTheme="minorEastAsia" w:hAnsiTheme="minorEastAsia" w:eastAsiaTheme="minorEastAsia"/>
                <w:b/>
                <w:color w:val="auto"/>
                <w:sz w:val="24"/>
                <w:highlight w:val="none"/>
              </w:rPr>
              <w:t>特别说明</w:t>
            </w:r>
          </w:p>
        </w:tc>
        <w:tc>
          <w:tcPr>
            <w:tcW w:w="6662" w:type="dxa"/>
            <w:tcBorders>
              <w:top w:val="single" w:color="000000" w:sz="8" w:space="0"/>
              <w:left w:val="single" w:color="000000" w:sz="2" w:space="0"/>
              <w:bottom w:val="single" w:color="000000" w:sz="8" w:space="0"/>
              <w:right w:val="single" w:color="000000" w:sz="8" w:space="0"/>
            </w:tcBorders>
            <w:vAlign w:val="center"/>
          </w:tcPr>
          <w:p w14:paraId="2C44400E">
            <w:pPr>
              <w:spacing w:line="360" w:lineRule="auto"/>
              <w:rPr>
                <w:rFonts w:hint="default" w:ascii="宋体" w:hAnsi="宋体" w:eastAsia="宋体" w:cs="宋体"/>
                <w:snapToGrid w:val="0"/>
                <w:color w:val="auto"/>
                <w:kern w:val="28"/>
                <w:sz w:val="24"/>
                <w:szCs w:val="24"/>
                <w:highlight w:val="none"/>
                <w:lang w:val="en-US" w:eastAsia="zh-CN" w:bidi="ar-SA"/>
              </w:rPr>
            </w:pPr>
            <w:r>
              <w:rPr>
                <w:rFonts w:hint="eastAsia" w:ascii="宋体" w:hAnsi="宋体" w:cs="宋体"/>
                <w:snapToGrid w:val="0"/>
                <w:color w:val="auto"/>
                <w:kern w:val="28"/>
                <w:sz w:val="24"/>
                <w:szCs w:val="24"/>
                <w:highlight w:val="none"/>
                <w:lang w:val="en-US" w:eastAsia="zh-CN" w:bidi="ar-SA"/>
              </w:rPr>
              <w:t>本项目接受联合体投标。</w:t>
            </w:r>
          </w:p>
        </w:tc>
      </w:tr>
      <w:tr w14:paraId="48F1B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980" w:type="dxa"/>
            <w:vMerge w:val="continue"/>
            <w:tcBorders>
              <w:left w:val="single" w:color="000000" w:sz="8" w:space="0"/>
              <w:bottom w:val="single" w:color="auto" w:sz="4" w:space="0"/>
              <w:right w:val="single" w:color="000000" w:sz="2" w:space="0"/>
            </w:tcBorders>
          </w:tcPr>
          <w:p w14:paraId="1D7408A4">
            <w:pPr>
              <w:snapToGrid w:val="0"/>
              <w:spacing w:line="360" w:lineRule="auto"/>
              <w:jc w:val="center"/>
              <w:rPr>
                <w:rFonts w:hint="eastAsia" w:ascii="宋体" w:hAnsi="宋体" w:cs="宋体"/>
                <w:color w:val="auto"/>
                <w:sz w:val="24"/>
                <w:highlight w:val="none"/>
              </w:rPr>
            </w:pPr>
          </w:p>
        </w:tc>
        <w:tc>
          <w:tcPr>
            <w:tcW w:w="2227" w:type="dxa"/>
            <w:vMerge w:val="continue"/>
            <w:tcBorders>
              <w:left w:val="single" w:color="000000" w:sz="2" w:space="0"/>
              <w:bottom w:val="single" w:color="000000" w:sz="8" w:space="0"/>
              <w:right w:val="single" w:color="000000" w:sz="8" w:space="0"/>
            </w:tcBorders>
            <w:vAlign w:val="center"/>
          </w:tcPr>
          <w:p w14:paraId="3BA69E6D">
            <w:pPr>
              <w:snapToGrid w:val="0"/>
              <w:spacing w:line="360" w:lineRule="auto"/>
              <w:jc w:val="center"/>
              <w:rPr>
                <w:rFonts w:hint="eastAsia" w:ascii="宋体" w:hAnsi="宋体" w:cs="宋体"/>
                <w:b/>
                <w:color w:val="auto"/>
                <w:sz w:val="24"/>
                <w:highlight w:val="none"/>
              </w:rPr>
            </w:pPr>
          </w:p>
        </w:tc>
        <w:tc>
          <w:tcPr>
            <w:tcW w:w="6662" w:type="dxa"/>
            <w:tcBorders>
              <w:top w:val="single" w:color="000000" w:sz="8" w:space="0"/>
              <w:left w:val="single" w:color="000000" w:sz="2" w:space="0"/>
              <w:bottom w:val="single" w:color="000000" w:sz="8" w:space="0"/>
              <w:right w:val="single" w:color="000000" w:sz="8" w:space="0"/>
            </w:tcBorders>
            <w:vAlign w:val="center"/>
          </w:tcPr>
          <w:p w14:paraId="4003E51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F1D1FC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kern w:val="28"/>
                <w:sz w:val="24"/>
                <w:szCs w:val="24"/>
                <w:highlight w:val="none"/>
                <w:lang w:val="en-US" w:eastAsia="zh-CN" w:bidi="ar-SA"/>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B3B7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980" w:type="dxa"/>
            <w:tcBorders>
              <w:top w:val="single" w:color="auto" w:sz="4" w:space="0"/>
              <w:left w:val="single" w:color="000000" w:sz="8" w:space="0"/>
              <w:right w:val="single" w:color="000000" w:sz="2" w:space="0"/>
            </w:tcBorders>
            <w:vAlign w:val="center"/>
          </w:tcPr>
          <w:p w14:paraId="74851A2C">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4</w:t>
            </w:r>
          </w:p>
        </w:tc>
        <w:tc>
          <w:tcPr>
            <w:tcW w:w="2227" w:type="dxa"/>
            <w:tcBorders>
              <w:top w:val="single" w:color="000000" w:sz="8" w:space="0"/>
              <w:left w:val="single" w:color="000000" w:sz="2" w:space="0"/>
              <w:right w:val="single" w:color="000000" w:sz="8" w:space="0"/>
            </w:tcBorders>
            <w:vAlign w:val="center"/>
          </w:tcPr>
          <w:p w14:paraId="466526F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6E7057A6">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w:t>
            </w:r>
            <w:r>
              <w:rPr>
                <w:rFonts w:hint="eastAsia" w:ascii="宋体" w:hAnsi="宋体" w:cs="宋体"/>
                <w:snapToGrid w:val="0"/>
                <w:color w:val="auto"/>
                <w:kern w:val="28"/>
                <w:sz w:val="24"/>
                <w:highlight w:val="none"/>
                <w:lang w:val="en-US" w:eastAsia="zh-CN"/>
              </w:rPr>
              <w:t>1</w:t>
            </w:r>
            <w:r>
              <w:rPr>
                <w:rFonts w:hint="eastAsia" w:ascii="宋体" w:hAnsi="宋体" w:cs="宋体"/>
                <w:snapToGrid w:val="0"/>
                <w:color w:val="auto"/>
                <w:kern w:val="28"/>
                <w:sz w:val="24"/>
                <w:highlight w:val="none"/>
              </w:rPr>
              <w:t>）</w:t>
            </w:r>
            <w:r>
              <w:rPr>
                <w:rFonts w:hint="eastAsia" w:ascii="宋体" w:hAnsi="宋体" w:cs="宋体"/>
                <w:snapToGrid w:val="0"/>
                <w:color w:val="auto"/>
                <w:kern w:val="28"/>
                <w:sz w:val="24"/>
                <w:highlight w:val="none"/>
                <w:lang w:val="en-US" w:eastAsia="zh-CN"/>
              </w:rPr>
              <w:t>收取方式：</w:t>
            </w:r>
            <w:r>
              <w:rPr>
                <w:rFonts w:hint="eastAsia" w:ascii="宋体" w:hAnsi="宋体" w:cs="宋体"/>
                <w:snapToGrid w:val="0"/>
                <w:color w:val="auto"/>
                <w:kern w:val="28"/>
                <w:sz w:val="24"/>
                <w:highlight w:val="none"/>
              </w:rPr>
              <w:t>供应商应当自</w:t>
            </w:r>
            <w:r>
              <w:rPr>
                <w:rFonts w:hint="eastAsia" w:ascii="宋体" w:hAnsi="宋体" w:cs="宋体"/>
                <w:snapToGrid w:val="0"/>
                <w:color w:val="auto"/>
                <w:kern w:val="28"/>
                <w:sz w:val="24"/>
                <w:highlight w:val="none"/>
                <w:lang w:val="en-US" w:eastAsia="zh-CN"/>
              </w:rPr>
              <w:t>中标</w:t>
            </w:r>
            <w:r>
              <w:rPr>
                <w:rFonts w:hint="eastAsia" w:ascii="宋体" w:hAnsi="宋体" w:cs="宋体"/>
                <w:snapToGrid w:val="0"/>
                <w:color w:val="auto"/>
                <w:kern w:val="28"/>
                <w:sz w:val="24"/>
                <w:highlight w:val="none"/>
              </w:rPr>
              <w:t>结果公告发布之日起5个工作日内一次性向采购代理机构支付代理服务费。</w:t>
            </w:r>
          </w:p>
          <w:p w14:paraId="64EF2FA5">
            <w:pPr>
              <w:spacing w:line="360" w:lineRule="auto"/>
              <w:rPr>
                <w:rFonts w:hint="default" w:ascii="宋体" w:hAnsi="宋体" w:eastAsia="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（2）采购</w:t>
            </w:r>
            <w:r>
              <w:rPr>
                <w:rFonts w:hint="eastAsia" w:ascii="宋体" w:hAnsi="宋体" w:cs="宋体"/>
                <w:snapToGrid w:val="0"/>
                <w:color w:val="auto"/>
                <w:kern w:val="28"/>
                <w:sz w:val="24"/>
                <w:highlight w:val="none"/>
              </w:rPr>
              <w:t>代理服务费用收取标准：</w:t>
            </w:r>
            <w:r>
              <w:rPr>
                <w:rFonts w:hint="eastAsia" w:ascii="宋体" w:hAnsi="宋体" w:cs="宋体"/>
                <w:snapToGrid w:val="0"/>
                <w:color w:val="auto"/>
                <w:kern w:val="28"/>
                <w:sz w:val="24"/>
                <w:highlight w:val="none"/>
                <w:lang w:val="en-US" w:eastAsia="zh-CN"/>
              </w:rPr>
              <w:t>参照原</w:t>
            </w:r>
            <w:r>
              <w:rPr>
                <w:rFonts w:hint="eastAsia" w:ascii="宋体" w:hAnsi="宋体" w:cs="宋体"/>
                <w:snapToGrid w:val="0"/>
                <w:color w:val="auto"/>
                <w:kern w:val="28"/>
                <w:sz w:val="24"/>
                <w:highlight w:val="none"/>
              </w:rPr>
              <w:t>国家计委计价格〖2002〗1980号文件和国家发改委发改价格[2011]534号通知</w:t>
            </w:r>
            <w:r>
              <w:rPr>
                <w:rFonts w:hint="eastAsia" w:ascii="宋体" w:hAnsi="宋体" w:cs="宋体"/>
                <w:snapToGrid w:val="0"/>
                <w:color w:val="auto"/>
                <w:kern w:val="28"/>
                <w:sz w:val="24"/>
                <w:highlight w:val="none"/>
                <w:lang w:val="en-US" w:eastAsia="zh-CN"/>
              </w:rPr>
              <w:t>中的货物收费标准，</w:t>
            </w:r>
            <w:r>
              <w:rPr>
                <w:rFonts w:hint="eastAsia" w:ascii="宋体" w:hAnsi="宋体" w:cs="宋体"/>
                <w:snapToGrid w:val="0"/>
                <w:color w:val="auto"/>
                <w:kern w:val="28"/>
                <w:sz w:val="24"/>
                <w:highlight w:val="none"/>
              </w:rPr>
              <w:t>按照中标通知书确定的中标金额，向中标人收取招标服务费。</w:t>
            </w:r>
          </w:p>
          <w:p w14:paraId="03E88E5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w:t>
            </w:r>
            <w:r>
              <w:rPr>
                <w:rFonts w:hint="eastAsia" w:ascii="宋体" w:hAnsi="宋体" w:cs="宋体"/>
                <w:snapToGrid w:val="0"/>
                <w:color w:val="auto"/>
                <w:kern w:val="28"/>
                <w:sz w:val="24"/>
                <w:highlight w:val="none"/>
                <w:lang w:val="en-US" w:eastAsia="zh-CN"/>
              </w:rPr>
              <w:t>3</w:t>
            </w:r>
            <w:r>
              <w:rPr>
                <w:rFonts w:hint="eastAsia" w:ascii="宋体" w:hAnsi="宋体" w:cs="宋体"/>
                <w:snapToGrid w:val="0"/>
                <w:color w:val="auto"/>
                <w:kern w:val="28"/>
                <w:sz w:val="24"/>
                <w:highlight w:val="none"/>
              </w:rPr>
              <w:t>）支付形式及账号：</w:t>
            </w:r>
          </w:p>
          <w:p w14:paraId="5EF3DF0C">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①代理服务费缴纳形式：汇票/电汇/现金</w:t>
            </w:r>
          </w:p>
          <w:p w14:paraId="18B29E71">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②代理服务费汇入以下账户 ：</w:t>
            </w:r>
          </w:p>
          <w:p w14:paraId="550C3206">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收款单位（户名）：宁波中基国际招标有限公司</w:t>
            </w:r>
          </w:p>
          <w:p w14:paraId="224C7FE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开户：宁波银行科技支行</w:t>
            </w:r>
          </w:p>
          <w:p w14:paraId="5D3C502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账号：</w:t>
            </w:r>
            <w:r>
              <w:rPr>
                <w:rFonts w:hint="eastAsia" w:ascii="宋体" w:hAnsi="宋体" w:eastAsia="宋体" w:cs="宋体"/>
                <w:snapToGrid w:val="0"/>
                <w:color w:val="auto"/>
                <w:kern w:val="28"/>
                <w:sz w:val="24"/>
                <w:highlight w:val="none"/>
              </w:rPr>
              <w:t>31010122000005488</w:t>
            </w:r>
          </w:p>
          <w:p w14:paraId="60E2D599">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lang w:val="en-US" w:eastAsia="zh-CN"/>
              </w:rPr>
              <w:t>（4）</w:t>
            </w:r>
            <w:r>
              <w:rPr>
                <w:rFonts w:hint="eastAsia" w:ascii="宋体" w:hAnsi="宋体" w:cs="宋体"/>
                <w:snapToGrid w:val="0"/>
                <w:color w:val="auto"/>
                <w:kern w:val="28"/>
                <w:sz w:val="24"/>
                <w:highlight w:val="none"/>
              </w:rPr>
              <w:t>支付流程：</w:t>
            </w:r>
            <w:r>
              <w:rPr>
                <w:rFonts w:hint="eastAsia" w:ascii="宋体" w:hAnsi="宋体" w:cs="宋体"/>
                <w:snapToGrid w:val="0"/>
                <w:color w:val="auto"/>
                <w:kern w:val="28"/>
                <w:sz w:val="24"/>
                <w:highlight w:val="none"/>
                <w:lang w:val="en-US" w:eastAsia="zh-CN"/>
              </w:rPr>
              <w:t>中标</w:t>
            </w:r>
            <w:r>
              <w:rPr>
                <w:rFonts w:hint="eastAsia" w:ascii="宋体" w:hAnsi="宋体" w:cs="宋体"/>
                <w:snapToGrid w:val="0"/>
                <w:color w:val="auto"/>
                <w:kern w:val="28"/>
                <w:sz w:val="24"/>
                <w:highlight w:val="none"/>
              </w:rPr>
              <w:t>供应商按照</w:t>
            </w:r>
            <w:r>
              <w:rPr>
                <w:rFonts w:hint="eastAsia" w:ascii="宋体" w:hAnsi="宋体" w:cs="宋体"/>
                <w:snapToGrid w:val="0"/>
                <w:color w:val="auto"/>
                <w:kern w:val="28"/>
                <w:sz w:val="24"/>
                <w:highlight w:val="none"/>
                <w:lang w:val="en-US" w:eastAsia="zh-CN"/>
              </w:rPr>
              <w:t>中标</w:t>
            </w:r>
            <w:r>
              <w:rPr>
                <w:rFonts w:hint="eastAsia" w:ascii="宋体" w:hAnsi="宋体" w:cs="宋体"/>
                <w:snapToGrid w:val="0"/>
                <w:color w:val="auto"/>
                <w:kern w:val="28"/>
                <w:sz w:val="24"/>
                <w:highlight w:val="none"/>
              </w:rPr>
              <w:t>结果公告确定金额支付至采购代理机构账户后将汇款底单、开票信息和发票邮寄地址发送至</w:t>
            </w:r>
            <w:r>
              <w:rPr>
                <w:rFonts w:hint="eastAsia" w:ascii="宋体" w:hAnsi="宋体" w:cs="宋体"/>
                <w:snapToGrid w:val="0"/>
                <w:color w:val="auto"/>
                <w:kern w:val="28"/>
                <w:sz w:val="24"/>
                <w:highlight w:val="none"/>
                <w:u w:val="single"/>
                <w:lang w:val="en-US" w:eastAsia="zh-CN"/>
              </w:rPr>
              <w:t xml:space="preserve"> 516302780@qq.com</w:t>
            </w:r>
            <w:r>
              <w:rPr>
                <w:rFonts w:hint="eastAsia" w:ascii="宋体" w:hAnsi="宋体" w:cs="宋体"/>
                <w:snapToGrid w:val="0"/>
                <w:color w:val="auto"/>
                <w:kern w:val="28"/>
                <w:sz w:val="24"/>
                <w:highlight w:val="none"/>
              </w:rPr>
              <w:t>，采购代理机构在收到邮件后开具发票。</w:t>
            </w:r>
          </w:p>
        </w:tc>
      </w:tr>
    </w:tbl>
    <w:p w14:paraId="238ED0BD">
      <w:pPr>
        <w:snapToGrid w:val="0"/>
        <w:spacing w:line="360" w:lineRule="auto"/>
        <w:jc w:val="center"/>
        <w:rPr>
          <w:rFonts w:ascii="宋体" w:hAnsi="宋体" w:cs="宋体"/>
          <w:b/>
          <w:color w:val="auto"/>
          <w:sz w:val="32"/>
          <w:szCs w:val="20"/>
          <w:highlight w:val="none"/>
        </w:rPr>
      </w:pPr>
    </w:p>
    <w:bookmarkEnd w:id="14"/>
    <w:p w14:paraId="6B0EBCDA">
      <w:pPr>
        <w:rPr>
          <w:rFonts w:hint="eastAsia" w:ascii="宋体" w:hAnsi="宋体" w:cs="宋体"/>
          <w:b/>
          <w:color w:val="auto"/>
          <w:sz w:val="32"/>
          <w:szCs w:val="20"/>
          <w:highlight w:val="none"/>
        </w:rPr>
      </w:pPr>
      <w:bookmarkStart w:id="29" w:name="第三部分"/>
      <w:bookmarkStart w:id="30" w:name="_Toc164416483"/>
      <w:r>
        <w:rPr>
          <w:rFonts w:hint="eastAsia" w:ascii="宋体" w:hAnsi="宋体" w:cs="宋体"/>
          <w:b/>
          <w:color w:val="auto"/>
          <w:sz w:val="32"/>
          <w:szCs w:val="20"/>
          <w:highlight w:val="none"/>
        </w:rPr>
        <w:br w:type="page"/>
      </w:r>
    </w:p>
    <w:p w14:paraId="3FBD5138">
      <w:pPr>
        <w:adjustRightInd/>
        <w:spacing w:line="360" w:lineRule="auto"/>
        <w:ind w:firstLine="3845" w:firstLineChars="1197"/>
        <w:outlineLvl w:val="1"/>
        <w:rPr>
          <w:rFonts w:ascii="宋体" w:hAnsi="宋体" w:cs="宋体"/>
          <w:b/>
          <w:color w:val="auto"/>
          <w:sz w:val="32"/>
          <w:szCs w:val="20"/>
          <w:highlight w:val="none"/>
        </w:rPr>
      </w:pPr>
      <w:bookmarkStart w:id="31" w:name="_Toc19896"/>
      <w:r>
        <w:rPr>
          <w:rFonts w:hint="eastAsia" w:ascii="宋体" w:hAnsi="宋体" w:cs="宋体"/>
          <w:b/>
          <w:color w:val="auto"/>
          <w:sz w:val="32"/>
          <w:szCs w:val="20"/>
          <w:highlight w:val="none"/>
        </w:rPr>
        <w:t>一、总则</w:t>
      </w:r>
      <w:bookmarkEnd w:id="31"/>
    </w:p>
    <w:p w14:paraId="74B2266F">
      <w:pPr>
        <w:snapToGrid w:val="0"/>
        <w:spacing w:line="360" w:lineRule="auto"/>
        <w:ind w:firstLine="361" w:firstLineChars="150"/>
        <w:jc w:val="left"/>
        <w:outlineLvl w:val="1"/>
        <w:rPr>
          <w:rFonts w:ascii="宋体" w:hAnsi="宋体" w:cs="宋体"/>
          <w:b/>
          <w:color w:val="auto"/>
          <w:sz w:val="24"/>
          <w:highlight w:val="none"/>
        </w:rPr>
      </w:pPr>
      <w:bookmarkStart w:id="32" w:name="_Toc4803"/>
      <w:r>
        <w:rPr>
          <w:rFonts w:hint="eastAsia" w:ascii="宋体" w:hAnsi="宋体" w:cs="宋体"/>
          <w:b/>
          <w:color w:val="auto"/>
          <w:sz w:val="24"/>
          <w:highlight w:val="none"/>
        </w:rPr>
        <w:t>1. 适用范围</w:t>
      </w:r>
      <w:bookmarkEnd w:id="32"/>
    </w:p>
    <w:p w14:paraId="05D520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8576A10">
      <w:pPr>
        <w:snapToGrid w:val="0"/>
        <w:spacing w:line="360" w:lineRule="auto"/>
        <w:ind w:firstLine="361" w:firstLineChars="150"/>
        <w:jc w:val="left"/>
        <w:outlineLvl w:val="1"/>
        <w:rPr>
          <w:rFonts w:hint="eastAsia" w:ascii="宋体" w:hAnsi="宋体" w:eastAsia="宋体" w:cs="宋体"/>
          <w:b/>
          <w:color w:val="auto"/>
          <w:sz w:val="24"/>
          <w:highlight w:val="none"/>
        </w:rPr>
      </w:pPr>
      <w:bookmarkStart w:id="33" w:name="_Toc17533"/>
      <w:r>
        <w:rPr>
          <w:rFonts w:hint="eastAsia" w:ascii="宋体" w:hAnsi="宋体" w:eastAsia="宋体" w:cs="宋体"/>
          <w:b/>
          <w:color w:val="auto"/>
          <w:sz w:val="24"/>
          <w:highlight w:val="none"/>
        </w:rPr>
        <w:t>2.定义</w:t>
      </w:r>
      <w:bookmarkEnd w:id="33"/>
    </w:p>
    <w:p w14:paraId="03FD9A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D1A8D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5C0B96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85BE7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AE07A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w:t>
      </w:r>
      <w:r>
        <w:rPr>
          <w:rFonts w:hint="eastAsia" w:ascii="宋体" w:hAnsi="宋体" w:cs="宋体"/>
          <w:color w:val="auto"/>
          <w:sz w:val="24"/>
          <w:highlight w:val="none"/>
          <w:lang w:val="en-US" w:eastAsia="zh-CN"/>
        </w:rPr>
        <w:t>章</w:t>
      </w:r>
      <w:r>
        <w:rPr>
          <w:rFonts w:hint="eastAsia" w:ascii="宋体" w:hAnsi="宋体" w:cs="宋体"/>
          <w:color w:val="auto"/>
          <w:sz w:val="24"/>
          <w:highlight w:val="none"/>
        </w:rPr>
        <w:t>”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p>
    <w:p w14:paraId="48047B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46500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w:t>
      </w:r>
      <w:r>
        <w:rPr>
          <w:rFonts w:hint="eastAsia" w:ascii="宋体" w:hAnsi="宋体" w:cs="宋体"/>
          <w:bCs/>
          <w:color w:val="auto"/>
          <w:szCs w:val="21"/>
          <w:highlight w:val="none"/>
          <w:lang w:eastAsia="zh-CN"/>
        </w:rPr>
        <w:t>▲</w:t>
      </w:r>
      <w:r>
        <w:rPr>
          <w:rFonts w:hint="eastAsia" w:ascii="宋体" w:hAnsi="宋体" w:cs="宋体"/>
          <w:color w:val="auto"/>
          <w:sz w:val="24"/>
          <w:highlight w:val="none"/>
        </w:rPr>
        <w:t>”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2C4158E">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AB88867">
      <w:pPr>
        <w:spacing w:line="360" w:lineRule="auto"/>
        <w:ind w:firstLine="240" w:firstLineChars="1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sz w:val="24"/>
          <w:highlight w:val="none"/>
          <w:lang w:eastAsia="zh-CN"/>
        </w:rPr>
        <w:t>。</w:t>
      </w:r>
    </w:p>
    <w:p w14:paraId="6F6B203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105EC1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59F78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4" w:name="_Hlk107568539"/>
    </w:p>
    <w:p w14:paraId="2EFAF6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鼓励供应商在参加政府采购过程中开展绿色设计、选择绿色材料、打造绿色制造工艺、开展绿色运输、做好废弃产品回收处理，实现产品全周期的绿色环保。</w:t>
      </w:r>
      <w:bookmarkEnd w:id="34"/>
    </w:p>
    <w:p w14:paraId="504FD26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E5999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23EF7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31E2789">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5A8C70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30D51E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CBC77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46DAF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04CBC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18CA0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C04FC2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380581D">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3.4.1对省级以上主管部门认定的首台套产品，自纳入《省推广应用指导目录》起三年内参加政府采购活动，视同已具备相应销售业绩，业绩分为满分。</w:t>
      </w:r>
    </w:p>
    <w:p w14:paraId="61F5D768">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004AFD37">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638125A7">
      <w:pPr>
        <w:spacing w:line="360" w:lineRule="auto"/>
        <w:ind w:firstLine="480" w:firstLineChars="200"/>
        <w:rPr>
          <w:b/>
          <w:color w:val="auto"/>
          <w:highlight w:val="none"/>
        </w:rPr>
      </w:pPr>
      <w:r>
        <w:rPr>
          <w:rFonts w:hint="eastAsia" w:ascii="宋体" w:hAnsi="宋体" w:cs="宋体"/>
          <w:color w:val="auto"/>
          <w:sz w:val="24"/>
          <w:highlight w:val="none"/>
        </w:rPr>
        <w:cr/>
      </w:r>
      <w:r>
        <w:rPr>
          <w:rFonts w:hint="eastAsia" w:ascii="宋体" w:hAnsi="宋体" w:eastAsia="宋体" w:cs="宋体"/>
          <w:b/>
          <w:color w:val="auto"/>
          <w:sz w:val="24"/>
          <w:szCs w:val="24"/>
          <w:highlight w:val="none"/>
        </w:rPr>
        <w:t>4. 询问、质疑、投诉</w:t>
      </w:r>
    </w:p>
    <w:p w14:paraId="16CF1E80">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供应商询问</w:t>
      </w:r>
    </w:p>
    <w:p w14:paraId="2070A7D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692D174">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供应商质疑</w:t>
      </w:r>
    </w:p>
    <w:p w14:paraId="4954120D">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w:t>
      </w:r>
      <w:r>
        <w:rPr>
          <w:rFonts w:hint="eastAsia" w:hAnsi="宋体" w:cs="宋体"/>
          <w:color w:val="auto"/>
          <w:kern w:val="0"/>
          <w:sz w:val="24"/>
          <w:highlight w:val="none"/>
          <w:lang w:val="en-US" w:eastAsia="zh-CN"/>
        </w:rPr>
        <w:t>2</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B19EF60">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w:t>
      </w:r>
      <w:r>
        <w:rPr>
          <w:rFonts w:hint="eastAsia" w:hAnsi="宋体" w:cs="宋体"/>
          <w:color w:val="auto"/>
          <w:kern w:val="0"/>
          <w:sz w:val="24"/>
          <w:highlight w:val="none"/>
          <w:lang w:val="en-US" w:eastAsia="zh-CN"/>
        </w:rPr>
        <w:t>2</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26D55BCB">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w:t>
      </w:r>
      <w:r>
        <w:rPr>
          <w:rFonts w:hint="eastAsia" w:hAnsi="宋体" w:cs="宋体"/>
          <w:snapToGrid/>
          <w:color w:val="auto"/>
          <w:kern w:val="2"/>
          <w:sz w:val="24"/>
          <w:highlight w:val="none"/>
          <w:lang w:val="en-US" w:eastAsia="zh-CN"/>
        </w:rPr>
        <w:t>2</w:t>
      </w:r>
      <w:r>
        <w:rPr>
          <w:rFonts w:hint="eastAsia" w:hAnsi="宋体" w:cs="宋体"/>
          <w:snapToGrid/>
          <w:color w:val="auto"/>
          <w:kern w:val="2"/>
          <w:sz w:val="24"/>
          <w:highlight w:val="none"/>
        </w:rPr>
        <w:t>.2.1对招标文件提出质疑的，质疑期限为供应商获得招标文件之日或者招标文件公告期限届满之日（公告期限届满后获取招标文件的，以公告期限届满之日为准）起计算。</w:t>
      </w:r>
    </w:p>
    <w:p w14:paraId="65CAF811">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w:t>
      </w:r>
      <w:r>
        <w:rPr>
          <w:rFonts w:hint="eastAsia" w:hAnsi="宋体" w:cs="宋体"/>
          <w:color w:val="auto"/>
          <w:sz w:val="24"/>
          <w:highlight w:val="none"/>
          <w:lang w:val="en-US" w:eastAsia="zh-CN"/>
        </w:rPr>
        <w:t>2</w:t>
      </w:r>
      <w:r>
        <w:rPr>
          <w:rFonts w:hint="eastAsia" w:hAnsi="宋体" w:cs="宋体"/>
          <w:color w:val="auto"/>
          <w:sz w:val="24"/>
          <w:highlight w:val="none"/>
        </w:rPr>
        <w:t>.2.2对采购过程提出质疑的，质疑期限为各采购程序环节结束之日起计算。4.</w:t>
      </w:r>
      <w:r>
        <w:rPr>
          <w:rFonts w:hint="eastAsia" w:hAnsi="宋体" w:cs="宋体"/>
          <w:color w:val="auto"/>
          <w:sz w:val="24"/>
          <w:highlight w:val="none"/>
          <w:lang w:val="en-US" w:eastAsia="zh-CN"/>
        </w:rPr>
        <w:t>2</w:t>
      </w:r>
      <w:r>
        <w:rPr>
          <w:rFonts w:hint="eastAsia" w:hAnsi="宋体" w:cs="宋体"/>
          <w:color w:val="auto"/>
          <w:sz w:val="24"/>
          <w:highlight w:val="none"/>
        </w:rPr>
        <w:t>.2.3对采购结果提出质疑的，质疑期限自采购结果公告期限届满之日起计算。</w:t>
      </w:r>
    </w:p>
    <w:p w14:paraId="2239F59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w:t>
      </w:r>
      <w:r>
        <w:rPr>
          <w:rFonts w:hint="eastAsia" w:hAnsi="宋体" w:cs="宋体"/>
          <w:color w:val="auto"/>
          <w:sz w:val="24"/>
          <w:highlight w:val="none"/>
        </w:rPr>
        <w:t>供应商提出质疑应当提交质疑函和必要的证明材料。质疑函应当包括下列内容：</w:t>
      </w:r>
    </w:p>
    <w:p w14:paraId="7FBEBCA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.3.1供应商的姓名或者名称、地址、邮编、联系人及联系电话；</w:t>
      </w:r>
    </w:p>
    <w:p w14:paraId="104F6B8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.3.2质疑项目的名称、编号；</w:t>
      </w:r>
    </w:p>
    <w:p w14:paraId="68A2410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.3.3具体、明确的质疑事项和与质疑事项相关的请求；</w:t>
      </w:r>
    </w:p>
    <w:p w14:paraId="6789F98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.3.4事实依据；</w:t>
      </w:r>
    </w:p>
    <w:p w14:paraId="6360C9A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.3.5必要的法律依据；</w:t>
      </w:r>
    </w:p>
    <w:p w14:paraId="189756B3">
      <w:pPr>
        <w:pStyle w:val="32"/>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.3.6提出质疑的日期。</w:t>
      </w:r>
    </w:p>
    <w:p w14:paraId="4C318D38">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47B160AF">
      <w:pPr>
        <w:pStyle w:val="32"/>
        <w:spacing w:line="360" w:lineRule="auto"/>
        <w:ind w:firstLine="480" w:firstLineChars="200"/>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质疑函范本请到浙江政府采购网下载专区下载。</w:t>
      </w:r>
    </w:p>
    <w:p w14:paraId="4122B90E">
      <w:pPr>
        <w:pStyle w:val="32"/>
        <w:spacing w:line="360" w:lineRule="auto"/>
        <w:ind w:firstLine="480" w:firstLineChars="200"/>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en-US" w:eastAsia="zh-CN"/>
        </w:rPr>
        <w:t>4.2.4</w:t>
      </w:r>
      <w:r>
        <w:rPr>
          <w:rFonts w:hint="eastAsia" w:ascii="宋体" w:hAnsi="宋体" w:eastAsia="宋体" w:cs="宋体"/>
          <w:color w:val="auto"/>
          <w:kern w:val="0"/>
          <w:sz w:val="24"/>
          <w:highlight w:val="none"/>
          <w:lang w:val="zh-CN" w:eastAsia="zh-CN"/>
        </w:rPr>
        <w:t>对同一采购程序环节的质疑，供应商须在法定质疑期内一次性提出。</w:t>
      </w:r>
    </w:p>
    <w:p w14:paraId="323F3B51">
      <w:pPr>
        <w:pStyle w:val="32"/>
        <w:spacing w:line="360" w:lineRule="auto"/>
        <w:ind w:firstLine="480" w:firstLineChars="200"/>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en-US" w:eastAsia="zh-CN"/>
        </w:rPr>
        <w:t>4.2.5</w:t>
      </w:r>
      <w:r>
        <w:rPr>
          <w:rFonts w:hint="eastAsia" w:ascii="宋体" w:hAnsi="宋体" w:eastAsia="宋体" w:cs="宋体"/>
          <w:color w:val="auto"/>
          <w:kern w:val="0"/>
          <w:sz w:val="24"/>
          <w:highlight w:val="none"/>
          <w:lang w:val="zh-CN" w:eastAsia="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ascii="宋体" w:hAnsi="宋体" w:eastAsia="宋体" w:cs="宋体"/>
          <w:color w:val="auto"/>
          <w:kern w:val="0"/>
          <w:sz w:val="24"/>
          <w:highlight w:val="none"/>
          <w:lang w:val="en-US" w:eastAsia="zh-CN"/>
        </w:rPr>
        <w:t>浙江省财政厅关于进一步加强政府采购公平竞争打造最优营商环境的通知</w:t>
      </w:r>
      <w:r>
        <w:rPr>
          <w:rFonts w:hint="eastAsia" w:ascii="宋体" w:hAnsi="宋体" w:eastAsia="宋体" w:cs="宋体"/>
          <w:color w:val="auto"/>
          <w:kern w:val="0"/>
          <w:sz w:val="24"/>
          <w:highlight w:val="none"/>
          <w:lang w:val="zh-CN" w:eastAsia="zh-CN"/>
        </w:rPr>
        <w:t>》（</w:t>
      </w:r>
      <w:r>
        <w:rPr>
          <w:rFonts w:hint="eastAsia" w:ascii="宋体" w:hAnsi="宋体" w:eastAsia="宋体" w:cs="宋体"/>
          <w:color w:val="auto"/>
          <w:kern w:val="0"/>
          <w:sz w:val="24"/>
          <w:highlight w:val="none"/>
          <w:lang w:val="en-US" w:eastAsia="zh-CN"/>
        </w:rPr>
        <w:t>浙财</w:t>
      </w:r>
      <w:r>
        <w:rPr>
          <w:rFonts w:hint="eastAsia" w:ascii="宋体" w:hAnsi="宋体" w:eastAsia="宋体" w:cs="宋体"/>
          <w:color w:val="auto"/>
          <w:kern w:val="0"/>
          <w:sz w:val="24"/>
          <w:highlight w:val="none"/>
          <w:lang w:val="zh-CN" w:eastAsia="zh-CN"/>
        </w:rPr>
        <w:t>采监〔2021〕</w:t>
      </w:r>
      <w:r>
        <w:rPr>
          <w:rFonts w:hint="eastAsia" w:ascii="宋体" w:hAnsi="宋体" w:eastAsia="宋体" w:cs="宋体"/>
          <w:color w:val="auto"/>
          <w:kern w:val="0"/>
          <w:sz w:val="24"/>
          <w:highlight w:val="none"/>
          <w:lang w:val="en-US" w:eastAsia="zh-CN"/>
        </w:rPr>
        <w:t>2</w:t>
      </w:r>
      <w:r>
        <w:rPr>
          <w:rFonts w:hint="eastAsia" w:hAnsi="宋体" w:cs="宋体"/>
          <w:color w:val="auto"/>
          <w:kern w:val="0"/>
          <w:sz w:val="24"/>
          <w:highlight w:val="none"/>
          <w:lang w:val="en-US" w:eastAsia="zh-CN"/>
        </w:rPr>
        <w:t>2</w:t>
      </w:r>
      <w:r>
        <w:rPr>
          <w:rFonts w:hint="eastAsia" w:ascii="宋体" w:hAnsi="宋体" w:eastAsia="宋体" w:cs="宋体"/>
          <w:color w:val="auto"/>
          <w:kern w:val="0"/>
          <w:sz w:val="24"/>
          <w:highlight w:val="none"/>
          <w:lang w:val="zh-CN" w:eastAsia="zh-CN"/>
        </w:rPr>
        <w:t>号）,采购人或者采购代理机构在质疑回复后5个工作日内，在浙江政府采购网的“其他公告”栏目公开质疑答复，答复内容应当完整。质疑函作为附件上传。</w:t>
      </w:r>
    </w:p>
    <w:p w14:paraId="2EDC0B9C">
      <w:pPr>
        <w:pStyle w:val="32"/>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eastAsia="zh-CN"/>
        </w:rPr>
        <w:t>.2</w:t>
      </w:r>
      <w:r>
        <w:rPr>
          <w:rFonts w:hint="eastAsia" w:ascii="宋体" w:hAnsi="宋体" w:eastAsia="宋体" w:cs="宋体"/>
          <w:color w:val="auto"/>
          <w:kern w:val="0"/>
          <w:sz w:val="24"/>
          <w:highlight w:val="none"/>
          <w:lang w:val="en-US" w:eastAsia="zh-CN"/>
        </w:rPr>
        <w:t>.</w:t>
      </w:r>
      <w:r>
        <w:rPr>
          <w:rFonts w:hint="eastAsia" w:hAnsi="宋体" w:cs="宋体"/>
          <w:color w:val="auto"/>
          <w:kern w:val="0"/>
          <w:sz w:val="24"/>
          <w:highlight w:val="none"/>
          <w:lang w:val="en-US" w:eastAsia="zh-CN"/>
        </w:rPr>
        <w:t>6</w:t>
      </w:r>
      <w:r>
        <w:rPr>
          <w:rFonts w:hint="eastAsia" w:ascii="宋体" w:hAnsi="宋体" w:eastAsia="宋体" w:cs="宋体"/>
          <w:color w:val="auto"/>
          <w:kern w:val="0"/>
          <w:sz w:val="24"/>
          <w:highlight w:val="none"/>
          <w:lang w:val="en-US" w:eastAsia="zh-CN"/>
        </w:rPr>
        <w:t>询问或者质疑事项可能影响采购结果的，采购人应当暂停签订合同，已经签订合同的，应当中止履行合同。</w:t>
      </w:r>
    </w:p>
    <w:p w14:paraId="5E376D49">
      <w:pPr>
        <w:pStyle w:val="32"/>
        <w:spacing w:line="360" w:lineRule="auto"/>
        <w:ind w:firstLine="480" w:firstLineChars="200"/>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eastAsia="zh-CN"/>
        </w:rPr>
        <w:t>.3供应商投诉</w:t>
      </w:r>
    </w:p>
    <w:p w14:paraId="5AB32DBA">
      <w:pPr>
        <w:pStyle w:val="32"/>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4.3.1质疑供应商对采购人、采购代理机构的答复不满意或者采购人、采购代理机构未在规定的时间内作出答复的，可以在答复期满后十五个工作日内向同级政府采购监督管理部门提出投诉。</w:t>
      </w:r>
    </w:p>
    <w:p w14:paraId="13E9F87E">
      <w:pPr>
        <w:pStyle w:val="32"/>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4.3.</w:t>
      </w:r>
      <w:r>
        <w:rPr>
          <w:rFonts w:hint="eastAsia" w:ascii="宋体" w:hAnsi="宋体" w:eastAsia="宋体" w:cs="宋体"/>
          <w:color w:val="auto"/>
          <w:kern w:val="0"/>
          <w:sz w:val="24"/>
          <w:highlight w:val="none"/>
          <w:lang w:val="zh-CN" w:eastAsia="zh-CN"/>
        </w:rPr>
        <w:t>2</w:t>
      </w:r>
      <w:r>
        <w:rPr>
          <w:rFonts w:hint="eastAsia" w:ascii="宋体" w:hAnsi="宋体" w:eastAsia="宋体" w:cs="宋体"/>
          <w:color w:val="auto"/>
          <w:kern w:val="0"/>
          <w:sz w:val="24"/>
          <w:highlight w:val="none"/>
          <w:lang w:val="en-US" w:eastAsia="zh-CN"/>
        </w:rPr>
        <w:t>供应商投诉的事项不得超出已质疑事项的范围，基于质疑答复内容提出的投诉事项除外。</w:t>
      </w:r>
    </w:p>
    <w:p w14:paraId="07C5A4D8">
      <w:pPr>
        <w:pStyle w:val="32"/>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4.3.3供应商投诉应当有明确的请求和必要的证明材料。</w:t>
      </w:r>
    </w:p>
    <w:p w14:paraId="6DBEC3DC">
      <w:pPr>
        <w:pStyle w:val="32"/>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4.3.5 以联合体形式参加政府采购活动的，其投诉应当由组成联合体的所有供应商共同提出。</w:t>
      </w:r>
    </w:p>
    <w:p w14:paraId="40D67CE5">
      <w:pPr>
        <w:pStyle w:val="32"/>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投诉书范本请到浙江政府采购网下载专区下载。</w:t>
      </w:r>
    </w:p>
    <w:p w14:paraId="7035410D">
      <w:pPr>
        <w:pStyle w:val="133"/>
        <w:snapToGrid w:val="0"/>
        <w:spacing w:before="0"/>
        <w:ind w:firstLine="360"/>
        <w:rPr>
          <w:rFonts w:ascii="宋体" w:hAnsi="宋体" w:cs="宋体"/>
          <w:color w:val="auto"/>
          <w:sz w:val="18"/>
          <w:szCs w:val="18"/>
          <w:highlight w:val="none"/>
        </w:rPr>
      </w:pPr>
    </w:p>
    <w:p w14:paraId="4912B442">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 xml:space="preserve">      </w:t>
      </w:r>
      <w:bookmarkStart w:id="35" w:name="_Toc20717"/>
      <w:r>
        <w:rPr>
          <w:rFonts w:hint="eastAsia" w:ascii="宋体" w:hAnsi="宋体" w:cs="宋体"/>
          <w:b/>
          <w:color w:val="auto"/>
          <w:sz w:val="32"/>
          <w:szCs w:val="20"/>
          <w:highlight w:val="none"/>
        </w:rPr>
        <w:t>二、招标文件的构成、澄清、修改</w:t>
      </w:r>
      <w:bookmarkEnd w:id="35"/>
    </w:p>
    <w:p w14:paraId="574B0F4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2ED405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88432D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BA2CE3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DBFF09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BDCE65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2A8327C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BB05DE8">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E33AE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26A6C1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13E4602">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DF9232F">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70FF972">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7D9D719">
      <w:pPr>
        <w:adjustRightInd/>
        <w:spacing w:line="360" w:lineRule="auto"/>
        <w:jc w:val="center"/>
        <w:outlineLvl w:val="1"/>
        <w:rPr>
          <w:rFonts w:ascii="宋体" w:hAnsi="宋体" w:cs="宋体"/>
          <w:b/>
          <w:color w:val="auto"/>
          <w:sz w:val="30"/>
          <w:szCs w:val="20"/>
          <w:highlight w:val="none"/>
        </w:rPr>
      </w:pPr>
      <w:bookmarkStart w:id="36" w:name="_Toc6708"/>
      <w:r>
        <w:rPr>
          <w:rFonts w:hint="eastAsia" w:ascii="宋体" w:hAnsi="宋体" w:cs="宋体"/>
          <w:b/>
          <w:color w:val="auto"/>
          <w:sz w:val="30"/>
          <w:szCs w:val="20"/>
          <w:highlight w:val="none"/>
        </w:rPr>
        <w:t>三、投标</w:t>
      </w:r>
      <w:bookmarkEnd w:id="36"/>
    </w:p>
    <w:p w14:paraId="3B78744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81114AA">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EC3D0C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A3190C8">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5B5E1CE">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DA0F22C">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8D61285">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84C006F">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D6621C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87A07B1">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66DD8F5">
      <w:pPr>
        <w:snapToGrid w:val="0"/>
        <w:spacing w:line="360" w:lineRule="auto"/>
        <w:ind w:left="479" w:leftChars="228" w:firstLine="480" w:firstLineChars="200"/>
        <w:rPr>
          <w:rFonts w:hint="eastAsia" w:ascii="宋体" w:hAnsi="宋体" w:cs="宋体"/>
          <w:color w:val="auto"/>
          <w:sz w:val="24"/>
          <w:highlight w:val="none"/>
        </w:rPr>
      </w:pPr>
      <w:r>
        <w:rPr>
          <w:rFonts w:hint="eastAsia" w:ascii="宋体" w:hAnsi="宋体" w:cs="宋体"/>
          <w:color w:val="auto"/>
          <w:sz w:val="24"/>
          <w:highlight w:val="none"/>
        </w:rPr>
        <w:t>11.1.1有效的企业法人营业执照（或事业法人登记证）、其他组织（个体工商户）的营业执照或者民办非企业单位登记证书；</w:t>
      </w:r>
    </w:p>
    <w:p w14:paraId="65E238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11.1.2</w:t>
      </w:r>
      <w:r>
        <w:rPr>
          <w:rFonts w:hint="eastAsia" w:ascii="宋体" w:hAnsi="宋体" w:cs="宋体"/>
          <w:color w:val="auto"/>
          <w:sz w:val="24"/>
          <w:highlight w:val="none"/>
        </w:rPr>
        <w:t>符合参加政府采购活动应当具备的一般条件的承诺函；</w:t>
      </w:r>
    </w:p>
    <w:p w14:paraId="64E2214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w:t>
      </w:r>
      <w:bookmarkStart w:id="37" w:name="_Hlk101259339"/>
      <w:r>
        <w:rPr>
          <w:rFonts w:hint="eastAsia" w:ascii="宋体" w:hAnsi="宋体" w:cs="宋体"/>
          <w:color w:val="auto"/>
          <w:sz w:val="24"/>
          <w:highlight w:val="none"/>
          <w:lang w:val="en-US" w:eastAsia="zh-CN"/>
        </w:rPr>
        <w:t>3</w:t>
      </w:r>
      <w:r>
        <w:rPr>
          <w:rFonts w:hint="eastAsia" w:ascii="宋体" w:hAnsi="宋体" w:cs="宋体"/>
          <w:snapToGrid w:val="0"/>
          <w:color w:val="auto"/>
          <w:kern w:val="28"/>
          <w:sz w:val="24"/>
          <w:szCs w:val="20"/>
          <w:highlight w:val="none"/>
        </w:rPr>
        <w:t>联合协议</w:t>
      </w:r>
      <w:bookmarkEnd w:id="37"/>
      <w:r>
        <w:rPr>
          <w:rFonts w:hint="eastAsia" w:hAnsi="宋体"/>
          <w:color w:val="auto"/>
          <w:kern w:val="0"/>
          <w:sz w:val="24"/>
          <w:highlight w:val="none"/>
        </w:rPr>
        <w:t>（</w:t>
      </w:r>
      <w:r>
        <w:rPr>
          <w:rFonts w:hint="eastAsia" w:hAnsi="宋体"/>
          <w:color w:val="auto"/>
          <w:kern w:val="0"/>
          <w:sz w:val="24"/>
          <w:highlight w:val="none"/>
          <w:lang w:val="en-US" w:eastAsia="zh-CN"/>
        </w:rPr>
        <w:t>如适用</w:t>
      </w:r>
      <w:r>
        <w:rPr>
          <w:rFonts w:hint="eastAsia" w:hAnsi="宋体"/>
          <w:color w:val="auto"/>
          <w:kern w:val="0"/>
          <w:sz w:val="24"/>
          <w:highlight w:val="none"/>
        </w:rPr>
        <w:t>）</w:t>
      </w:r>
      <w:r>
        <w:rPr>
          <w:rFonts w:hint="eastAsia" w:ascii="宋体" w:hAnsi="宋体" w:cs="宋体"/>
          <w:snapToGrid w:val="0"/>
          <w:color w:val="auto"/>
          <w:kern w:val="28"/>
          <w:sz w:val="24"/>
          <w:szCs w:val="20"/>
          <w:highlight w:val="none"/>
        </w:rPr>
        <w:t>；</w:t>
      </w:r>
    </w:p>
    <w:p w14:paraId="2C714D00">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不适用</w:t>
      </w:r>
      <w:r>
        <w:rPr>
          <w:rFonts w:hint="eastAsia" w:ascii="宋体" w:hAnsi="宋体" w:cs="宋体"/>
          <w:snapToGrid w:val="0"/>
          <w:color w:val="auto"/>
          <w:kern w:val="28"/>
          <w:sz w:val="24"/>
          <w:szCs w:val="20"/>
          <w:highlight w:val="none"/>
        </w:rPr>
        <w:t>)</w:t>
      </w:r>
      <w:r>
        <w:rPr>
          <w:rFonts w:hint="eastAsia" w:ascii="宋体" w:hAnsi="宋体" w:cs="宋体"/>
          <w:color w:val="auto"/>
          <w:sz w:val="24"/>
          <w:highlight w:val="none"/>
          <w:lang w:val="en-US" w:eastAsia="zh-CN"/>
        </w:rPr>
        <w:t>；</w:t>
      </w:r>
    </w:p>
    <w:p w14:paraId="3A4407DA">
      <w:pPr>
        <w:pStyle w:val="23"/>
        <w:rPr>
          <w:rFonts w:hint="eastAsia" w:hAnsi="宋体"/>
          <w:color w:val="auto"/>
          <w:kern w:val="0"/>
          <w:sz w:val="24"/>
          <w:highlight w:val="none"/>
        </w:rPr>
      </w:pPr>
      <w:r>
        <w:rPr>
          <w:rFonts w:hint="eastAsia" w:hAnsi="宋体" w:cs="宋体"/>
          <w:color w:val="auto"/>
          <w:sz w:val="24"/>
          <w:highlight w:val="none"/>
          <w:lang w:val="en-US" w:eastAsia="zh-CN"/>
        </w:rPr>
        <w:t xml:space="preserve">        11.1.5 </w:t>
      </w:r>
      <w:r>
        <w:rPr>
          <w:rFonts w:hint="eastAsia" w:hAnsi="宋体"/>
          <w:color w:val="auto"/>
          <w:kern w:val="0"/>
          <w:sz w:val="24"/>
          <w:highlight w:val="none"/>
        </w:rPr>
        <w:t>业务专用章使用说明函（如适用）</w:t>
      </w:r>
    </w:p>
    <w:p w14:paraId="3CE71C8A">
      <w:pPr>
        <w:rPr>
          <w:rFonts w:hint="eastAsia" w:ascii="宋体" w:hAnsi="宋体" w:cs="宋体"/>
          <w:b/>
          <w:bCs/>
          <w:color w:val="auto"/>
          <w:sz w:val="24"/>
          <w:highlight w:val="none"/>
          <w:lang w:val="zh-CN"/>
        </w:rPr>
      </w:pPr>
    </w:p>
    <w:p w14:paraId="7166CCF2">
      <w:pPr>
        <w:pStyle w:val="23"/>
        <w:ind w:firstLine="964" w:firstLineChars="4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4EAB4D3E">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11.2.1投标函</w:t>
      </w:r>
      <w:r>
        <w:rPr>
          <w:rFonts w:hint="eastAsia" w:ascii="宋体" w:hAnsi="宋体" w:cs="宋体"/>
          <w:color w:val="auto"/>
          <w:sz w:val="24"/>
          <w:highlight w:val="none"/>
          <w:lang w:val="en-US" w:eastAsia="zh-CN"/>
        </w:rPr>
        <w:t>；</w:t>
      </w:r>
    </w:p>
    <w:p w14:paraId="36DAC5A5">
      <w:pPr>
        <w:snapToGrid w:val="0"/>
        <w:spacing w:line="360" w:lineRule="auto"/>
        <w:ind w:left="958" w:leftChars="456" w:firstLine="0" w:firstLineChars="0"/>
        <w:rPr>
          <w:rFonts w:hint="eastAsia" w:ascii="宋体" w:hAnsi="宋体" w:cs="宋体"/>
          <w:color w:val="auto"/>
          <w:highlight w:val="none"/>
          <w:lang w:val="en-US" w:eastAsia="zh-CN"/>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授权委托书或法定代表人（单位负责人、自然人本人）身份证明</w:t>
      </w:r>
      <w:r>
        <w:rPr>
          <w:rFonts w:hint="eastAsia" w:ascii="宋体" w:hAnsi="宋体" w:cs="宋体"/>
          <w:color w:val="auto"/>
          <w:highlight w:val="none"/>
          <w:lang w:val="en-US" w:eastAsia="zh-CN"/>
        </w:rPr>
        <w:t>；</w:t>
      </w:r>
    </w:p>
    <w:p w14:paraId="43532649">
      <w:pPr>
        <w:snapToGrid w:val="0"/>
        <w:spacing w:line="360" w:lineRule="auto"/>
        <w:ind w:left="958" w:leftChars="456" w:firstLine="0" w:firstLineChars="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分包意向协议</w:t>
      </w:r>
      <w:r>
        <w:rPr>
          <w:rFonts w:hint="eastAsia" w:hAnsi="宋体"/>
          <w:color w:val="auto"/>
          <w:kern w:val="0"/>
          <w:sz w:val="24"/>
          <w:highlight w:val="none"/>
        </w:rPr>
        <w:t>（如适用）</w:t>
      </w:r>
      <w:r>
        <w:rPr>
          <w:rFonts w:hint="eastAsia" w:ascii="宋体" w:hAnsi="宋体" w:cs="宋体"/>
          <w:snapToGrid w:val="0"/>
          <w:color w:val="auto"/>
          <w:kern w:val="28"/>
          <w:sz w:val="24"/>
          <w:szCs w:val="20"/>
          <w:highlight w:val="none"/>
          <w:lang w:val="en-US" w:eastAsia="zh-CN"/>
        </w:rPr>
        <w:t>；</w:t>
      </w:r>
    </w:p>
    <w:p w14:paraId="3EA5BF1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符合性审查资料</w:t>
      </w:r>
      <w:r>
        <w:rPr>
          <w:rFonts w:hint="eastAsia" w:ascii="宋体" w:hAnsi="宋体" w:eastAsia="宋体" w:cs="宋体"/>
          <w:color w:val="auto"/>
          <w:sz w:val="24"/>
          <w:highlight w:val="none"/>
          <w:lang w:val="en-US" w:eastAsia="zh-CN"/>
        </w:rPr>
        <w:t>；</w:t>
      </w:r>
    </w:p>
    <w:p w14:paraId="674E229D">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lang w:val="en-US" w:eastAsia="zh-CN"/>
        </w:rPr>
        <w:t>；</w:t>
      </w:r>
    </w:p>
    <w:p w14:paraId="7A0F0905">
      <w:pPr>
        <w:snapToGrid w:val="0"/>
        <w:spacing w:line="360" w:lineRule="auto"/>
        <w:ind w:firstLine="960" w:firstLineChars="400"/>
        <w:rPr>
          <w:rFonts w:hint="eastAsia" w:ascii="宋体" w:hAnsi="宋体" w:cs="宋体"/>
          <w:color w:val="auto"/>
          <w:sz w:val="24"/>
          <w:highlight w:val="none"/>
          <w:lang w:val="en-US" w:eastAsia="zh-CN"/>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6投标标的清单；</w:t>
      </w:r>
    </w:p>
    <w:p w14:paraId="51336588">
      <w:pPr>
        <w:snapToGrid w:val="0"/>
        <w:spacing w:line="360" w:lineRule="auto"/>
        <w:ind w:firstLine="960" w:firstLineChars="400"/>
        <w:rPr>
          <w:rFonts w:hint="eastAsia" w:ascii="宋体" w:hAnsi="宋体" w:eastAsia="宋体" w:cs="宋体"/>
          <w:color w:val="auto"/>
          <w:highlight w:val="none"/>
          <w:lang w:val="en-US" w:eastAsia="zh-CN"/>
        </w:rPr>
      </w:pPr>
      <w:r>
        <w:rPr>
          <w:rFonts w:hint="eastAsia" w:ascii="宋体" w:hAnsi="宋体" w:cs="宋体"/>
          <w:color w:val="auto"/>
          <w:sz w:val="24"/>
          <w:highlight w:val="none"/>
        </w:rPr>
        <w:t>1</w:t>
      </w:r>
      <w:r>
        <w:rPr>
          <w:rFonts w:hint="eastAsia" w:ascii="宋体" w:hAnsi="宋体" w:eastAsia="宋体" w:cs="宋体"/>
          <w:snapToGrid/>
          <w:color w:val="auto"/>
          <w:kern w:val="2"/>
          <w:sz w:val="24"/>
          <w:szCs w:val="24"/>
          <w:highlight w:val="none"/>
          <w:lang w:val="en-US" w:eastAsia="zh-CN" w:bidi="ar-SA"/>
        </w:rPr>
        <w:t>1.2.7</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lang w:val="en-US" w:eastAsia="zh-CN"/>
        </w:rPr>
        <w:t>；</w:t>
      </w:r>
    </w:p>
    <w:p w14:paraId="458DB119">
      <w:pPr>
        <w:pStyle w:val="23"/>
        <w:ind w:firstLine="960" w:firstLineChars="400"/>
        <w:rPr>
          <w:rFonts w:hint="eastAsia" w:ascii="宋体" w:hAnsi="宋体" w:eastAsia="宋体" w:cs="宋体"/>
          <w:snapToGrid/>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eastAsia="宋体" w:cs="宋体"/>
          <w:snapToGrid/>
          <w:color w:val="auto"/>
          <w:kern w:val="2"/>
          <w:sz w:val="24"/>
          <w:szCs w:val="24"/>
          <w:highlight w:val="none"/>
          <w:lang w:val="en-US" w:eastAsia="zh-CN" w:bidi="ar-SA"/>
        </w:rPr>
        <w:t>1.2.</w:t>
      </w:r>
      <w:r>
        <w:rPr>
          <w:rFonts w:hint="eastAsia" w:hAnsi="宋体" w:cs="宋体"/>
          <w:snapToGrid/>
          <w:color w:val="auto"/>
          <w:kern w:val="2"/>
          <w:sz w:val="24"/>
          <w:szCs w:val="24"/>
          <w:highlight w:val="none"/>
          <w:lang w:val="en-US" w:eastAsia="zh-CN" w:bidi="ar-SA"/>
        </w:rPr>
        <w:t>8</w:t>
      </w:r>
      <w:r>
        <w:rPr>
          <w:rFonts w:hint="eastAsia" w:ascii="宋体" w:hAnsi="宋体" w:eastAsia="宋体" w:cs="宋体"/>
          <w:snapToGrid/>
          <w:color w:val="auto"/>
          <w:kern w:val="2"/>
          <w:sz w:val="24"/>
          <w:szCs w:val="24"/>
          <w:highlight w:val="none"/>
          <w:lang w:val="en-US" w:eastAsia="zh-CN" w:bidi="ar-SA"/>
        </w:rPr>
        <w:t>评标标准相应的商务技术资料</w:t>
      </w:r>
      <w:r>
        <w:rPr>
          <w:rFonts w:hint="eastAsia" w:hAnsi="宋体" w:cs="宋体"/>
          <w:snapToGrid/>
          <w:color w:val="auto"/>
          <w:kern w:val="2"/>
          <w:sz w:val="24"/>
          <w:szCs w:val="24"/>
          <w:highlight w:val="none"/>
          <w:lang w:val="en-US" w:eastAsia="zh-CN" w:bidi="ar-SA"/>
        </w:rPr>
        <w:t>：</w:t>
      </w:r>
    </w:p>
    <w:p w14:paraId="2E16E9BB">
      <w:pPr>
        <w:snapToGrid w:val="0"/>
        <w:spacing w:line="360" w:lineRule="auto"/>
        <w:ind w:left="958" w:leftChars="456" w:firstLine="0" w:firstLineChars="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w:t>
      </w:r>
      <w:r>
        <w:rPr>
          <w:rFonts w:hint="eastAsia" w:ascii="宋体" w:hAnsi="宋体" w:cs="宋体"/>
          <w:snapToGrid/>
          <w:color w:val="auto"/>
          <w:kern w:val="2"/>
          <w:sz w:val="24"/>
          <w:szCs w:val="24"/>
          <w:highlight w:val="none"/>
          <w:lang w:val="en-US" w:eastAsia="zh-CN" w:bidi="ar-SA"/>
        </w:rPr>
        <w:t>11.2.8</w:t>
      </w:r>
      <w:r>
        <w:rPr>
          <w:rFonts w:hint="eastAsia" w:ascii="宋体" w:hAnsi="宋体" w:eastAsia="宋体" w:cs="宋体"/>
          <w:snapToGrid/>
          <w:color w:val="auto"/>
          <w:kern w:val="2"/>
          <w:sz w:val="24"/>
          <w:szCs w:val="24"/>
          <w:highlight w:val="none"/>
          <w:lang w:val="en-US" w:eastAsia="zh-CN" w:bidi="ar-SA"/>
        </w:rPr>
        <w:t>-1）</w:t>
      </w:r>
      <w:r>
        <w:rPr>
          <w:rFonts w:hint="eastAsia" w:ascii="宋体" w:hAnsi="宋体" w:cs="宋体"/>
          <w:snapToGrid/>
          <w:color w:val="auto"/>
          <w:kern w:val="2"/>
          <w:sz w:val="24"/>
          <w:szCs w:val="24"/>
          <w:highlight w:val="none"/>
          <w:lang w:val="en-US" w:eastAsia="zh-CN" w:bidi="ar-SA"/>
        </w:rPr>
        <w:t>技术方案</w:t>
      </w:r>
    </w:p>
    <w:p w14:paraId="73FD0B55">
      <w:pPr>
        <w:snapToGrid w:val="0"/>
        <w:spacing w:line="360" w:lineRule="auto"/>
        <w:ind w:left="958" w:leftChars="456" w:firstLine="0" w:firstLineChars="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（11.2.8-</w:t>
      </w:r>
      <w:r>
        <w:rPr>
          <w:rFonts w:hint="eastAsia" w:ascii="宋体" w:hAnsi="宋体" w:cs="宋体"/>
          <w:snapToGrid/>
          <w:color w:val="auto"/>
          <w:kern w:val="2"/>
          <w:sz w:val="24"/>
          <w:szCs w:val="24"/>
          <w:highlight w:val="none"/>
          <w:lang w:val="en-US" w:eastAsia="zh-CN" w:bidi="ar-SA"/>
        </w:rPr>
        <w:t>2</w:t>
      </w:r>
      <w:r>
        <w:rPr>
          <w:rFonts w:hint="eastAsia" w:ascii="宋体" w:hAnsi="宋体" w:eastAsia="宋体" w:cs="宋体"/>
          <w:snapToGrid/>
          <w:color w:val="auto"/>
          <w:kern w:val="2"/>
          <w:sz w:val="24"/>
          <w:szCs w:val="24"/>
          <w:highlight w:val="none"/>
          <w:lang w:val="en-US" w:eastAsia="zh-CN" w:bidi="ar-SA"/>
        </w:rPr>
        <w:t>）供货方案</w:t>
      </w:r>
    </w:p>
    <w:p w14:paraId="51609C11">
      <w:pPr>
        <w:snapToGrid w:val="0"/>
        <w:spacing w:line="360" w:lineRule="auto"/>
        <w:ind w:left="958" w:leftChars="456" w:firstLine="0" w:firstLineChars="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（11.2.8-</w:t>
      </w:r>
      <w:r>
        <w:rPr>
          <w:rFonts w:hint="eastAsia" w:ascii="宋体" w:hAnsi="宋体" w:cs="宋体"/>
          <w:snapToGrid/>
          <w:color w:val="auto"/>
          <w:kern w:val="2"/>
          <w:sz w:val="24"/>
          <w:szCs w:val="24"/>
          <w:highlight w:val="none"/>
          <w:lang w:val="en-US" w:eastAsia="zh-CN" w:bidi="ar-SA"/>
        </w:rPr>
        <w:t>3</w:t>
      </w:r>
      <w:r>
        <w:rPr>
          <w:rFonts w:hint="eastAsia" w:ascii="宋体" w:hAnsi="宋体" w:eastAsia="宋体" w:cs="宋体"/>
          <w:snapToGrid/>
          <w:color w:val="auto"/>
          <w:kern w:val="2"/>
          <w:sz w:val="24"/>
          <w:szCs w:val="24"/>
          <w:highlight w:val="none"/>
          <w:lang w:val="en-US" w:eastAsia="zh-CN" w:bidi="ar-SA"/>
        </w:rPr>
        <w:t>）安装与调试方案</w:t>
      </w:r>
    </w:p>
    <w:p w14:paraId="7F0BB206">
      <w:pPr>
        <w:snapToGrid w:val="0"/>
        <w:spacing w:line="360" w:lineRule="auto"/>
        <w:ind w:left="958" w:leftChars="456" w:firstLine="0" w:firstLineChars="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（11.2.8-</w:t>
      </w:r>
      <w:r>
        <w:rPr>
          <w:rFonts w:hint="eastAsia" w:ascii="宋体" w:hAnsi="宋体" w:cs="宋体"/>
          <w:snapToGrid/>
          <w:color w:val="auto"/>
          <w:kern w:val="2"/>
          <w:sz w:val="24"/>
          <w:szCs w:val="24"/>
          <w:highlight w:val="none"/>
          <w:lang w:val="en-US" w:eastAsia="zh-CN" w:bidi="ar-SA"/>
        </w:rPr>
        <w:t>4</w:t>
      </w:r>
      <w:r>
        <w:rPr>
          <w:rFonts w:hint="eastAsia" w:ascii="宋体" w:hAnsi="宋体" w:eastAsia="宋体" w:cs="宋体"/>
          <w:snapToGrid/>
          <w:color w:val="auto"/>
          <w:kern w:val="2"/>
          <w:sz w:val="24"/>
          <w:szCs w:val="24"/>
          <w:highlight w:val="none"/>
          <w:lang w:val="en-US" w:eastAsia="zh-CN" w:bidi="ar-SA"/>
        </w:rPr>
        <w:t>）售后服务方案</w:t>
      </w:r>
    </w:p>
    <w:p w14:paraId="50148323">
      <w:pPr>
        <w:snapToGrid w:val="0"/>
        <w:spacing w:line="360" w:lineRule="auto"/>
        <w:ind w:left="958" w:leftChars="456" w:firstLine="0" w:firstLineChars="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（11.2.8-</w:t>
      </w:r>
      <w:r>
        <w:rPr>
          <w:rFonts w:hint="eastAsia" w:ascii="宋体" w:hAnsi="宋体" w:cs="宋体"/>
          <w:snapToGrid/>
          <w:color w:val="auto"/>
          <w:kern w:val="2"/>
          <w:sz w:val="24"/>
          <w:szCs w:val="24"/>
          <w:highlight w:val="none"/>
          <w:lang w:val="en-US" w:eastAsia="zh-CN" w:bidi="ar-SA"/>
        </w:rPr>
        <w:t>5</w:t>
      </w:r>
      <w:r>
        <w:rPr>
          <w:rFonts w:hint="eastAsia" w:ascii="宋体" w:hAnsi="宋体" w:eastAsia="宋体" w:cs="宋体"/>
          <w:snapToGrid/>
          <w:color w:val="auto"/>
          <w:kern w:val="2"/>
          <w:sz w:val="24"/>
          <w:szCs w:val="24"/>
          <w:highlight w:val="none"/>
          <w:lang w:val="en-US" w:eastAsia="zh-CN" w:bidi="ar-SA"/>
        </w:rPr>
        <w:t>）应急方案</w:t>
      </w:r>
    </w:p>
    <w:p w14:paraId="3B256BE0">
      <w:pPr>
        <w:snapToGrid w:val="0"/>
        <w:spacing w:line="360" w:lineRule="auto"/>
        <w:ind w:left="958" w:leftChars="456" w:firstLine="0" w:firstLineChars="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（11.2.8-</w:t>
      </w:r>
      <w:r>
        <w:rPr>
          <w:rFonts w:hint="eastAsia" w:ascii="宋体" w:hAnsi="宋体" w:cs="宋体"/>
          <w:snapToGrid/>
          <w:color w:val="auto"/>
          <w:kern w:val="2"/>
          <w:sz w:val="24"/>
          <w:szCs w:val="24"/>
          <w:highlight w:val="none"/>
          <w:lang w:val="en-US" w:eastAsia="zh-CN" w:bidi="ar-SA"/>
        </w:rPr>
        <w:t>6</w:t>
      </w:r>
      <w:r>
        <w:rPr>
          <w:rFonts w:hint="eastAsia" w:ascii="宋体" w:hAnsi="宋体" w:eastAsia="宋体" w:cs="宋体"/>
          <w:snapToGrid/>
          <w:color w:val="auto"/>
          <w:kern w:val="2"/>
          <w:sz w:val="24"/>
          <w:szCs w:val="24"/>
          <w:highlight w:val="none"/>
          <w:lang w:val="en-US" w:eastAsia="zh-CN" w:bidi="ar-SA"/>
        </w:rPr>
        <w:t>）培训方案</w:t>
      </w:r>
    </w:p>
    <w:p w14:paraId="0A8EEA88">
      <w:pPr>
        <w:snapToGrid w:val="0"/>
        <w:spacing w:line="360" w:lineRule="auto"/>
        <w:ind w:left="958" w:leftChars="456" w:firstLine="0" w:firstLineChars="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（11.2.8-</w:t>
      </w:r>
      <w:r>
        <w:rPr>
          <w:rFonts w:hint="eastAsia" w:ascii="宋体" w:hAnsi="宋体" w:cs="宋体"/>
          <w:snapToGrid/>
          <w:color w:val="auto"/>
          <w:kern w:val="2"/>
          <w:sz w:val="24"/>
          <w:szCs w:val="24"/>
          <w:highlight w:val="none"/>
          <w:lang w:val="en-US" w:eastAsia="zh-CN" w:bidi="ar-SA"/>
        </w:rPr>
        <w:t>7</w:t>
      </w:r>
      <w:r>
        <w:rPr>
          <w:rFonts w:hint="eastAsia" w:ascii="宋体" w:hAnsi="宋体" w:eastAsia="宋体" w:cs="宋体"/>
          <w:snapToGrid/>
          <w:color w:val="auto"/>
          <w:kern w:val="2"/>
          <w:sz w:val="24"/>
          <w:szCs w:val="24"/>
          <w:highlight w:val="none"/>
          <w:lang w:val="en-US" w:eastAsia="zh-CN" w:bidi="ar-SA"/>
        </w:rPr>
        <w:t>）人员配备</w:t>
      </w:r>
    </w:p>
    <w:p w14:paraId="45CAD1CF">
      <w:pPr>
        <w:snapToGrid w:val="0"/>
        <w:spacing w:line="360" w:lineRule="auto"/>
        <w:ind w:left="958" w:leftChars="456" w:firstLine="0" w:firstLineChars="0"/>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（11.2.8-</w:t>
      </w:r>
      <w:r>
        <w:rPr>
          <w:rFonts w:hint="eastAsia" w:ascii="宋体" w:hAnsi="宋体" w:cs="宋体"/>
          <w:snapToGrid/>
          <w:color w:val="auto"/>
          <w:kern w:val="2"/>
          <w:sz w:val="24"/>
          <w:szCs w:val="24"/>
          <w:highlight w:val="none"/>
          <w:lang w:val="en-US" w:eastAsia="zh-CN" w:bidi="ar-SA"/>
        </w:rPr>
        <w:t>8</w:t>
      </w:r>
      <w:r>
        <w:rPr>
          <w:rFonts w:hint="eastAsia" w:ascii="宋体" w:hAnsi="宋体" w:eastAsia="宋体" w:cs="宋体"/>
          <w:snapToGrid/>
          <w:color w:val="auto"/>
          <w:kern w:val="2"/>
          <w:sz w:val="24"/>
          <w:szCs w:val="24"/>
          <w:highlight w:val="none"/>
          <w:lang w:val="en-US" w:eastAsia="zh-CN" w:bidi="ar-SA"/>
        </w:rPr>
        <w:t>）</w:t>
      </w:r>
      <w:r>
        <w:rPr>
          <w:rFonts w:hint="eastAsia" w:ascii="宋体" w:hAnsi="宋体" w:cs="宋体"/>
          <w:snapToGrid/>
          <w:color w:val="auto"/>
          <w:kern w:val="2"/>
          <w:sz w:val="24"/>
          <w:szCs w:val="24"/>
          <w:highlight w:val="none"/>
          <w:lang w:val="en-US" w:eastAsia="zh-CN" w:bidi="ar-SA"/>
        </w:rPr>
        <w:t>评分标准中要</w:t>
      </w:r>
      <w:r>
        <w:rPr>
          <w:rFonts w:hint="eastAsia" w:ascii="宋体" w:hAnsi="宋体" w:eastAsia="宋体" w:cs="宋体"/>
          <w:snapToGrid/>
          <w:color w:val="auto"/>
          <w:kern w:val="2"/>
          <w:sz w:val="24"/>
          <w:szCs w:val="24"/>
          <w:highlight w:val="none"/>
          <w:lang w:val="en-US" w:eastAsia="zh-CN" w:bidi="ar-SA"/>
        </w:rPr>
        <w:t>求提供的其他资料</w:t>
      </w:r>
    </w:p>
    <w:p w14:paraId="4E65DFDD">
      <w:pPr>
        <w:snapToGrid w:val="0"/>
        <w:spacing w:line="360" w:lineRule="auto"/>
        <w:ind w:firstLine="960" w:firstLineChars="400"/>
        <w:rPr>
          <w:rFonts w:hint="eastAsia" w:ascii="宋体" w:hAnsi="宋体" w:eastAsia="宋体" w:cs="宋体"/>
          <w:snapToGrid/>
          <w:color w:val="auto"/>
          <w:kern w:val="2"/>
          <w:sz w:val="24"/>
          <w:szCs w:val="24"/>
          <w:highlight w:val="none"/>
          <w:lang w:val="en-US" w:eastAsia="zh-CN" w:bidi="ar-SA"/>
        </w:rPr>
      </w:pPr>
      <w:r>
        <w:rPr>
          <w:rFonts w:hint="eastAsia" w:ascii="宋体" w:hAnsi="宋体" w:cs="宋体"/>
          <w:snapToGrid/>
          <w:color w:val="auto"/>
          <w:kern w:val="2"/>
          <w:sz w:val="24"/>
          <w:szCs w:val="24"/>
          <w:highlight w:val="none"/>
          <w:lang w:val="en-US" w:eastAsia="zh-CN" w:bidi="ar-SA"/>
        </w:rPr>
        <w:t>11.2.9</w:t>
      </w:r>
      <w:r>
        <w:rPr>
          <w:rFonts w:hint="eastAsia" w:ascii="宋体" w:hAnsi="宋体" w:eastAsia="宋体" w:cs="宋体"/>
          <w:snapToGrid/>
          <w:color w:val="auto"/>
          <w:kern w:val="2"/>
          <w:sz w:val="24"/>
          <w:szCs w:val="24"/>
          <w:highlight w:val="none"/>
          <w:lang w:val="en-US" w:eastAsia="zh-CN" w:bidi="ar-SA"/>
        </w:rPr>
        <w:t>投标人认为需要提供的其他资料</w:t>
      </w:r>
    </w:p>
    <w:p w14:paraId="7C669A6F">
      <w:pPr>
        <w:snapToGrid w:val="0"/>
        <w:spacing w:line="360" w:lineRule="auto"/>
        <w:ind w:firstLine="964" w:firstLineChars="400"/>
        <w:rPr>
          <w:rFonts w:hint="eastAsia" w:ascii="宋体" w:hAnsi="宋体" w:cs="宋体"/>
          <w:b/>
          <w:bCs/>
          <w:color w:val="auto"/>
          <w:kern w:val="0"/>
          <w:sz w:val="24"/>
          <w:highlight w:val="none"/>
          <w:lang w:val="zh-CN"/>
        </w:rPr>
      </w:pPr>
    </w:p>
    <w:p w14:paraId="75CF2320">
      <w:pPr>
        <w:snapToGrid w:val="0"/>
        <w:spacing w:line="360" w:lineRule="auto"/>
        <w:ind w:firstLine="964" w:firstLineChars="400"/>
        <w:rPr>
          <w:rFonts w:ascii="宋体" w:hAnsi="宋体" w:cs="宋体"/>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49A2CE9">
      <w:pPr>
        <w:snapToGrid w:val="0"/>
        <w:spacing w:line="360" w:lineRule="auto"/>
        <w:ind w:firstLine="960" w:firstLineChars="400"/>
        <w:rPr>
          <w:rFonts w:hint="default" w:ascii="宋体" w:hAnsi="宋体" w:cs="宋体"/>
          <w:color w:val="auto"/>
          <w:sz w:val="24"/>
          <w:highlight w:val="none"/>
          <w:lang w:val="en-US" w:eastAsia="zh-CN"/>
        </w:rPr>
      </w:pPr>
      <w:r>
        <w:rPr>
          <w:rFonts w:hint="eastAsia" w:ascii="宋体" w:hAnsi="宋体" w:cs="宋体"/>
          <w:color w:val="auto"/>
          <w:sz w:val="24"/>
          <w:highlight w:val="none"/>
        </w:rPr>
        <w:t>11.3.1开标一览表；</w:t>
      </w:r>
    </w:p>
    <w:p w14:paraId="45843ECD">
      <w:pPr>
        <w:snapToGrid w:val="0"/>
        <w:spacing w:line="360" w:lineRule="auto"/>
        <w:ind w:firstLine="960" w:firstLineChars="400"/>
        <w:rPr>
          <w:rFonts w:hint="eastAsia" w:ascii="宋体" w:hAnsi="宋体" w:cs="宋体"/>
          <w:color w:val="auto"/>
          <w:sz w:val="24"/>
          <w:highlight w:val="none"/>
          <w:lang w:val="en-US" w:eastAsia="zh-CN"/>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2投标报价明细表；</w:t>
      </w:r>
    </w:p>
    <w:p w14:paraId="1854067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3.3</w:t>
      </w:r>
      <w:r>
        <w:rPr>
          <w:rFonts w:hint="eastAsia" w:ascii="宋体" w:hAnsi="宋体" w:cs="宋体"/>
          <w:color w:val="auto"/>
          <w:sz w:val="24"/>
          <w:highlight w:val="none"/>
        </w:rPr>
        <w:t>中小企业声明函(如有）；</w:t>
      </w:r>
    </w:p>
    <w:p w14:paraId="051A025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3.4</w:t>
      </w:r>
      <w:r>
        <w:rPr>
          <w:rFonts w:hint="eastAsia" w:ascii="宋体" w:hAnsi="宋体" w:cs="宋体"/>
          <w:color w:val="auto"/>
          <w:sz w:val="24"/>
          <w:highlight w:val="none"/>
        </w:rPr>
        <w:t>残疾人福利性单位声明函(如有）；</w:t>
      </w:r>
    </w:p>
    <w:p w14:paraId="4C4FE7E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3.5</w:t>
      </w:r>
      <w:r>
        <w:rPr>
          <w:rFonts w:hint="eastAsia" w:ascii="宋体" w:hAnsi="宋体" w:cs="宋体"/>
          <w:color w:val="auto"/>
          <w:sz w:val="24"/>
          <w:highlight w:val="none"/>
        </w:rPr>
        <w:t>由省级以上监狱管理局、戒毒管理局（含新疆生产建设兵团）出具的属于监狱企业的证明文件（如有）；</w:t>
      </w:r>
    </w:p>
    <w:p w14:paraId="1A435DDA">
      <w:pPr>
        <w:snapToGrid w:val="0"/>
        <w:spacing w:line="360" w:lineRule="auto"/>
        <w:ind w:firstLine="960" w:firstLineChars="400"/>
        <w:rPr>
          <w:rFonts w:hint="eastAsia" w:ascii="宋体" w:hAnsi="宋体" w:eastAsia="宋体" w:cs="宋体"/>
          <w:color w:val="auto"/>
          <w:sz w:val="24"/>
          <w:szCs w:val="24"/>
          <w:highlight w:val="none"/>
          <w:lang w:val="en-US" w:eastAsia="zh-CN"/>
        </w:rPr>
      </w:pPr>
    </w:p>
    <w:p w14:paraId="696CBB4A">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D8CE335">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83E6035">
      <w:pPr>
        <w:snapToGrid w:val="0"/>
        <w:spacing w:line="360" w:lineRule="auto"/>
        <w:rPr>
          <w:rFonts w:hint="eastAsia" w:ascii="宋体" w:hAnsi="宋体" w:eastAsia="宋体" w:cs="宋体"/>
          <w:b/>
          <w:color w:val="auto"/>
          <w:sz w:val="24"/>
          <w:highlight w:val="none"/>
        </w:rPr>
      </w:pPr>
      <w:bookmarkStart w:id="38" w:name="_Toc14413"/>
      <w:r>
        <w:rPr>
          <w:rFonts w:hint="eastAsia" w:ascii="宋体" w:hAnsi="宋体" w:eastAsia="宋体" w:cs="宋体"/>
          <w:b/>
          <w:color w:val="auto"/>
          <w:sz w:val="24"/>
          <w:highlight w:val="none"/>
        </w:rPr>
        <w:t>12</w:t>
      </w:r>
      <w:r>
        <w:rPr>
          <w:rFonts w:hint="eastAsia" w:ascii="宋体" w:hAnsi="宋体" w:eastAsia="宋体" w:cs="宋体"/>
          <w:b/>
          <w:color w:val="auto"/>
          <w:sz w:val="24"/>
          <w:highlight w:val="none"/>
          <w:lang w:val="zh-CN"/>
        </w:rPr>
        <w:t xml:space="preserve">. </w:t>
      </w:r>
      <w:r>
        <w:rPr>
          <w:rFonts w:hint="eastAsia" w:ascii="宋体" w:hAnsi="宋体" w:eastAsia="宋体" w:cs="宋体"/>
          <w:b/>
          <w:color w:val="auto"/>
          <w:sz w:val="24"/>
          <w:highlight w:val="none"/>
        </w:rPr>
        <w:t>投标文件的编制</w:t>
      </w:r>
      <w:bookmarkEnd w:id="38"/>
    </w:p>
    <w:p w14:paraId="07CE6C3D">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9CD254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FB3F8B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8708A7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5C7B66FB">
      <w:pPr>
        <w:pStyle w:val="133"/>
        <w:snapToGrid w:val="0"/>
        <w:spacing w:before="0"/>
        <w:ind w:firstLine="480"/>
        <w:rPr>
          <w:rFonts w:hint="eastAsia" w:ascii="宋体" w:hAnsi="宋体" w:cs="宋体"/>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p>
    <w:p w14:paraId="0A866A0E">
      <w:pPr>
        <w:pStyle w:val="133"/>
        <w:snapToGrid w:val="0"/>
        <w:spacing w:before="0"/>
        <w:ind w:firstLine="480"/>
        <w:rPr>
          <w:rFonts w:ascii="宋体" w:hAnsi="宋体" w:cs="宋体"/>
          <w:b/>
          <w:color w:val="auto"/>
          <w:highlight w:val="none"/>
        </w:rPr>
      </w:pPr>
      <w:r>
        <w:rPr>
          <w:rFonts w:hint="eastAsia" w:ascii="宋体" w:hAnsi="宋体" w:cs="宋体"/>
          <w:bCs/>
          <w:color w:val="auto"/>
          <w:szCs w:val="21"/>
          <w:highlight w:val="none"/>
          <w:lang w:eastAsia="zh-CN"/>
        </w:rPr>
        <w:t>▲</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FE28F03">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w:t>
      </w:r>
      <w:r>
        <w:rPr>
          <w:rFonts w:hint="eastAsia" w:ascii="宋体" w:hAnsi="宋体" w:cs="宋体"/>
          <w:color w:val="auto"/>
          <w:highlight w:val="none"/>
          <w:lang w:val="en-US" w:eastAsia="zh-CN"/>
        </w:rPr>
        <w:t>章</w:t>
      </w:r>
      <w:r>
        <w:rPr>
          <w:rFonts w:hint="eastAsia" w:ascii="宋体" w:hAnsi="宋体" w:cs="宋体"/>
          <w:color w:val="auto"/>
          <w:highlight w:val="none"/>
        </w:rPr>
        <w:t>。</w:t>
      </w:r>
    </w:p>
    <w:p w14:paraId="07BE1B4B">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w:t>
      </w:r>
      <w:r>
        <w:rPr>
          <w:rFonts w:hint="eastAsia" w:ascii="宋体" w:hAnsi="宋体" w:cs="宋体"/>
          <w:color w:val="auto"/>
          <w:highlight w:val="none"/>
          <w:lang w:val="en-US" w:eastAsia="zh-CN"/>
        </w:rPr>
        <w:t>章</w:t>
      </w:r>
      <w:r>
        <w:rPr>
          <w:rFonts w:hint="eastAsia" w:ascii="宋体" w:hAnsi="宋体" w:cs="宋体"/>
          <w:color w:val="auto"/>
          <w:highlight w:val="none"/>
        </w:rPr>
        <w:t>。</w:t>
      </w:r>
    </w:p>
    <w:p w14:paraId="00007B62">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F18F62E">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74FB24C">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1793182">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4E12B39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12E50C0">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w:t>
      </w:r>
      <w:r>
        <w:rPr>
          <w:rFonts w:hint="eastAsia" w:hAnsi="宋体" w:cs="宋体"/>
          <w:color w:val="auto"/>
          <w:sz w:val="24"/>
          <w:szCs w:val="24"/>
          <w:highlight w:val="none"/>
          <w:lang w:val="en-US" w:eastAsia="zh-CN"/>
        </w:rPr>
        <w:t>寄</w:t>
      </w:r>
      <w:r>
        <w:rPr>
          <w:rFonts w:hint="eastAsia" w:hAnsi="宋体" w:cs="宋体"/>
          <w:color w:val="auto"/>
          <w:sz w:val="24"/>
          <w:szCs w:val="24"/>
          <w:highlight w:val="none"/>
        </w:rPr>
        <w:t>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不强制投标人提交备份投标文件。</w:t>
      </w:r>
    </w:p>
    <w:p w14:paraId="173564A0">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ascii="宋体" w:hAnsi="宋体" w:eastAsia="宋体" w:cs="宋体"/>
          <w:snapToGrid w:val="0"/>
          <w:color w:val="auto"/>
          <w:kern w:val="28"/>
          <w:sz w:val="24"/>
          <w:highlight w:val="none"/>
        </w:rPr>
        <w:t>U盘存储</w:t>
      </w:r>
      <w:r>
        <w:rPr>
          <w:rFonts w:hint="eastAsia" w:hAnsi="宋体" w:cs="宋体"/>
          <w:color w:val="auto"/>
          <w:sz w:val="24"/>
          <w:highlight w:val="none"/>
          <w:lang w:val="en-US" w:eastAsia="zh-CN"/>
        </w:rPr>
        <w:t>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06FC30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15.3直接提交备份投标文件的，投标人应于投标截止时间前在招标文件第二部分投标人须知前附表载明地点将备份投标文件提交给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67902AE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w:t>
      </w:r>
      <w:r>
        <w:rPr>
          <w:rFonts w:hint="eastAsia" w:hAnsi="宋体" w:cs="宋体"/>
          <w:color w:val="auto"/>
          <w:sz w:val="24"/>
          <w:szCs w:val="24"/>
          <w:highlight w:val="none"/>
          <w:lang w:val="en-US" w:eastAsia="zh-CN"/>
        </w:rPr>
        <w:t>邮寄</w:t>
      </w:r>
      <w:r>
        <w:rPr>
          <w:rFonts w:hint="eastAsia" w:hAnsi="宋体" w:cs="宋体"/>
          <w:color w:val="auto"/>
          <w:sz w:val="24"/>
          <w:szCs w:val="24"/>
          <w:highlight w:val="none"/>
        </w:rPr>
        <w:t>方式递交备份投标文件的，投标人应先将备份投标文件按要求密封和标记，再进行</w:t>
      </w:r>
      <w:r>
        <w:rPr>
          <w:rFonts w:hint="eastAsia" w:hAnsi="宋体" w:cs="宋体"/>
          <w:color w:val="auto"/>
          <w:sz w:val="24"/>
          <w:szCs w:val="24"/>
          <w:highlight w:val="none"/>
          <w:lang w:val="en-US" w:eastAsia="zh-CN"/>
        </w:rPr>
        <w:t>邮件外</w:t>
      </w:r>
      <w:r>
        <w:rPr>
          <w:rFonts w:hint="eastAsia" w:hAnsi="宋体" w:cs="宋体"/>
          <w:color w:val="auto"/>
          <w:sz w:val="24"/>
          <w:szCs w:val="24"/>
          <w:highlight w:val="none"/>
        </w:rPr>
        <w:t>包装后邮寄。备份投标文件须在招标文件第二部分投标人须知前附表规定截止时间之前送达到规定的地点</w:t>
      </w:r>
      <w:r>
        <w:rPr>
          <w:rFonts w:hint="eastAsia" w:hAnsi="宋体" w:cs="宋体"/>
          <w:snapToGrid/>
          <w:color w:val="auto"/>
          <w:sz w:val="24"/>
          <w:szCs w:val="24"/>
          <w:highlight w:val="none"/>
        </w:rPr>
        <w:t>；</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1884D8C8">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611DB52">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EA62735">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3B9D2720">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62A5BD5">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17.1投标有效期为从提交投标文件的截止之日起90天。</w:t>
      </w:r>
    </w:p>
    <w:p w14:paraId="1839F112">
      <w:pPr>
        <w:spacing w:line="360" w:lineRule="auto"/>
        <w:ind w:firstLine="420" w:firstLineChars="200"/>
        <w:rPr>
          <w:rFonts w:ascii="宋体" w:hAnsi="宋体" w:cs="宋体"/>
          <w:b/>
          <w:color w:val="auto"/>
          <w:sz w:val="24"/>
          <w:szCs w:val="21"/>
          <w:highlight w:val="none"/>
        </w:rPr>
      </w:pPr>
      <w:r>
        <w:rPr>
          <w:rFonts w:hint="eastAsia" w:ascii="宋体" w:hAnsi="宋体" w:cs="宋体"/>
          <w:bCs/>
          <w:color w:val="auto"/>
          <w:szCs w:val="21"/>
          <w:highlight w:val="none"/>
          <w:lang w:eastAsia="zh-CN"/>
        </w:rPr>
        <w:t>▲</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ACA2BA9">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4C85824">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14E1D418">
      <w:pPr>
        <w:pStyle w:val="133"/>
        <w:spacing w:before="0"/>
        <w:ind w:firstLine="643"/>
        <w:rPr>
          <w:rFonts w:ascii="宋体" w:hAnsi="宋体" w:cs="宋体"/>
          <w:b/>
          <w:color w:val="auto"/>
          <w:sz w:val="32"/>
          <w:highlight w:val="none"/>
        </w:rPr>
      </w:pPr>
    </w:p>
    <w:p w14:paraId="294EFB40">
      <w:pPr>
        <w:pStyle w:val="133"/>
        <w:spacing w:before="0"/>
        <w:ind w:firstLine="1928" w:firstLineChars="600"/>
        <w:outlineLvl w:val="1"/>
        <w:rPr>
          <w:rFonts w:ascii="宋体" w:hAnsi="宋体" w:cs="宋体"/>
          <w:b/>
          <w:color w:val="auto"/>
          <w:sz w:val="32"/>
          <w:highlight w:val="none"/>
        </w:rPr>
      </w:pPr>
      <w:bookmarkStart w:id="39" w:name="_Toc24357"/>
      <w:r>
        <w:rPr>
          <w:rFonts w:hint="eastAsia" w:ascii="宋体" w:hAnsi="宋体" w:cs="宋体"/>
          <w:b/>
          <w:color w:val="auto"/>
          <w:sz w:val="32"/>
          <w:highlight w:val="none"/>
        </w:rPr>
        <w:t>四、开标、资格审查与信用信息查询</w:t>
      </w:r>
      <w:bookmarkEnd w:id="39"/>
    </w:p>
    <w:p w14:paraId="5316AB63">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0DCE651">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B38AC18">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3742ABD6">
      <w:pPr>
        <w:pStyle w:val="556"/>
        <w:spacing w:before="0" w:line="360" w:lineRule="auto"/>
        <w:ind w:left="0" w:firstLine="241" w:firstLineChars="100"/>
        <w:contextualSpacing/>
        <w:rPr>
          <w:rFonts w:ascii="宋体" w:hAnsi="宋体" w:cs="宋体"/>
          <w:b/>
          <w:color w:val="auto"/>
          <w:sz w:val="24"/>
          <w:highlight w:val="none"/>
        </w:rPr>
      </w:pPr>
      <w:r>
        <w:rPr>
          <w:rFonts w:hint="eastAsia" w:ascii="宋体" w:hAnsi="宋体" w:cs="宋体"/>
          <w:b/>
          <w:bCs/>
          <w:color w:val="auto"/>
          <w:sz w:val="24"/>
          <w:highlight w:val="none"/>
        </w:rPr>
        <w:t>　18.3投标</w:t>
      </w:r>
      <w:r>
        <w:rPr>
          <w:rFonts w:hint="eastAsia" w:ascii="宋体" w:hAnsi="宋体" w:cs="宋体"/>
          <w:b/>
          <w:color w:val="auto"/>
          <w:sz w:val="24"/>
          <w:highlight w:val="none"/>
        </w:rPr>
        <w:t>文件未按时解密，投标人提供了备份投标文件的，以备份投标文件作为依据，否则视为投标文件撤回。投标文件已按时解密的，备份投标文件自动失效。</w:t>
      </w:r>
    </w:p>
    <w:p w14:paraId="14CE1344">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6E0E54E2">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0A75F240">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B7E5961">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4D9C171C">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51C2A47">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715B55E6">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62E1DDC9">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9E620A6">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w:t>
      </w:r>
      <w:r>
        <w:rPr>
          <w:rFonts w:hint="eastAsia" w:ascii="宋体" w:hAnsi="宋体" w:eastAsia="宋体" w:cs="宋体"/>
          <w:color w:val="auto"/>
          <w:sz w:val="24"/>
          <w:highlight w:val="none"/>
          <w:lang w:val="en-US" w:eastAsia="zh-CN"/>
        </w:rPr>
        <w:t>重大税收违法失信主体</w:t>
      </w:r>
      <w:r>
        <w:rPr>
          <w:rFonts w:hint="eastAsia" w:ascii="宋体" w:hAnsi="宋体" w:cs="宋体"/>
          <w:color w:val="auto"/>
          <w:kern w:val="0"/>
          <w:szCs w:val="24"/>
          <w:highlight w:val="none"/>
        </w:rPr>
        <w:t>、政府采购严重违法失信行为记录名单的投标人将被拒绝参与政府采购活动。</w:t>
      </w:r>
    </w:p>
    <w:p w14:paraId="167339E5">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9236806">
      <w:pPr>
        <w:pStyle w:val="133"/>
        <w:spacing w:before="0"/>
        <w:ind w:firstLine="0" w:firstLineChars="0"/>
        <w:rPr>
          <w:rFonts w:ascii="宋体" w:hAnsi="宋体" w:cs="宋体"/>
          <w:color w:val="auto"/>
          <w:kern w:val="0"/>
          <w:szCs w:val="24"/>
          <w:highlight w:val="none"/>
        </w:rPr>
      </w:pPr>
    </w:p>
    <w:p w14:paraId="68DA60A1">
      <w:pPr>
        <w:snapToGrid w:val="0"/>
        <w:spacing w:line="360" w:lineRule="auto"/>
        <w:jc w:val="center"/>
        <w:outlineLvl w:val="1"/>
        <w:rPr>
          <w:rFonts w:ascii="宋体" w:hAnsi="宋体" w:cs="宋体"/>
          <w:b/>
          <w:color w:val="auto"/>
          <w:sz w:val="36"/>
          <w:szCs w:val="36"/>
          <w:highlight w:val="none"/>
        </w:rPr>
      </w:pPr>
      <w:bookmarkStart w:id="40" w:name="_Toc23139"/>
      <w:r>
        <w:rPr>
          <w:rFonts w:hint="eastAsia" w:ascii="宋体" w:hAnsi="宋体" w:cs="宋体"/>
          <w:b/>
          <w:color w:val="auto"/>
          <w:sz w:val="36"/>
          <w:szCs w:val="36"/>
          <w:highlight w:val="none"/>
        </w:rPr>
        <w:t>五、评标</w:t>
      </w:r>
      <w:bookmarkEnd w:id="40"/>
    </w:p>
    <w:p w14:paraId="703E3917">
      <w:pPr>
        <w:spacing w:line="360" w:lineRule="auto"/>
        <w:rPr>
          <w:rFonts w:hint="eastAsia" w:ascii="宋体" w:hAnsi="宋体" w:cs="宋体"/>
          <w:color w:val="auto"/>
          <w:sz w:val="24"/>
          <w:highlight w:val="none"/>
        </w:rPr>
      </w:pPr>
      <w:bookmarkStart w:id="41" w:name="_Toc91899903"/>
      <w:r>
        <w:rPr>
          <w:rFonts w:hint="eastAsia" w:ascii="宋体" w:hAnsi="宋体" w:cs="宋体"/>
          <w:b w:val="0"/>
          <w:bCs/>
          <w:color w:val="auto"/>
          <w:sz w:val="24"/>
          <w:highlight w:val="none"/>
        </w:rPr>
        <w:t>21.</w:t>
      </w:r>
      <w:r>
        <w:rPr>
          <w:rFonts w:hint="eastAsia" w:ascii="宋体" w:hAnsi="宋体" w:cs="宋体"/>
          <w:b w:val="0"/>
          <w:bCs/>
          <w:color w:val="auto"/>
          <w:highlight w:val="none"/>
        </w:rPr>
        <w:t xml:space="preserve"> </w:t>
      </w:r>
      <w:r>
        <w:rPr>
          <w:rFonts w:hint="eastAsia" w:ascii="宋体" w:hAnsi="宋体" w:cs="宋体"/>
          <w:b w:val="0"/>
          <w:bCs/>
          <w:color w:val="auto"/>
          <w:sz w:val="24"/>
          <w:highlight w:val="none"/>
        </w:rPr>
        <w:t>评</w:t>
      </w:r>
      <w:r>
        <w:rPr>
          <w:rFonts w:hint="eastAsia" w:ascii="宋体" w:hAnsi="宋体" w:cs="宋体"/>
          <w:color w:val="auto"/>
          <w:sz w:val="24"/>
          <w:highlight w:val="none"/>
        </w:rPr>
        <w:t>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380FF6B1">
      <w:pPr>
        <w:spacing w:line="360" w:lineRule="auto"/>
        <w:rPr>
          <w:rFonts w:ascii="宋体" w:hAnsi="宋体" w:cs="宋体"/>
          <w:b/>
          <w:color w:val="auto"/>
          <w:sz w:val="24"/>
          <w:highlight w:val="none"/>
        </w:rPr>
      </w:pPr>
      <w:r>
        <w:rPr>
          <w:rFonts w:hint="eastAsia" w:ascii="宋体" w:hAnsi="宋体" w:cs="宋体"/>
          <w:b/>
          <w:color w:val="auto"/>
          <w:sz w:val="24"/>
          <w:highlight w:val="none"/>
        </w:rPr>
        <w:t>详见招标文件第四部分评标办法。</w:t>
      </w:r>
    </w:p>
    <w:p w14:paraId="2FB5CC55">
      <w:pPr>
        <w:spacing w:line="360" w:lineRule="auto"/>
        <w:rPr>
          <w:rFonts w:ascii="宋体" w:hAnsi="宋体" w:cs="宋体"/>
          <w:b/>
          <w:color w:val="auto"/>
          <w:sz w:val="24"/>
          <w:highlight w:val="none"/>
        </w:rPr>
      </w:pPr>
    </w:p>
    <w:p w14:paraId="623F3875">
      <w:pPr>
        <w:snapToGrid w:val="0"/>
        <w:spacing w:line="360" w:lineRule="auto"/>
        <w:jc w:val="center"/>
        <w:outlineLvl w:val="1"/>
        <w:rPr>
          <w:rFonts w:ascii="宋体" w:hAnsi="宋体" w:cs="宋体"/>
          <w:b/>
          <w:color w:val="auto"/>
          <w:sz w:val="36"/>
          <w:szCs w:val="36"/>
          <w:highlight w:val="none"/>
        </w:rPr>
      </w:pPr>
      <w:bookmarkStart w:id="42" w:name="_Toc32708"/>
      <w:r>
        <w:rPr>
          <w:rFonts w:hint="eastAsia" w:ascii="宋体" w:hAnsi="宋体" w:cs="宋体"/>
          <w:b/>
          <w:color w:val="auto"/>
          <w:sz w:val="36"/>
          <w:szCs w:val="36"/>
          <w:highlight w:val="none"/>
        </w:rPr>
        <w:t>六、定 标</w:t>
      </w:r>
      <w:bookmarkEnd w:id="42"/>
    </w:p>
    <w:p w14:paraId="07BCCDB9">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5679522">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个工作日内在线确定中标或者成交供应商。中标、成交通知书和中标、成交结果公告应当在规定时间内同时发出。</w:t>
      </w:r>
    </w:p>
    <w:p w14:paraId="4F7CD809">
      <w:pPr>
        <w:pStyle w:val="133"/>
        <w:numPr>
          <w:ilvl w:val="0"/>
          <w:numId w:val="1"/>
        </w:numPr>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中标通知与中标结果公告</w:t>
      </w:r>
    </w:p>
    <w:p w14:paraId="22BFF702">
      <w:pPr>
        <w:pStyle w:val="133"/>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.1自中标人确定之日起2个工作日内，采购代理机构通过电子交易平台向中标人发出中标通知书，同时编制发布采购结果公告。采购代理机构也可以以纸质形式进行中标通知。</w:t>
      </w:r>
    </w:p>
    <w:p w14:paraId="3A6E5F43">
      <w:pPr>
        <w:pStyle w:val="133"/>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.2中标结果公告内容包括采购人及其委托的采购代理机构的名称、地址、联系方式，项目名称和项目编号，中标人名称、地址和中标金额，主要中标标的的名称、</w:t>
      </w:r>
      <w:r>
        <w:rPr>
          <w:rFonts w:hint="eastAsia" w:ascii="宋体" w:hAnsi="宋体" w:cs="宋体"/>
          <w:color w:val="auto"/>
          <w:szCs w:val="24"/>
          <w:highlight w:val="none"/>
          <w:lang w:val="en-US" w:eastAsia="zh-CN"/>
        </w:rPr>
        <w:t>服务要求</w:t>
      </w:r>
      <w:r>
        <w:rPr>
          <w:rFonts w:hint="eastAsia" w:ascii="宋体" w:hAnsi="宋体" w:eastAsia="宋体" w:cs="宋体"/>
          <w:color w:val="auto"/>
          <w:szCs w:val="24"/>
          <w:highlight w:val="none"/>
          <w:lang w:val="en-US" w:eastAsia="zh-CN"/>
        </w:rPr>
        <w:t>或者标的基本概况</w:t>
      </w:r>
      <w:r>
        <w:rPr>
          <w:rFonts w:hint="eastAsia" w:ascii="宋体" w:hAnsi="宋体" w:cs="宋体"/>
          <w:color w:val="auto"/>
          <w:szCs w:val="24"/>
          <w:highlight w:val="none"/>
          <w:lang w:val="en-US" w:eastAsia="zh-CN"/>
        </w:rPr>
        <w:t>等</w:t>
      </w:r>
      <w:r>
        <w:rPr>
          <w:rFonts w:hint="eastAsia" w:ascii="宋体" w:hAnsi="宋体" w:eastAsia="宋体" w:cs="宋体"/>
          <w:color w:val="auto"/>
          <w:szCs w:val="24"/>
          <w:highlight w:val="none"/>
        </w:rPr>
        <w:t>、中标公告期限以及评审专家名单、评分汇总及明细。</w:t>
      </w:r>
    </w:p>
    <w:p w14:paraId="65027D09">
      <w:pPr>
        <w:pStyle w:val="133"/>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.3公告期限为1个工作日。</w:t>
      </w:r>
    </w:p>
    <w:p w14:paraId="5472571C">
      <w:pPr>
        <w:snapToGrid w:val="0"/>
        <w:spacing w:line="360" w:lineRule="auto"/>
        <w:ind w:left="120" w:leftChars="57" w:firstLine="482" w:firstLineChars="150"/>
        <w:jc w:val="center"/>
        <w:rPr>
          <w:rFonts w:ascii="宋体" w:hAnsi="宋体" w:cs="宋体"/>
          <w:b/>
          <w:color w:val="auto"/>
          <w:sz w:val="32"/>
          <w:highlight w:val="none"/>
        </w:rPr>
      </w:pPr>
    </w:p>
    <w:p w14:paraId="0C920E0C">
      <w:pPr>
        <w:snapToGrid w:val="0"/>
        <w:spacing w:line="360" w:lineRule="auto"/>
        <w:ind w:left="120" w:leftChars="57" w:firstLine="482" w:firstLineChars="150"/>
        <w:jc w:val="center"/>
        <w:outlineLvl w:val="1"/>
        <w:rPr>
          <w:rFonts w:ascii="宋体" w:hAnsi="宋体" w:cs="宋体"/>
          <w:b/>
          <w:color w:val="auto"/>
          <w:sz w:val="32"/>
          <w:highlight w:val="none"/>
        </w:rPr>
      </w:pPr>
      <w:bookmarkStart w:id="43" w:name="_Toc22272"/>
      <w:r>
        <w:rPr>
          <w:rFonts w:hint="eastAsia" w:ascii="宋体" w:hAnsi="宋体" w:cs="宋体"/>
          <w:b/>
          <w:color w:val="auto"/>
          <w:sz w:val="32"/>
          <w:highlight w:val="none"/>
        </w:rPr>
        <w:t>七、合同授予</w:t>
      </w:r>
      <w:bookmarkEnd w:id="43"/>
    </w:p>
    <w:p w14:paraId="381BCF99">
      <w:pPr>
        <w:pStyle w:val="24"/>
        <w:spacing w:line="360" w:lineRule="auto"/>
        <w:ind w:left="479" w:hanging="479" w:hangingChars="199"/>
        <w:rPr>
          <w:rFonts w:cs="宋体"/>
          <w:b/>
          <w:bCs w:val="0"/>
          <w:color w:val="auto"/>
          <w:highlight w:val="none"/>
        </w:rPr>
      </w:pPr>
      <w:r>
        <w:rPr>
          <w:rFonts w:hint="eastAsia" w:cs="宋体"/>
          <w:b/>
          <w:bCs w:val="0"/>
          <w:color w:val="auto"/>
          <w:highlight w:val="none"/>
        </w:rPr>
        <w:t>24. 合同主要条款详见第五部分拟签订的合同文本。</w:t>
      </w:r>
    </w:p>
    <w:p w14:paraId="196365EF">
      <w:pPr>
        <w:pStyle w:val="24"/>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78170FA5">
      <w:pPr>
        <w:pStyle w:val="133"/>
        <w:spacing w:before="0"/>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25.1 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4D73ACA4">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3F3764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FA7125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D00E675">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F3F6EF3">
      <w:pPr>
        <w:pStyle w:val="24"/>
        <w:spacing w:line="360" w:lineRule="auto"/>
        <w:ind w:left="479" w:hanging="479" w:hangingChars="199"/>
        <w:rPr>
          <w:rFonts w:hint="eastAsia" w:eastAsia="宋体" w:cs="宋体"/>
          <w:b/>
          <w:color w:val="auto"/>
          <w:highlight w:val="none"/>
          <w:lang w:eastAsia="zh-CN"/>
        </w:rPr>
      </w:pPr>
      <w:r>
        <w:rPr>
          <w:rFonts w:hint="eastAsia" w:cs="宋体"/>
          <w:b/>
          <w:color w:val="auto"/>
          <w:highlight w:val="none"/>
        </w:rPr>
        <w:t>26. 履约保证金</w:t>
      </w:r>
      <w:r>
        <w:rPr>
          <w:rFonts w:hint="eastAsia" w:cs="宋体"/>
          <w:b/>
          <w:color w:val="auto"/>
          <w:highlight w:val="none"/>
          <w:lang w:eastAsia="zh-CN"/>
        </w:rPr>
        <w:t>（</w:t>
      </w:r>
      <w:r>
        <w:rPr>
          <w:rFonts w:hint="eastAsia" w:cs="宋体"/>
          <w:b/>
          <w:color w:val="auto"/>
          <w:highlight w:val="none"/>
          <w:lang w:val="en-US" w:eastAsia="zh-CN"/>
        </w:rPr>
        <w:t>如有</w:t>
      </w:r>
      <w:r>
        <w:rPr>
          <w:rFonts w:hint="eastAsia" w:cs="宋体"/>
          <w:b/>
          <w:color w:val="auto"/>
          <w:highlight w:val="none"/>
          <w:lang w:eastAsia="zh-CN"/>
        </w:rPr>
        <w:t>）</w:t>
      </w:r>
    </w:p>
    <w:p w14:paraId="234030D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w:t>
      </w:r>
      <w:r>
        <w:rPr>
          <w:rFonts w:hint="eastAsia" w:ascii="宋体" w:hAnsi="宋体" w:cs="宋体"/>
          <w:color w:val="auto"/>
          <w:kern w:val="0"/>
          <w:sz w:val="24"/>
          <w:highlight w:val="none"/>
          <w:lang w:val="en-US" w:eastAsia="zh-CN"/>
        </w:rPr>
        <w:t>如</w:t>
      </w:r>
      <w:r>
        <w:rPr>
          <w:rFonts w:hint="eastAsia" w:ascii="宋体" w:hAnsi="宋体" w:cs="宋体"/>
          <w:color w:val="auto"/>
          <w:kern w:val="0"/>
          <w:sz w:val="24"/>
          <w:highlight w:val="none"/>
        </w:rPr>
        <w:t>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p>
    <w:p w14:paraId="0CE1D56D">
      <w:pPr>
        <w:pStyle w:val="3"/>
        <w:ind w:left="0" w:firstLine="480" w:firstLineChars="200"/>
        <w:rPr>
          <w:rFonts w:ascii="宋体" w:hAnsi="宋体" w:eastAsia="宋体" w:cs="宋体"/>
          <w:b w:val="0"/>
          <w:bCs w:val="0"/>
          <w:snapToGrid w:val="0"/>
          <w:color w:val="auto"/>
          <w:kern w:val="28"/>
          <w:sz w:val="24"/>
          <w:highlight w:val="none"/>
        </w:rPr>
      </w:pPr>
      <w:bookmarkStart w:id="44" w:name="_Toc5410"/>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44"/>
    </w:p>
    <w:p w14:paraId="2FDF4D27">
      <w:pPr>
        <w:rPr>
          <w:color w:val="auto"/>
          <w:highlight w:val="none"/>
        </w:rPr>
      </w:pPr>
    </w:p>
    <w:p w14:paraId="078628D3">
      <w:pPr>
        <w:rPr>
          <w:rFonts w:hint="eastAsia" w:ascii="宋体" w:hAnsi="宋体" w:cs="宋体"/>
          <w:b/>
          <w:color w:val="auto"/>
          <w:sz w:val="32"/>
          <w:highlight w:val="none"/>
        </w:rPr>
      </w:pPr>
      <w:bookmarkStart w:id="45" w:name="_Toc362"/>
    </w:p>
    <w:p w14:paraId="175353CF">
      <w:pPr>
        <w:snapToGrid w:val="0"/>
        <w:spacing w:line="360" w:lineRule="auto"/>
        <w:jc w:val="center"/>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bookmarkEnd w:id="45"/>
    </w:p>
    <w:p w14:paraId="767B6FE8">
      <w:pPr>
        <w:pStyle w:val="133"/>
        <w:snapToGrid w:val="0"/>
        <w:spacing w:before="0"/>
        <w:ind w:firstLine="0" w:firstLineChars="0"/>
        <w:rPr>
          <w:rFonts w:ascii="宋体" w:hAnsi="宋体" w:cs="宋体"/>
          <w:color w:val="auto"/>
          <w:highlight w:val="none"/>
        </w:rPr>
      </w:pPr>
      <w:r>
        <w:rPr>
          <w:rFonts w:hint="eastAsia" w:ascii="宋体" w:hAnsi="宋体" w:cs="宋体"/>
          <w:b/>
          <w:bCs/>
          <w:color w:val="auto"/>
          <w:kern w:val="2"/>
          <w:sz w:val="24"/>
          <w:szCs w:val="20"/>
          <w:highlight w:val="none"/>
          <w:lang w:val="en-US" w:eastAsia="zh-CN"/>
        </w:rPr>
        <w:t>27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DA4233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.1电子交易平台发生故障而无法登录访问的； </w:t>
      </w:r>
    </w:p>
    <w:p w14:paraId="5509DBFD">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.2电子交易平台应用或数据库出现错误，不能进行正常操作的；</w:t>
      </w:r>
    </w:p>
    <w:p w14:paraId="538E2A2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.3电子交易平台发现严重安全漏洞，有潜在泄密危险的；</w:t>
      </w:r>
    </w:p>
    <w:p w14:paraId="4CC780A3">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.4病毒发作导致不能进行正常操作的； </w:t>
      </w:r>
    </w:p>
    <w:p w14:paraId="52E24B2B">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.5其他无法保证电子交易的公平、公正和安全的情况。</w:t>
      </w:r>
    </w:p>
    <w:p w14:paraId="0E3E91F5">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8</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E2015C3">
      <w:pPr>
        <w:tabs>
          <w:tab w:val="left" w:pos="0"/>
        </w:tabs>
        <w:spacing w:line="360" w:lineRule="auto"/>
        <w:ind w:firstLine="480"/>
        <w:rPr>
          <w:rFonts w:ascii="宋体" w:hAnsi="宋体" w:cs="宋体"/>
          <w:color w:val="auto"/>
          <w:sz w:val="24"/>
          <w:highlight w:val="none"/>
        </w:rPr>
      </w:pPr>
    </w:p>
    <w:p w14:paraId="0CCD5FF1">
      <w:pPr>
        <w:snapToGrid w:val="0"/>
        <w:spacing w:line="360" w:lineRule="auto"/>
        <w:ind w:left="120" w:leftChars="57" w:firstLine="482" w:firstLineChars="150"/>
        <w:jc w:val="center"/>
        <w:outlineLvl w:val="1"/>
        <w:rPr>
          <w:rFonts w:ascii="宋体" w:hAnsi="宋体" w:cs="宋体"/>
          <w:b/>
          <w:color w:val="auto"/>
          <w:sz w:val="32"/>
          <w:highlight w:val="none"/>
        </w:rPr>
      </w:pPr>
      <w:bookmarkStart w:id="46" w:name="_Toc12798"/>
      <w:r>
        <w:rPr>
          <w:rFonts w:hint="eastAsia" w:ascii="宋体" w:hAnsi="宋体" w:cs="宋体"/>
          <w:b/>
          <w:color w:val="auto"/>
          <w:sz w:val="32"/>
          <w:highlight w:val="none"/>
        </w:rPr>
        <w:t>九、验收</w:t>
      </w:r>
      <w:bookmarkEnd w:id="46"/>
    </w:p>
    <w:p w14:paraId="7365BD0A">
      <w:pPr>
        <w:pStyle w:val="24"/>
        <w:spacing w:line="360" w:lineRule="auto"/>
        <w:ind w:firstLine="0" w:firstLineChars="0"/>
        <w:rPr>
          <w:rFonts w:cs="宋体"/>
          <w:b/>
          <w:color w:val="auto"/>
          <w:highlight w:val="none"/>
        </w:rPr>
      </w:pPr>
      <w:r>
        <w:rPr>
          <w:rFonts w:hint="eastAsia" w:cs="宋体"/>
          <w:b/>
          <w:color w:val="auto"/>
          <w:highlight w:val="none"/>
          <w:lang w:val="en-US" w:eastAsia="zh-CN"/>
        </w:rPr>
        <w:t>29</w:t>
      </w:r>
      <w:r>
        <w:rPr>
          <w:rFonts w:hint="eastAsia" w:cs="宋体"/>
          <w:b/>
          <w:color w:val="auto"/>
          <w:highlight w:val="none"/>
        </w:rPr>
        <w:t>.验收</w:t>
      </w:r>
    </w:p>
    <w:p w14:paraId="0FB4C91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A84CC3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07FD6ED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0B7B203">
      <w:pPr>
        <w:tabs>
          <w:tab w:val="left" w:pos="0"/>
        </w:tabs>
        <w:spacing w:line="360" w:lineRule="auto"/>
        <w:ind w:firstLine="480"/>
        <w:rPr>
          <w:rFonts w:ascii="宋体" w:hAnsi="宋体" w:cs="宋体"/>
          <w:color w:val="auto"/>
          <w:kern w:val="0"/>
          <w:sz w:val="24"/>
          <w:highlight w:val="none"/>
        </w:rPr>
        <w:sectPr>
          <w:headerReference r:id="rId4" w:type="first"/>
          <w:footerReference r:id="rId6" w:type="first"/>
          <w:headerReference r:id="rId3" w:type="default"/>
          <w:footerReference r:id="rId5" w:type="default"/>
          <w:pgSz w:w="11905" w:h="16838"/>
          <w:pgMar w:top="1134" w:right="1417" w:bottom="1134" w:left="141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1"/>
      <w:bookmarkStart w:id="47" w:name="_Hlt68073093"/>
      <w:bookmarkEnd w:id="47"/>
      <w:bookmarkStart w:id="48" w:name="_Hlt68072998"/>
      <w:bookmarkEnd w:id="48"/>
      <w:bookmarkStart w:id="49" w:name="_Hlt74730295"/>
      <w:bookmarkEnd w:id="49"/>
      <w:bookmarkStart w:id="50" w:name="_Hlt75236290"/>
      <w:bookmarkEnd w:id="50"/>
      <w:bookmarkStart w:id="51" w:name="_Hlt75236101"/>
      <w:bookmarkEnd w:id="51"/>
      <w:bookmarkStart w:id="52" w:name="_Hlt68057669"/>
      <w:bookmarkEnd w:id="52"/>
      <w:bookmarkStart w:id="53" w:name="_Hlt74714665"/>
      <w:bookmarkEnd w:id="53"/>
      <w:bookmarkStart w:id="54" w:name="_Hlt74729768"/>
      <w:bookmarkEnd w:id="54"/>
      <w:bookmarkStart w:id="55" w:name="_Hlt74707468"/>
      <w:bookmarkEnd w:id="55"/>
      <w:bookmarkStart w:id="56" w:name="_Hlt68403820"/>
      <w:bookmarkEnd w:id="56"/>
      <w:bookmarkStart w:id="57" w:name="_Hlt75236011"/>
      <w:bookmarkEnd w:id="57"/>
      <w:bookmarkStart w:id="58" w:name="_Hlt68072990"/>
      <w:bookmarkEnd w:id="58"/>
    </w:p>
    <w:bookmarkEnd w:id="29"/>
    <w:bookmarkEnd w:id="30"/>
    <w:p w14:paraId="5DC994D9">
      <w:pPr>
        <w:spacing w:line="360" w:lineRule="auto"/>
        <w:jc w:val="center"/>
        <w:outlineLvl w:val="0"/>
        <w:rPr>
          <w:rFonts w:ascii="宋体" w:hAnsi="宋体" w:cs="宋体"/>
          <w:b/>
          <w:color w:val="auto"/>
          <w:sz w:val="36"/>
          <w:szCs w:val="36"/>
          <w:highlight w:val="none"/>
        </w:rPr>
      </w:pPr>
      <w:bookmarkStart w:id="59" w:name="_Toc9424"/>
      <w:bookmarkStart w:id="60" w:name="_Toc17321"/>
      <w:bookmarkStart w:id="61" w:name="第四部分"/>
      <w:r>
        <w:rPr>
          <w:rFonts w:hint="eastAsia" w:ascii="宋体" w:hAnsi="宋体" w:cs="宋体"/>
          <w:b/>
          <w:color w:val="auto"/>
          <w:sz w:val="36"/>
          <w:szCs w:val="36"/>
          <w:highlight w:val="none"/>
        </w:rPr>
        <w:t>第三部分   采购需求</w:t>
      </w:r>
      <w:bookmarkEnd w:id="59"/>
      <w:bookmarkEnd w:id="60"/>
    </w:p>
    <w:p w14:paraId="719C7156">
      <w:pPr>
        <w:keepNext w:val="0"/>
        <w:keepLines w:val="0"/>
        <w:pageBreakBefore w:val="0"/>
        <w:widowControl w:val="0"/>
        <w:wordWrap/>
        <w:topLinePunct w:val="0"/>
        <w:bidi w:val="0"/>
        <w:adjustRightInd w:val="0"/>
        <w:snapToGrid w:val="0"/>
        <w:spacing w:line="360" w:lineRule="auto"/>
        <w:jc w:val="both"/>
        <w:textAlignment w:val="auto"/>
        <w:rPr>
          <w:rFonts w:hint="eastAsia" w:ascii="宋体" w:hAnsi="宋体" w:eastAsia="宋体" w:cs="宋体"/>
          <w:b/>
          <w:color w:val="auto"/>
          <w:sz w:val="24"/>
          <w:szCs w:val="24"/>
          <w:highlight w:val="none"/>
        </w:rPr>
      </w:pPr>
      <w:bookmarkStart w:id="62" w:name="_Toc22578"/>
      <w:bookmarkStart w:id="63" w:name="_Toc22878"/>
      <w:r>
        <w:rPr>
          <w:rFonts w:hint="eastAsia" w:ascii="宋体" w:hAnsi="宋体" w:cs="宋体"/>
          <w:b/>
          <w:color w:val="auto"/>
          <w:sz w:val="24"/>
          <w:szCs w:val="24"/>
          <w:highlight w:val="none"/>
          <w:lang w:val="en-US" w:eastAsia="zh-CN"/>
        </w:rPr>
        <w:t>一</w:t>
      </w:r>
      <w:r>
        <w:rPr>
          <w:rFonts w:hint="eastAsia" w:ascii="宋体" w:hAnsi="宋体" w:eastAsia="宋体" w:cs="宋体"/>
          <w:b/>
          <w:color w:val="auto"/>
          <w:sz w:val="24"/>
          <w:szCs w:val="24"/>
          <w:highlight w:val="none"/>
        </w:rPr>
        <w:t>、建设目标</w:t>
      </w:r>
    </w:p>
    <w:p w14:paraId="6612E98A">
      <w:pPr>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根据《智慧监管装备建设任务书》、《公安监管场所安全防范与信息管理系统技术要求》、《看守所技术建设规范》等有关规定，为贯彻落实公安部“基础智能化”战略，提升公安监管场所技防建设科技化、规范化、集成化水平，坚持“保障必需、实用高效、安全可靠”的原则，对镇海看守所智慧监管装备、监控、电教、监室外信息显示、会见、在押人员报告等系统进行改造。项目改造在充分利用现有装备设施和系统，充分依托和运用科信部门提供的基础保障能力上建立以强化安全保障为核心的防控体系，实现动态信息主导勤务、监管风险精准评估与有效管控、最大限度预防事故的发生。按照标准化、现代化的总体要求，建立健全装备建设和保障长效机制与配套制度，提高公安监管场所规范执法、安全文明管理水平，促进公安监管工作创新发展。</w:t>
      </w:r>
    </w:p>
    <w:p w14:paraId="09722646">
      <w:pPr>
        <w:numPr>
          <w:ilvl w:val="0"/>
          <w:numId w:val="2"/>
        </w:num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建设内容</w:t>
      </w:r>
    </w:p>
    <w:p w14:paraId="43167AD8">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本次镇海看守所智能化改造项目主要建设内容如下：</w:t>
      </w:r>
    </w:p>
    <w:p w14:paraId="58E5D48F">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1、智慧监管装备建设；</w:t>
      </w:r>
    </w:p>
    <w:p w14:paraId="1E09888F">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2、监控系统改造；</w:t>
      </w:r>
    </w:p>
    <w:p w14:paraId="5F6A07BF">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3、智能电子教育系统改造；</w:t>
      </w:r>
    </w:p>
    <w:p w14:paraId="36FCCAA4">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4、室外信息显示系统建设；</w:t>
      </w:r>
    </w:p>
    <w:p w14:paraId="52FFDB00">
      <w:pPr>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5、在押人员报告系统改造；</w:t>
      </w:r>
    </w:p>
    <w:p w14:paraId="3C833131">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6、家属会见系统改造；</w:t>
      </w:r>
    </w:p>
    <w:p w14:paraId="08BCAA57">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7、会议室改造。</w:t>
      </w:r>
    </w:p>
    <w:p w14:paraId="3DB86588">
      <w:pPr>
        <w:numPr>
          <w:ilvl w:val="0"/>
          <w:numId w:val="2"/>
        </w:numPr>
        <w:spacing w:line="360" w:lineRule="auto"/>
        <w:rPr>
          <w:rFonts w:hint="eastAsia" w:ascii="宋体" w:hAnsi="宋体" w:eastAsia="宋体" w:cs="宋体"/>
          <w:b/>
          <w:bCs/>
          <w:color w:val="auto"/>
          <w:sz w:val="24"/>
          <w:szCs w:val="24"/>
          <w:highlight w:val="none"/>
          <w:lang w:val="en-US" w:eastAsia="zh-CN"/>
        </w:rPr>
      </w:pPr>
      <w:bookmarkStart w:id="64" w:name="_Toc21746"/>
      <w:r>
        <w:rPr>
          <w:rFonts w:hint="eastAsia" w:ascii="宋体" w:hAnsi="宋体" w:eastAsia="宋体" w:cs="宋体"/>
          <w:b/>
          <w:bCs/>
          <w:color w:val="auto"/>
          <w:sz w:val="24"/>
          <w:szCs w:val="24"/>
          <w:highlight w:val="none"/>
          <w:lang w:val="en-US" w:eastAsia="zh-CN"/>
        </w:rPr>
        <w:t>标准规范</w:t>
      </w:r>
      <w:bookmarkEnd w:id="64"/>
    </w:p>
    <w:p w14:paraId="67737197">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《公安部大数据智能化建设规划设计总体需求书》(2018 年)；</w:t>
      </w:r>
    </w:p>
    <w:p w14:paraId="7382AA00">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《公安机关信息共享规定》(公通字[2015]6号)；</w:t>
      </w:r>
    </w:p>
    <w:p w14:paraId="6D25C6F9">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《公安云计算平台功能性要求》；</w:t>
      </w:r>
    </w:p>
    <w:p w14:paraId="69741E49">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《全国公安机关机构代码编制规则》；</w:t>
      </w:r>
    </w:p>
    <w:p w14:paraId="3458639C">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《公共安全视频监控联网系统信息传输、交换、控制技术要求》（GB/T28181-2016）；</w:t>
      </w:r>
    </w:p>
    <w:p w14:paraId="55602505">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《公安安全 人脸识别应用 图像技术要求》（GB/T35678-2017）；</w:t>
      </w:r>
    </w:p>
    <w:p w14:paraId="42FAA3F1">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《安全防范视频监控人脸识别系统技术要求》（GB/T31488-2015）；</w:t>
      </w:r>
    </w:p>
    <w:p w14:paraId="513D019F">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《公共安全视频监控数字视音频编解码技术测试规范》（GB/T 25724-2017）；</w:t>
      </w:r>
    </w:p>
    <w:p w14:paraId="6AB1A0C1">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《安全防范工程技术标准》（GB50348-2018）；</w:t>
      </w:r>
    </w:p>
    <w:p w14:paraId="5FF5738C">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《看守所建设标准》公安部2013年版；</w:t>
      </w:r>
    </w:p>
    <w:p w14:paraId="7847127C">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《看守所技术建设规范》（JJ 001-2002）；</w:t>
      </w:r>
    </w:p>
    <w:p w14:paraId="2835EF1B">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《看守所装备配备标准》（PB 003-2001）；</w:t>
      </w:r>
    </w:p>
    <w:p w14:paraId="75060CEE">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《公安监管场所安全防范与信息管理系统技术要求》（GA/T 1992-2022）；</w:t>
      </w:r>
    </w:p>
    <w:p w14:paraId="17126500">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《看守所监控系统建设规范 》（公监管[2009]189号）；</w:t>
      </w:r>
    </w:p>
    <w:p w14:paraId="20F4DA17">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《监所被监管人员信息管理系统功能》（GA 302-2001）；</w:t>
      </w:r>
    </w:p>
    <w:p w14:paraId="015B1E6F">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《综合布线系统工程设计规范》（GB50311-2019）；</w:t>
      </w:r>
    </w:p>
    <w:p w14:paraId="2229EF56">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《数据中心设计规范》（GB50174—2017）；</w:t>
      </w:r>
    </w:p>
    <w:p w14:paraId="71726DD2">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《公安监管场所装备建设和保障规范》（GA 1033—2013）；</w:t>
      </w:r>
    </w:p>
    <w:p w14:paraId="39D39F1E">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《浙江省公安监管实战平台建设标准（试行）》（浙公[2010]82号）；</w:t>
      </w:r>
    </w:p>
    <w:p w14:paraId="0B0E7844">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《浙江省公安视频信号共享平台解码插件管理规定》；</w:t>
      </w:r>
    </w:p>
    <w:p w14:paraId="3A402C47">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《信息技术安全技术 IT 网络安全》（GB/T 25068-2012）； </w:t>
      </w:r>
    </w:p>
    <w:p w14:paraId="2807A0BE">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《信息安全技术 网络安全等级保护基本要求》（GB/T 22239-2019）； </w:t>
      </w:r>
    </w:p>
    <w:p w14:paraId="098EE218">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《信息安全技术网络安全等级保护测评要求》（GB/T 28448-2019）； </w:t>
      </w:r>
    </w:p>
    <w:p w14:paraId="4B6EEA66">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《信息安全技术 网络安全等级保护定级指南》（GB/T 22240-2020）。</w:t>
      </w:r>
    </w:p>
    <w:p w14:paraId="3F03CD31">
      <w:pPr>
        <w:numPr>
          <w:ilvl w:val="0"/>
          <w:numId w:val="2"/>
        </w:num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采购清单</w:t>
      </w:r>
    </w:p>
    <w:tbl>
      <w:tblPr>
        <w:tblStyle w:val="6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43"/>
        <w:gridCol w:w="1121"/>
        <w:gridCol w:w="6525"/>
        <w:gridCol w:w="544"/>
        <w:gridCol w:w="548"/>
      </w:tblGrid>
      <w:tr w14:paraId="45DF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93" w:type="pct"/>
            <w:shd w:val="clear" w:color="auto" w:fill="808080"/>
            <w:vAlign w:val="center"/>
          </w:tcPr>
          <w:p w14:paraId="6916FDB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604" w:type="pct"/>
            <w:shd w:val="clear" w:color="auto" w:fill="808080"/>
            <w:vAlign w:val="center"/>
          </w:tcPr>
          <w:p w14:paraId="2AEE474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3515" w:type="pct"/>
            <w:shd w:val="clear" w:color="auto" w:fill="808080"/>
            <w:vAlign w:val="center"/>
          </w:tcPr>
          <w:p w14:paraId="66EF8D7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主要性能指标</w:t>
            </w:r>
          </w:p>
        </w:tc>
        <w:tc>
          <w:tcPr>
            <w:tcW w:w="293" w:type="pct"/>
            <w:shd w:val="clear" w:color="auto" w:fill="808080"/>
            <w:vAlign w:val="center"/>
          </w:tcPr>
          <w:p w14:paraId="211C4BF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293" w:type="pct"/>
            <w:shd w:val="clear" w:color="auto" w:fill="808080"/>
            <w:vAlign w:val="center"/>
          </w:tcPr>
          <w:p w14:paraId="01C1146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r>
      <w:tr w14:paraId="367B1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5"/>
            <w:shd w:val="clear" w:color="auto" w:fill="auto"/>
            <w:vAlign w:val="center"/>
          </w:tcPr>
          <w:p w14:paraId="2A8D677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一、智慧监管装备建设</w:t>
            </w:r>
          </w:p>
        </w:tc>
      </w:tr>
      <w:tr w14:paraId="5968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5"/>
            <w:shd w:val="clear" w:color="auto" w:fill="auto"/>
            <w:vAlign w:val="center"/>
          </w:tcPr>
          <w:p w14:paraId="3032CEB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1、监室智能终端</w:t>
            </w:r>
          </w:p>
        </w:tc>
      </w:tr>
      <w:tr w14:paraId="0700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112238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4" w:type="pct"/>
            <w:shd w:val="clear" w:color="auto" w:fill="auto"/>
            <w:vAlign w:val="center"/>
          </w:tcPr>
          <w:p w14:paraId="2B2D1F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监所智能终端</w:t>
            </w:r>
          </w:p>
        </w:tc>
        <w:tc>
          <w:tcPr>
            <w:tcW w:w="3515" w:type="pct"/>
            <w:shd w:val="clear" w:color="auto" w:fill="auto"/>
            <w:vAlign w:val="center"/>
          </w:tcPr>
          <w:p w14:paraId="19AFE2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外观描述：铝合金外壳，嵌入式安装；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1.主板性能：CPU:四核，主频的≥1.8GHz； 支持TE, ASTC, AFBC内存压缩技术；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内存：≥2G；LPDDR3；存储：≥16G EMMC存储，最大支持64GBT-flash存储卡扩展功能，通讯方式：10/100/1000M，自适应全双工网口；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★2.屏幕描述：内置主副屏双屏幕，可同时显示两个独立运行的 APP 应用；主屏可触摸：13.3英寸；分辨率1920*1080，主屏亮度：≥270 cd/m²，对比度：≥1500:1；副屏：3.5英寸，副屏亮度：≥100 cd/m²；（投标文件中提供具有CMA或CNAS标志的第三方检测报告扫描件并加盖投标人公章）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3.屏幕其他功能：屏幕支持0°、90°、180°、270°手动旋转；屏幕在熄屏状态下可以通过用户出现在测距传感器预设范围内唤醒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4.防暴等级：机械碰撞防护等级应符合GB/T20138-2006中IK10等级要求、外壳防护等级：应符合GB4208-2008中IP54的等级要求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5.摄像头：内置双摄像头，像素分别为 500 万像素和 100 万像素，摄像头抓拍图像分辨率：2592*1944分辨率，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★6.内置接口：终端内置红外测距模块、1个对讲按键、1个报警按键、2个RJ45网络接口、1个RS485接口、1个MICRO USB接口、1个MICROHDMI接口、补光灯，可控制补光灯开启或者关闭；测距传感器测量范围3cm-120cm。（投标文件中提供具有CMA或CNAS标志的第三方检测报告扫描件并加盖投标人公章）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7.独立网络对讲：具有2路对讲功能，独立的交互终端和对讲网络；断开其中任意一路，另一路依然可与对讲客户端进行音视频双向可视对讲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8.音频输出：终端设备前方1M处，内置扬声器播放最大声级≥75DB；对讲具有一键呼叫、广播、监听等功能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9.电源电压：电源电压在DC7V~25V范围内变化时，不需要调整仍能正常工作，具有防反接、短路、过压等保护功能，反接、短路、过压恢复后可正常工作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★10.终端需通过以下相关测试：（投标文件中提供具有CMA或CNAS标志的第三方检测报告扫描件并加盖投标人公章）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①.低温测试：温度-10℃±2℃、持续时间2h，样机处于工作状态，试验后样机应能正常工作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②.高温测试：温度55℃±2℃、持续时间2h，样机处于工作状态，试验后样机应能正常工作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③.初始振动响应测试：频率范围：5-35HZ，扫频速度：1oct/min,驱动振幅：0.15mm，循环次数不少于2次，试验后样机应能正常工作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④.碰撞试验：峰值加速度：不低于40m/s²，脉冲次序时间不少于15ms，碰撞次数不少于1000次，碰撞波形为半正弦波形，在X、Y、Z三轴向进行试验，样机处于非工作状态，试验后样机应能正常工作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⑤.静电放电抗干扰度测试：静电放电抗扰度限制符合GB/T 17626.2-2018中试验等级1的规定，试验后终端内存储数据应完整正常，设备工作正常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11.可实现声音、语音报警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12.与对讲主机或对讲客户端之间进行免提通话时应能有效抑制回声和噪音，双方不会在听简或扬声器中听到自己的声音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★13.终端能运行以下功能模块：（投标文件中提供具有CMA或CNAS标志的第三方检测报告扫描件并加盖投标人公章）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①副屏功能检测：在副屏中可展示监室号、监室属性、当前时间、作息内容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②万年历：可查看万年日历信息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③心情记录：可登记心情状况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④测温登记：被监管人员可通过测温模块进行体温填报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⑤设备报修功能：被监管人员可填写设备报修信息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⑥日常事务功能：终端通过后台事务计划自动进行广播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⑦出监所评测功能：被监管人员可填报出所评测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⑧电源控制：配合智能控制器，可实现电源的开启和关闭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⑨系统功能：支持定时重启、支持系统 USB、在线升级；支持看门狗，定时自动检测系统安全性</w:t>
            </w:r>
            <w:r>
              <w:rPr>
                <w:rFonts w:hint="eastAsia" w:ascii="宋体" w:hAnsi="宋体" w:cs="宋体"/>
                <w:i w:val="0"/>
                <w:iCs w:val="0"/>
                <w:color w:val="auto"/>
                <w:kern w:val="0"/>
                <w:sz w:val="21"/>
                <w:szCs w:val="21"/>
                <w:highlight w:val="none"/>
                <w:u w:val="none"/>
                <w:lang w:val="en-US" w:eastAsia="zh-CN" w:bidi="ar"/>
              </w:rPr>
              <w:t>。</w:t>
            </w:r>
          </w:p>
        </w:tc>
        <w:tc>
          <w:tcPr>
            <w:tcW w:w="293" w:type="pct"/>
            <w:shd w:val="clear" w:color="auto" w:fill="auto"/>
            <w:vAlign w:val="center"/>
          </w:tcPr>
          <w:p w14:paraId="3B521F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93" w:type="pct"/>
            <w:shd w:val="clear" w:color="auto" w:fill="auto"/>
            <w:vAlign w:val="center"/>
          </w:tcPr>
          <w:p w14:paraId="7A1665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2BB4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5"/>
            <w:shd w:val="clear" w:color="auto" w:fill="auto"/>
            <w:vAlign w:val="center"/>
          </w:tcPr>
          <w:p w14:paraId="15829F6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2、外出押解防脱逃</w:t>
            </w:r>
          </w:p>
        </w:tc>
      </w:tr>
      <w:tr w14:paraId="32DC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93" w:type="pct"/>
            <w:shd w:val="clear" w:color="auto" w:fill="auto"/>
            <w:vAlign w:val="center"/>
          </w:tcPr>
          <w:p w14:paraId="7DBAF1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4" w:type="pct"/>
            <w:vMerge w:val="restart"/>
            <w:shd w:val="clear" w:color="auto" w:fill="auto"/>
            <w:vAlign w:val="center"/>
          </w:tcPr>
          <w:p w14:paraId="29A721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防脱逃系统</w:t>
            </w:r>
          </w:p>
        </w:tc>
        <w:tc>
          <w:tcPr>
            <w:tcW w:w="3515" w:type="pct"/>
            <w:shd w:val="clear" w:color="auto" w:fill="auto"/>
            <w:vAlign w:val="center"/>
          </w:tcPr>
          <w:p w14:paraId="7FB8F7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摄像机：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1.摄像机采用广角镜头，水平视场角不低于100°，视频输出分辨率不低于1080P，抓拍分辨率不低于800万像素。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2.摄像机支持3G/4G、WIFI、蓝牙无线传输功能。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3.摄像机应支持红外夜视，在夜间可以看清不小于3米外的人物的面部特征。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4.为保障外出押解过程的连续记录存储，摄像机应内置不少于100G存储卡，720P（1M）视频本地存储时间不少于7天。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5.摄像机外壳防护等级应符合GB4208-2008中不低于IP67的要求。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6.支持与平台PTT语音对讲功能。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摄像机对存储的数据加以保护，存储的数据不应被本机或未经授权的上位机删除。</w:t>
            </w:r>
          </w:p>
        </w:tc>
        <w:tc>
          <w:tcPr>
            <w:tcW w:w="293" w:type="pct"/>
            <w:vMerge w:val="restart"/>
            <w:shd w:val="clear" w:color="auto" w:fill="auto"/>
            <w:vAlign w:val="center"/>
          </w:tcPr>
          <w:p w14:paraId="64265A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93" w:type="pct"/>
            <w:vMerge w:val="restart"/>
            <w:shd w:val="clear" w:color="auto" w:fill="auto"/>
            <w:vAlign w:val="center"/>
          </w:tcPr>
          <w:p w14:paraId="27FD59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537C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48D736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04" w:type="pct"/>
            <w:vMerge w:val="continue"/>
            <w:shd w:val="clear" w:color="auto" w:fill="auto"/>
            <w:vAlign w:val="center"/>
          </w:tcPr>
          <w:p w14:paraId="0733BD93">
            <w:pPr>
              <w:jc w:val="center"/>
              <w:rPr>
                <w:rFonts w:hint="eastAsia" w:ascii="宋体" w:hAnsi="宋体" w:eastAsia="宋体" w:cs="宋体"/>
                <w:i w:val="0"/>
                <w:iCs w:val="0"/>
                <w:color w:val="auto"/>
                <w:sz w:val="21"/>
                <w:szCs w:val="21"/>
                <w:highlight w:val="none"/>
                <w:u w:val="none"/>
              </w:rPr>
            </w:pPr>
          </w:p>
        </w:tc>
        <w:tc>
          <w:tcPr>
            <w:tcW w:w="3515" w:type="pct"/>
            <w:shd w:val="clear" w:color="auto" w:fill="auto"/>
            <w:vAlign w:val="center"/>
          </w:tcPr>
          <w:p w14:paraId="0B7D17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手持终端：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1.为保障押解全程系统保持正常工作，手持终端在电池电量不足发生电源欠压报警后应能保证工作状态 30min以上。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2.考虑到外出押解任务形式多变的特点，单台手持终端应支持看管不少于20个电子脚扣。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3.电子脚扣锁扣被非正常打开、固定带被剪断、脱离监管区域、与手持终端的距离超过设定距离、电池电量不足，应在3s内发出报警声，报警声级应大于80dB(A)。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为保障外出押解全程防脱逃，手持终端与电子脚扣应具备超出设定安全距离应发出报警声。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4.为保证系统先进性及可用性，手持终端与电子脚扣间应支持精准测距，手持终端可设置最大防逃安全距离为20m，1-20m以内最大误差≤±20cm。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5.为确保外出押解行程的可查可控，手持终端与电子脚扣支持GPS/北斗、WIFI、LBS定位。</w:t>
            </w:r>
          </w:p>
        </w:tc>
        <w:tc>
          <w:tcPr>
            <w:tcW w:w="293" w:type="pct"/>
            <w:vMerge w:val="continue"/>
            <w:shd w:val="clear" w:color="auto" w:fill="auto"/>
            <w:vAlign w:val="center"/>
          </w:tcPr>
          <w:p w14:paraId="23D38822">
            <w:pPr>
              <w:jc w:val="center"/>
              <w:rPr>
                <w:rFonts w:hint="eastAsia" w:ascii="宋体" w:hAnsi="宋体" w:eastAsia="宋体" w:cs="宋体"/>
                <w:i w:val="0"/>
                <w:iCs w:val="0"/>
                <w:color w:val="auto"/>
                <w:sz w:val="21"/>
                <w:szCs w:val="21"/>
                <w:highlight w:val="none"/>
                <w:u w:val="none"/>
              </w:rPr>
            </w:pPr>
          </w:p>
        </w:tc>
        <w:tc>
          <w:tcPr>
            <w:tcW w:w="293" w:type="pct"/>
            <w:vMerge w:val="continue"/>
            <w:shd w:val="clear" w:color="auto" w:fill="auto"/>
            <w:vAlign w:val="center"/>
          </w:tcPr>
          <w:p w14:paraId="3F7F3C6D">
            <w:pPr>
              <w:jc w:val="center"/>
              <w:rPr>
                <w:rFonts w:hint="eastAsia" w:ascii="宋体" w:hAnsi="宋体" w:eastAsia="宋体" w:cs="宋体"/>
                <w:i w:val="0"/>
                <w:iCs w:val="0"/>
                <w:color w:val="auto"/>
                <w:sz w:val="21"/>
                <w:szCs w:val="21"/>
                <w:highlight w:val="none"/>
                <w:u w:val="none"/>
              </w:rPr>
            </w:pPr>
          </w:p>
        </w:tc>
      </w:tr>
      <w:tr w14:paraId="5F72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6139E3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04" w:type="pct"/>
            <w:vMerge w:val="continue"/>
            <w:shd w:val="clear" w:color="auto" w:fill="auto"/>
            <w:vAlign w:val="center"/>
          </w:tcPr>
          <w:p w14:paraId="61C4EA4B">
            <w:pPr>
              <w:jc w:val="center"/>
              <w:rPr>
                <w:rFonts w:hint="eastAsia" w:ascii="宋体" w:hAnsi="宋体" w:eastAsia="宋体" w:cs="宋体"/>
                <w:i w:val="0"/>
                <w:iCs w:val="0"/>
                <w:color w:val="auto"/>
                <w:sz w:val="21"/>
                <w:szCs w:val="21"/>
                <w:highlight w:val="none"/>
                <w:u w:val="none"/>
              </w:rPr>
            </w:pPr>
          </w:p>
        </w:tc>
        <w:tc>
          <w:tcPr>
            <w:tcW w:w="3515" w:type="pct"/>
            <w:shd w:val="clear" w:color="auto" w:fill="auto"/>
            <w:vAlign w:val="center"/>
          </w:tcPr>
          <w:p w14:paraId="66A3B7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电子脚扣：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1.为保障押解全程系统保持正常工作，电子脚扣应支持不小于72h连续工作，并具备低电压报警提醒功能；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2.电子脚扣外壳防护等级应不低于IP67；</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3.电子脚扣采用金属合金设计，能够承受不小于1500N的拉力破坏；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4.电子脚扣支持GPS/北斗、WIFI、LBS定位；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5.满足公共安全行业标准GA 443-2014《电子脚扣系统》；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6.满足与监管装备接口对接。</w:t>
            </w:r>
          </w:p>
        </w:tc>
        <w:tc>
          <w:tcPr>
            <w:tcW w:w="293" w:type="pct"/>
            <w:vMerge w:val="continue"/>
            <w:shd w:val="clear" w:color="auto" w:fill="auto"/>
            <w:vAlign w:val="center"/>
          </w:tcPr>
          <w:p w14:paraId="6C2E538D">
            <w:pPr>
              <w:jc w:val="center"/>
              <w:rPr>
                <w:rFonts w:hint="eastAsia" w:ascii="宋体" w:hAnsi="宋体" w:eastAsia="宋体" w:cs="宋体"/>
                <w:i w:val="0"/>
                <w:iCs w:val="0"/>
                <w:color w:val="auto"/>
                <w:sz w:val="21"/>
                <w:szCs w:val="21"/>
                <w:highlight w:val="none"/>
                <w:u w:val="none"/>
              </w:rPr>
            </w:pPr>
          </w:p>
        </w:tc>
        <w:tc>
          <w:tcPr>
            <w:tcW w:w="293" w:type="pct"/>
            <w:vMerge w:val="continue"/>
            <w:shd w:val="clear" w:color="auto" w:fill="auto"/>
            <w:vAlign w:val="center"/>
          </w:tcPr>
          <w:p w14:paraId="47866C23">
            <w:pPr>
              <w:jc w:val="center"/>
              <w:rPr>
                <w:rFonts w:hint="eastAsia" w:ascii="宋体" w:hAnsi="宋体" w:eastAsia="宋体" w:cs="宋体"/>
                <w:i w:val="0"/>
                <w:iCs w:val="0"/>
                <w:color w:val="auto"/>
                <w:sz w:val="21"/>
                <w:szCs w:val="21"/>
                <w:highlight w:val="none"/>
                <w:u w:val="none"/>
              </w:rPr>
            </w:pPr>
          </w:p>
        </w:tc>
      </w:tr>
      <w:tr w14:paraId="4F69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5"/>
            <w:shd w:val="clear" w:color="auto" w:fill="auto"/>
            <w:vAlign w:val="center"/>
          </w:tcPr>
          <w:p w14:paraId="090CFA5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二、监控系统改造</w:t>
            </w:r>
          </w:p>
        </w:tc>
      </w:tr>
      <w:tr w14:paraId="0AC1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5"/>
            <w:shd w:val="clear" w:color="auto" w:fill="auto"/>
            <w:vAlign w:val="center"/>
          </w:tcPr>
          <w:p w14:paraId="6F08D98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1、前端设备</w:t>
            </w:r>
          </w:p>
        </w:tc>
      </w:tr>
      <w:tr w14:paraId="5CB5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93" w:type="pct"/>
            <w:shd w:val="clear" w:color="auto" w:fill="auto"/>
            <w:vAlign w:val="center"/>
          </w:tcPr>
          <w:p w14:paraId="5309CA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4" w:type="pct"/>
            <w:shd w:val="clear" w:color="auto" w:fill="auto"/>
            <w:vAlign w:val="center"/>
          </w:tcPr>
          <w:p w14:paraId="4047C5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监室全景摄像机</w:t>
            </w:r>
          </w:p>
        </w:tc>
        <w:tc>
          <w:tcPr>
            <w:tcW w:w="3515" w:type="pct"/>
            <w:shd w:val="clear" w:color="auto" w:fill="auto"/>
            <w:vAlign w:val="center"/>
          </w:tcPr>
          <w:p w14:paraId="004A57C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≥500W超广角红外半球摄像机；≥1/2.8" CMOS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1.最低照度：≤0.005lux（彩色模式）；≤0.001lux（黑白模式）；0lux（补光灯开启）；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2.调节角度：水平：0~355°，垂直：0~65°，旋转：0~355°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3.视场角：关闭矫畸变：水平：180°；垂直：145°；对角：180°；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4.矫畸变强度0（水平：50，垂直：50）：水平：142°；垂直：114°；对角：158°；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3.矫畸变强度50（水平：50，垂直：50）：水平：129°；垂直：106°；对角：139°；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6.矫畸变强度100（水平：50，垂直：50）：水平：115°；垂直：97°；对角：121°；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7.异常行为分析：支持徘徊检测、区域入侵、人员聚集、绊线入侵、攀高检测、单人独处、起身检测、离岗检测、停留检测、剧烈运动检测（打架），剧烈运动检测（打架）与其它规则互斥；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8.支持断网续传功能保证录像不丢失；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9.最大分辨率≥2560 × 1920，支持实时输出；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10支持图像远端放大，支持灵活的图像矫正；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设备支持开启、关闭畸变矫正功能，功能开启后畸变应有明显降低。畸变矫正支持等级1、等级2、等级3和自定义四种校正配置，当配置为自定义时，可分别调节校正强度、水平视场角、垂直视场角、远端放大等级。（投标文件中提供具有CMA或CNAS标志的第三方检测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12.支持H.265/H.264/MJPEG视频压缩算法，支持多级别视频质量配置、编码复杂度设置；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13.采用EXIR点阵式红外灯技术，照射距离最远可达20 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14.支持10 M/100 M自适应网口，支持CVBS输出；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15.支持最大256 GB MicroSD/MicroSDHC/MicroSDXC卡存储；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16.标配2个内置麦克风，1个内置扬声器，支持2路Line in输入，1路Line out输出；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★17.内置双MIC，支持双MIC噪声过滤；对讲过程中，可过滤稳态噪声。（投标文件中提供具有CMA或CNAS标志的第三方检测报告扫描件并加盖投标人公章）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18.支持IP67防护，支持IK10防暴；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19.宽动态：120 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20.供电方式：DC：12 V ± 20%，支持防反接保护功能；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21.PoE：802.3af，Type 1，Class 3。</w:t>
            </w:r>
          </w:p>
        </w:tc>
        <w:tc>
          <w:tcPr>
            <w:tcW w:w="293" w:type="pct"/>
            <w:shd w:val="clear" w:color="auto" w:fill="auto"/>
            <w:vAlign w:val="center"/>
          </w:tcPr>
          <w:p w14:paraId="6844A8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6E1752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r>
      <w:tr w14:paraId="516F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93" w:type="pct"/>
            <w:shd w:val="clear" w:color="auto" w:fill="auto"/>
            <w:vAlign w:val="center"/>
          </w:tcPr>
          <w:p w14:paraId="545D5D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04" w:type="pct"/>
            <w:shd w:val="clear" w:color="auto" w:fill="auto"/>
            <w:vAlign w:val="center"/>
          </w:tcPr>
          <w:p w14:paraId="05BD8F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全景防水摄像机</w:t>
            </w:r>
          </w:p>
        </w:tc>
        <w:tc>
          <w:tcPr>
            <w:tcW w:w="3515" w:type="pct"/>
            <w:shd w:val="clear" w:color="auto" w:fill="auto"/>
            <w:vAlign w:val="center"/>
          </w:tcPr>
          <w:p w14:paraId="02EDACB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≥500W超广角红外半球摄像机；1/2.8" CMOS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color w:val="auto"/>
                <w:highlight w:val="none"/>
                <w:lang w:val="en-US" w:eastAsia="zh-CN"/>
              </w:rPr>
              <w:t>1.</w:t>
            </w:r>
            <w:r>
              <w:rPr>
                <w:rFonts w:hint="eastAsia" w:ascii="宋体" w:hAnsi="宋体" w:eastAsia="宋体" w:cs="宋体"/>
                <w:i w:val="0"/>
                <w:iCs w:val="0"/>
                <w:color w:val="auto"/>
                <w:kern w:val="0"/>
                <w:sz w:val="21"/>
                <w:szCs w:val="21"/>
                <w:highlight w:val="none"/>
                <w:u w:val="none"/>
                <w:lang w:val="en-US" w:eastAsia="zh-CN" w:bidi="ar"/>
              </w:rPr>
              <w:t>调节角度：水平：0~355°，垂直：0~65°，旋转：0~355°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2.焦距&amp;视场角：鱼眼模式下：水平视场角：161°，垂直视场角：117°，对角视场角：180°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3.畸变校正等级1：水平视场角：124°，垂直视场角：91°，对角视场角：132°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4.畸变校正等级2：水平视场角：126°，垂直视场角：100°，对角视场角：132°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5.畸变校正等级3：水平视场角：123.5°，垂直视场角：96°，对角视场角：136°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6.支持起身，攀高，如厕超时，人数异常，离岗检测，放风场滞留，静坐，重点人员起身，站立起身等行为检测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7.支持断网续传功能保证录像不丢失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8.最大分辨率可达2560 × 1920，支持实时输出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9.支持图像远端放大，支持灵活的图像矫正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设备支持开启、关闭畸变矫正功能，功能开启后畸变应有明显降低。畸变矫正支持等级1、等级2、等级3和自定义四种校正配置，当配置为自定义时，可分别调节校正强度、水平视场角、垂直视场角、远端放大等级。（投标文件中提供具有CMA或CNAS标志的第三方检测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10.支持H.265/H.264/MJPEG视频压缩算法，支持多级别视频质量配置、编码复杂度设置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11.采用EXIR点阵式红外灯技术，照射距离最远可达20 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12.支持10 M/100 M自适应网口，支持CVBS输出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13.支持最大256 GB MicroSD/MicroSDHC/MicroSDXC卡存储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14.标配2个内置麦克风，1个内置扬声器，支持2路Line in输入，1路Line out输出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15.支持IP67防护，支持IK10防暴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16.最低照度：彩色：0.005 Lux @（F1.2，AGC ON），黑白：0.001 Lux @（F1.2，AGC ON），0 Lux with IR</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17.宽动态：120 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18.供电方式：DC：12 V ± 20%，支持防反接保护功能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19.PoE：802.3af，Type 1，Class 3</w:t>
            </w:r>
          </w:p>
        </w:tc>
        <w:tc>
          <w:tcPr>
            <w:tcW w:w="293" w:type="pct"/>
            <w:shd w:val="clear" w:color="auto" w:fill="auto"/>
            <w:vAlign w:val="center"/>
          </w:tcPr>
          <w:p w14:paraId="0D0004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52B3E0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14:paraId="6B59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7CBB02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04" w:type="pct"/>
            <w:shd w:val="clear" w:color="auto" w:fill="auto"/>
            <w:vAlign w:val="center"/>
          </w:tcPr>
          <w:p w14:paraId="4679B9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拾音器</w:t>
            </w:r>
          </w:p>
        </w:tc>
        <w:tc>
          <w:tcPr>
            <w:tcW w:w="3515" w:type="pct"/>
            <w:shd w:val="clear" w:color="auto" w:fill="auto"/>
            <w:vAlign w:val="center"/>
          </w:tcPr>
          <w:p w14:paraId="23CE719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1.拾音范围：≥10米（可调节）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2.电源电压：DC 12V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3.指向特性：全向型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4.频率响应：20Hz-20kHz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5.信号输出幅度：≤1Vrms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6.信号传输距离：≤3km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7.保护电路：电源反接保护,过流保护，雷击保护，ESD保护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8.工作环境温度：-20℃～+60℃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9.外壳材质：防爆铝合金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10.传输方式：声音数字化后直接通过IPAS总线传输给网络摄像机（485接口），从而避免线路干扰和二次采样带来的音质损失</w:t>
            </w:r>
          </w:p>
        </w:tc>
        <w:tc>
          <w:tcPr>
            <w:tcW w:w="293" w:type="pct"/>
            <w:shd w:val="clear" w:color="auto" w:fill="auto"/>
            <w:vAlign w:val="center"/>
          </w:tcPr>
          <w:p w14:paraId="5609DF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08A53C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r>
      <w:tr w14:paraId="4557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033435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04" w:type="pct"/>
            <w:shd w:val="clear" w:color="auto" w:fill="auto"/>
            <w:vAlign w:val="center"/>
          </w:tcPr>
          <w:p w14:paraId="2B2C0E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室外防水拾音器</w:t>
            </w:r>
          </w:p>
        </w:tc>
        <w:tc>
          <w:tcPr>
            <w:tcW w:w="3515" w:type="pct"/>
            <w:shd w:val="clear" w:color="auto" w:fill="auto"/>
            <w:vAlign w:val="center"/>
          </w:tcPr>
          <w:p w14:paraId="35A94B8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1.拾音范围: 2-30米可调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2.灵敏度: -35dB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3.频率响应: 20Hz ～ 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4.信噪比: ≥90dB （@1 kHz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5.最大可承受声压: 120dB （@1 kHz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6.指向特性: 指向型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7.保护电路: 极性保护、错接保护、雷击保护、ESD 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8.连接方式: 电源接口/音频接口，声音数字化后直接通过IPAS总线传输给网络摄像机（485接口），从而避免线路干扰和二次采样带来的音质损失。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9.防水等级: IP67</w:t>
            </w:r>
          </w:p>
        </w:tc>
        <w:tc>
          <w:tcPr>
            <w:tcW w:w="293" w:type="pct"/>
            <w:shd w:val="clear" w:color="auto" w:fill="auto"/>
            <w:vAlign w:val="center"/>
          </w:tcPr>
          <w:p w14:paraId="5F0748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063880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14:paraId="124E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93" w:type="pct"/>
            <w:shd w:val="clear" w:color="auto" w:fill="auto"/>
            <w:vAlign w:val="center"/>
          </w:tcPr>
          <w:p w14:paraId="365B63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04" w:type="pct"/>
            <w:shd w:val="clear" w:color="auto" w:fill="auto"/>
            <w:vAlign w:val="center"/>
          </w:tcPr>
          <w:p w14:paraId="5EFACB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高清智能球机（室内型）</w:t>
            </w:r>
          </w:p>
        </w:tc>
        <w:tc>
          <w:tcPr>
            <w:tcW w:w="3515" w:type="pct"/>
            <w:shd w:val="clear" w:color="auto" w:fill="auto"/>
            <w:vAlign w:val="center"/>
          </w:tcPr>
          <w:p w14:paraId="5BF538D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≥400万像素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1.分辨率：≥2560×1440@30fps高清画面输出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2.焦距：≥23倍光学变倍，16倍数字变倍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3.最低照度：彩色：0.005Lux @ (F1.6)；黑白：0.001Lux @(F1.6) ；0 Lux with IR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4.水平速度：0.1°-300°/s,速度可设；水平预置点速度：350°/s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5.垂直速度：0.1°-160°/s,速度可设；垂直预置点速度：200°/s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6.支持区域入侵侦测、越界侦测、移动侦测等智能侦测功能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7.支持手动跟踪，事件跟踪，智能运动跟踪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8.宽动态范围≥120dB，适合逆光环境监控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9.支持3D数字降噪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10.音频： ≥1路音频输入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11.报警输入：≥2路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12.报警输出：≥2路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13.视频压缩标准：H.265/H.264/MJPEG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14.防雷、防浪涌、防突波，IP66防护等级</w:t>
            </w:r>
          </w:p>
        </w:tc>
        <w:tc>
          <w:tcPr>
            <w:tcW w:w="293" w:type="pct"/>
            <w:shd w:val="clear" w:color="auto" w:fill="auto"/>
            <w:vAlign w:val="center"/>
          </w:tcPr>
          <w:p w14:paraId="7707DB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79E9D4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50F3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757343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04" w:type="pct"/>
            <w:shd w:val="clear" w:color="auto" w:fill="auto"/>
            <w:vAlign w:val="center"/>
          </w:tcPr>
          <w:p w14:paraId="4C23A7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人脸门禁考勤机</w:t>
            </w:r>
          </w:p>
        </w:tc>
        <w:tc>
          <w:tcPr>
            <w:tcW w:w="3515" w:type="pct"/>
            <w:shd w:val="clear" w:color="auto" w:fill="auto"/>
            <w:vAlign w:val="center"/>
          </w:tcPr>
          <w:p w14:paraId="471DB65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1.主处理器：高性能嵌入式处理器；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2.显示屏：≥7英寸显示屏；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3.屏幕类型：电容触摸屏；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4.广告播放：支持图文、视频广告播放；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5.摄像头：2MP CMOS高清双摄像头；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6.外壳材料：钢化玻璃/PC+ABS；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7.远程验证：支持；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8.黑白名单设定：支持；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9.实时监控：支持；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10.多重认证：支持；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11.WEB配置：支持；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12.主动注册：支持；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13.人脸识别准确率：99.9%；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14.人脸识别速度：0.2s；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15.用户容量：≥20000；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16.人脸容量：≥20000；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17.卡片容量：≥50000张；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18.密码容量：≥20000个；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19.存储记录数量：≥300000条；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20RS-485接口：≥1个；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21.RS-232接口：≥1个；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22.韦根接口：≥1路输入/输出；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23.USB接口：≥1个USB2.0接口；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24.网络接口：≥1个10Mbps/100Mbps自适应以太网口；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25.报警输入：≥2路（开关量）；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26.报警输出：≥1路（继电器）；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27.报警联动：支持；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28.开门按钮：≥1路；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29.门状态检测：≥1路；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30.门锁控制：≥1路；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31.防反潜：支持；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32.防拆报警：支持；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33.胁迫报警：支持；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34.门超时报警：支持；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35.非法闯入报警：支持；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36.非法卡超次报警：支持；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37.供电方式：DC 12V  2A；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38.工作温度：-20℃～+55℃；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39.安装方式：壁装；落地式支架安装；桌面式支架安装；闸机安装；86盒；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40.读卡类型：IC卡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★41.符合GB/T24021-2001idt ISO14021:1999《环境管理环境标志与声明自我环境声明(Ⅱ型环境标志)》的要求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★42产品供应商应具有符合ISO/IEC 27701：2019要求的隐私信息管理体系认证。</w:t>
            </w:r>
          </w:p>
        </w:tc>
        <w:tc>
          <w:tcPr>
            <w:tcW w:w="293" w:type="pct"/>
            <w:shd w:val="clear" w:color="auto" w:fill="auto"/>
            <w:vAlign w:val="center"/>
          </w:tcPr>
          <w:p w14:paraId="02BA53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272EED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14:paraId="6111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93" w:type="pct"/>
            <w:shd w:val="clear" w:color="auto" w:fill="auto"/>
            <w:vAlign w:val="center"/>
          </w:tcPr>
          <w:p w14:paraId="27FA52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04" w:type="pct"/>
            <w:shd w:val="clear" w:color="auto" w:fill="auto"/>
            <w:vAlign w:val="center"/>
          </w:tcPr>
          <w:p w14:paraId="246E44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智能警戒网络摄像机</w:t>
            </w:r>
          </w:p>
        </w:tc>
        <w:tc>
          <w:tcPr>
            <w:tcW w:w="3515" w:type="pct"/>
            <w:shd w:val="clear" w:color="auto" w:fill="auto"/>
            <w:vAlign w:val="center"/>
          </w:tcPr>
          <w:p w14:paraId="48FDCF3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color w:val="auto"/>
                <w:highlight w:val="none"/>
                <w:lang w:val="en-US" w:eastAsia="zh-CN"/>
              </w:rPr>
              <w:t>1.</w:t>
            </w:r>
            <w:r>
              <w:rPr>
                <w:rFonts w:hint="eastAsia" w:ascii="宋体" w:hAnsi="宋体" w:eastAsia="宋体" w:cs="宋体"/>
                <w:i w:val="0"/>
                <w:iCs w:val="0"/>
                <w:color w:val="auto"/>
                <w:kern w:val="0"/>
                <w:sz w:val="21"/>
                <w:szCs w:val="21"/>
                <w:highlight w:val="none"/>
                <w:u w:val="none"/>
                <w:lang w:val="en-US" w:eastAsia="zh-CN" w:bidi="ar"/>
              </w:rPr>
              <w:t>≥400万，1/1.8 CMOS；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焦距&amp;视场角：2.8~12 mm，水平视场角：101.5°~47.6°，垂直视场角：52.3°~26.6°，对角视场角：124.1°~54.9°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采用深度学习硬件及算法，提供准确的人车分类侦测，支持越界侦测，区域入侵侦测，进入区域侦测和离开区域侦测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采用深度学习去误报算法，当检测区域出现篮球、小狗、树摇晃等情况时，不会触发报警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支持声光警戒：报警联动白光闪烁报警和声音报警，报警声音类型不小于11种，报警音量和重复次数可设置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采用深度学习算法，以海量图片及视频资源为路基，通过机器自身提取目标特征，形成深层可供学习的人脸图像，极大地提升了目标人脸的检出率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支持智能资源模式切换：人脸抓拍模式，道路监控模式，Smart事件模式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最高分辨率可达400万像素，并在此分辨率下可输出30 fps实时图像，图像更流畅，支持透雾、电子防抖，支持宽动态120 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鳞镜补光：采用隐藏式灯珠设计，通过鳞甲密布排列形成的镜面反射出光，见光不见灯。增加发光面积，降低聚光效果，补光柔和均匀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音频：1路输入，1路输出；报警：1路输入，1路输出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支持开放型网络视频接口，ISAPI，GB/T28181-2016，E-HOME2.0/4.0接入，ISUP5.0，视图库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11.</w:t>
            </w:r>
            <w:r>
              <w:rPr>
                <w:rFonts w:hint="eastAsia" w:ascii="宋体" w:hAnsi="宋体" w:eastAsia="宋体" w:cs="宋体"/>
                <w:i w:val="0"/>
                <w:iCs w:val="0"/>
                <w:color w:val="auto"/>
                <w:kern w:val="0"/>
                <w:sz w:val="21"/>
                <w:szCs w:val="21"/>
                <w:highlight w:val="none"/>
                <w:u w:val="none"/>
                <w:lang w:val="en-US" w:eastAsia="zh-CN" w:bidi="ar"/>
              </w:rPr>
              <w:t>支持标准的256 GB MicroSD/MicroSDHC/MicroSDXC卡存储，支持10 M/100 M自适应网口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支持三码流技术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13.</w:t>
            </w:r>
            <w:r>
              <w:rPr>
                <w:rFonts w:hint="eastAsia" w:ascii="宋体" w:hAnsi="宋体" w:eastAsia="宋体" w:cs="宋体"/>
                <w:i w:val="0"/>
                <w:iCs w:val="0"/>
                <w:color w:val="auto"/>
                <w:kern w:val="0"/>
                <w:sz w:val="21"/>
                <w:szCs w:val="21"/>
                <w:highlight w:val="none"/>
                <w:u w:val="none"/>
                <w:lang w:val="en-US" w:eastAsia="zh-CN" w:bidi="ar"/>
              </w:rPr>
              <w:t>支持三级用户权限管理，支持授权的用户和密码，支持IP地址过滤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14.</w:t>
            </w:r>
            <w:r>
              <w:rPr>
                <w:rFonts w:hint="eastAsia" w:ascii="宋体" w:hAnsi="宋体" w:eastAsia="宋体" w:cs="宋体"/>
                <w:i w:val="0"/>
                <w:iCs w:val="0"/>
                <w:color w:val="auto"/>
                <w:kern w:val="0"/>
                <w:sz w:val="21"/>
                <w:szCs w:val="21"/>
                <w:highlight w:val="none"/>
                <w:u w:val="none"/>
                <w:lang w:val="en-US" w:eastAsia="zh-CN" w:bidi="ar"/>
              </w:rPr>
              <w:t>电源供应：DC：12 V ± 20%；PoE：802.3af，Type 2，Class 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15.</w:t>
            </w:r>
            <w:r>
              <w:rPr>
                <w:rFonts w:hint="eastAsia" w:ascii="宋体" w:hAnsi="宋体" w:eastAsia="宋体" w:cs="宋体"/>
                <w:i w:val="0"/>
                <w:iCs w:val="0"/>
                <w:color w:val="auto"/>
                <w:kern w:val="0"/>
                <w:sz w:val="21"/>
                <w:szCs w:val="21"/>
                <w:highlight w:val="none"/>
                <w:u w:val="none"/>
                <w:lang w:val="en-US" w:eastAsia="zh-CN" w:bidi="ar"/>
              </w:rPr>
              <w:t>防护等级：IP67</w:t>
            </w:r>
          </w:p>
        </w:tc>
        <w:tc>
          <w:tcPr>
            <w:tcW w:w="293" w:type="pct"/>
            <w:shd w:val="clear" w:color="auto" w:fill="auto"/>
            <w:vAlign w:val="center"/>
          </w:tcPr>
          <w:p w14:paraId="79FC83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5B13FC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r>
      <w:tr w14:paraId="22E0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5"/>
            <w:shd w:val="clear" w:color="auto" w:fill="auto"/>
            <w:vAlign w:val="center"/>
          </w:tcPr>
          <w:p w14:paraId="0D4DDEA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2、平台及存储</w:t>
            </w:r>
          </w:p>
        </w:tc>
      </w:tr>
      <w:tr w14:paraId="6C9E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735100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4" w:type="pct"/>
            <w:shd w:val="clear" w:color="auto" w:fill="auto"/>
            <w:vAlign w:val="center"/>
          </w:tcPr>
          <w:p w14:paraId="3C8C8C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磁盘阵列</w:t>
            </w:r>
          </w:p>
        </w:tc>
        <w:tc>
          <w:tcPr>
            <w:tcW w:w="3515" w:type="pct"/>
            <w:shd w:val="clear" w:color="auto" w:fill="auto"/>
            <w:vAlign w:val="center"/>
          </w:tcPr>
          <w:p w14:paraId="21D2B47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1.36盘位/1536Mbps接入带宽/SATA硬盘/可接SAS扩展柜/64位多核处理器、4GB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30T硬盘；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设备标配：≥4个2.5Gb网口，支持2个前置 USB2.0接口、2个后置USB3.0接口，支持1个前置VGA接口、1个后置HDMI接口，支持1个RS-232串口，支持4个PCI-E3.0（投标文件中提供具有CMA或CNAS标志的第三方检测报告扫描件并加盖投标人公章）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应支持IPSAN存储功能；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可接入硬盘≥36块，支持SATA和SAS混插，并支持≥12级扩展柜级联扩展；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应能提供RAID0、1、2、3、4、5、6、7、10、50，60、JBOD、Raid5EE模式，支持全局、局部等多种热备选择，支持坏盘自动重构；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可接入2T/3T/4T/6T/8T/10T/12T/14T/16T/18T/20T/25T/26T/30T SATA/SAS硬盘；支持NL-SAS 硬盘、HDD硬盘、SSD硬盘、氦气硬盘、空气硬盘；支持 CMR或SMR硬盘；支持硬盘交错/分时启动（投标文件中提供具有CMA或CNAS标志的第三方检测报告扫描件并加盖投标人公章）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设备具备1个定位灯、1个电源灯、1个设备报警灯、1个就绪灯、1个网络状态灯、1个系统盘状态灯、1个硬盘状态灯，机箱具备防尘滤网，采用双立柱防震设计。设备左右侧面各2个抬手，具备前面板抽拉标签卡（投标文件中提供具有CMA或CNAS标志的第三方检测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支持不低于600MBps(250)图片并发输入，同时不低于600MBps(250)图片并发输出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在RAID内丢失2块（含）以上硬盘但至少有1块正常磁盘时，无需等待丢失盘恢复，保留的硬盘中的数据可正常读出，且新数据可正常写入；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每个控制单元支持双系统应用，外置系统盘支持RAID1模式，系统盘支持热插拔，当主系统出现故障时，备用系统可接管工作；支持系统盘为独立的2块HDD（SATA、SAS）或SSD盘，组成RAID1（投标文件中提供具有CMA或CNAS标志的第三方检测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11.</w:t>
            </w:r>
            <w:r>
              <w:rPr>
                <w:rFonts w:hint="eastAsia" w:ascii="宋体" w:hAnsi="宋体" w:eastAsia="宋体" w:cs="宋体"/>
                <w:i w:val="0"/>
                <w:iCs w:val="0"/>
                <w:color w:val="auto"/>
                <w:kern w:val="0"/>
                <w:sz w:val="21"/>
                <w:szCs w:val="21"/>
                <w:highlight w:val="none"/>
                <w:u w:val="none"/>
                <w:lang w:val="en-US" w:eastAsia="zh-CN" w:bidi="ar"/>
              </w:rPr>
              <w:t>当录像视频流发生丢失5s以上可在日志中记录报警信息。</w:t>
            </w:r>
          </w:p>
        </w:tc>
        <w:tc>
          <w:tcPr>
            <w:tcW w:w="293" w:type="pct"/>
            <w:shd w:val="clear" w:color="auto" w:fill="auto"/>
            <w:vAlign w:val="center"/>
          </w:tcPr>
          <w:p w14:paraId="470AB7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6A2B5C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7EBC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1F9E4E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04" w:type="pct"/>
            <w:shd w:val="clear" w:color="auto" w:fill="auto"/>
            <w:vAlign w:val="center"/>
          </w:tcPr>
          <w:p w14:paraId="55B01B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存储硬盘</w:t>
            </w:r>
          </w:p>
        </w:tc>
        <w:tc>
          <w:tcPr>
            <w:tcW w:w="3515" w:type="pct"/>
            <w:shd w:val="clear" w:color="auto" w:fill="auto"/>
            <w:vAlign w:val="center"/>
          </w:tcPr>
          <w:p w14:paraId="5DECA4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16TB,7200RPM,SATA</w:t>
            </w:r>
          </w:p>
        </w:tc>
        <w:tc>
          <w:tcPr>
            <w:tcW w:w="293" w:type="pct"/>
            <w:shd w:val="clear" w:color="auto" w:fill="auto"/>
            <w:vAlign w:val="center"/>
          </w:tcPr>
          <w:p w14:paraId="29CA8D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293" w:type="pct"/>
            <w:shd w:val="clear" w:color="auto" w:fill="auto"/>
            <w:vAlign w:val="center"/>
          </w:tcPr>
          <w:p w14:paraId="7CFA7C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r>
      <w:tr w14:paraId="4E79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761D6A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04" w:type="pct"/>
            <w:shd w:val="clear" w:color="auto" w:fill="auto"/>
            <w:vAlign w:val="center"/>
          </w:tcPr>
          <w:p w14:paraId="0EA75A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硬盘录像机</w:t>
            </w:r>
          </w:p>
        </w:tc>
        <w:tc>
          <w:tcPr>
            <w:tcW w:w="3515" w:type="pct"/>
            <w:shd w:val="clear" w:color="auto" w:fill="auto"/>
            <w:vAlign w:val="center"/>
          </w:tcPr>
          <w:p w14:paraId="03A1AD2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可接驳符合ONVIF、PSIA、RTSP标准及众多主流厂商的网络摄像机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支持GB28181、Ehome协议接入平台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支持4K高清网络视频的预览、存储与回放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支持H.265、H.264编码前端自适应接入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支持IPC集中管理，包括IPC参数配置、信息的导入/导出、语音对讲和升级等功能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支持1个HDMI和1个VGA同时输出，支持4K高清分辨率输出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HDMI1和HDMI2支持最大单路8K（7680×4320）和1080P（1920×1080）异源输出（投标文件中提供具有CMA或CNAS标志的第三方检测报告扫描件并加盖投标人公章）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全新的UI操作界面，支持一键开启录像功能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支持即时回放功能，在预览画面下对指定通道的当前录像进行回放，并且不影响其他通道预览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支持最大16路同步回放及多路同步倒放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11.</w:t>
            </w:r>
            <w:r>
              <w:rPr>
                <w:rFonts w:hint="eastAsia" w:ascii="宋体" w:hAnsi="宋体" w:eastAsia="宋体" w:cs="宋体"/>
                <w:i w:val="0"/>
                <w:iCs w:val="0"/>
                <w:color w:val="auto"/>
                <w:kern w:val="0"/>
                <w:sz w:val="21"/>
                <w:szCs w:val="21"/>
                <w:highlight w:val="none"/>
                <w:u w:val="none"/>
                <w:lang w:val="en-US" w:eastAsia="zh-CN" w:bidi="ar"/>
              </w:rPr>
              <w:t>支持标签定义、查询、回放录像文件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支持录像目标检索功能，目标检索支持单帧模式调整目标画面，可通过鼠标滚轮调整录像画面帧序列；事件中心，切片回放、回放支持目标检索快速入口（投标文件中提供具有CMA或CNAS标志的第三方检测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13.</w:t>
            </w:r>
            <w:r>
              <w:rPr>
                <w:rFonts w:hint="eastAsia" w:ascii="宋体" w:hAnsi="宋体" w:eastAsia="宋体" w:cs="宋体"/>
                <w:i w:val="0"/>
                <w:iCs w:val="0"/>
                <w:color w:val="auto"/>
                <w:kern w:val="0"/>
                <w:sz w:val="21"/>
                <w:szCs w:val="21"/>
                <w:highlight w:val="none"/>
                <w:u w:val="none"/>
                <w:lang w:val="en-US" w:eastAsia="zh-CN" w:bidi="ar"/>
              </w:rPr>
              <w:t>硬盘接口：9个SATA，单盘最大16T；</w:t>
            </w:r>
          </w:p>
        </w:tc>
        <w:tc>
          <w:tcPr>
            <w:tcW w:w="293" w:type="pct"/>
            <w:shd w:val="clear" w:color="auto" w:fill="auto"/>
            <w:vAlign w:val="center"/>
          </w:tcPr>
          <w:p w14:paraId="3C5911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5EEC4A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14:paraId="4E9B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43318A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04" w:type="pct"/>
            <w:shd w:val="clear" w:color="auto" w:fill="auto"/>
            <w:vAlign w:val="center"/>
          </w:tcPr>
          <w:p w14:paraId="103047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存储硬盘</w:t>
            </w:r>
          </w:p>
        </w:tc>
        <w:tc>
          <w:tcPr>
            <w:tcW w:w="3515" w:type="pct"/>
            <w:shd w:val="clear" w:color="auto" w:fill="auto"/>
            <w:vAlign w:val="center"/>
          </w:tcPr>
          <w:p w14:paraId="5505E84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16TB,7200RPM,SATA</w:t>
            </w:r>
          </w:p>
        </w:tc>
        <w:tc>
          <w:tcPr>
            <w:tcW w:w="293" w:type="pct"/>
            <w:shd w:val="clear" w:color="auto" w:fill="auto"/>
            <w:vAlign w:val="center"/>
          </w:tcPr>
          <w:p w14:paraId="5D862B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293" w:type="pct"/>
            <w:shd w:val="clear" w:color="auto" w:fill="auto"/>
            <w:vAlign w:val="center"/>
          </w:tcPr>
          <w:p w14:paraId="08BEFA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14:paraId="71FAB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63E525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04" w:type="pct"/>
            <w:shd w:val="clear" w:color="auto" w:fill="auto"/>
            <w:vAlign w:val="center"/>
          </w:tcPr>
          <w:p w14:paraId="619773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显示器</w:t>
            </w:r>
          </w:p>
        </w:tc>
        <w:tc>
          <w:tcPr>
            <w:tcW w:w="3515" w:type="pct"/>
            <w:shd w:val="clear" w:color="auto" w:fill="auto"/>
            <w:vAlign w:val="center"/>
          </w:tcPr>
          <w:p w14:paraId="186B697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27英寸 Fast IPS屏高清2K  接口：DP，HDMI，音频/耳机输出</w:t>
            </w:r>
          </w:p>
        </w:tc>
        <w:tc>
          <w:tcPr>
            <w:tcW w:w="293" w:type="pct"/>
            <w:shd w:val="clear" w:color="auto" w:fill="auto"/>
            <w:vAlign w:val="center"/>
          </w:tcPr>
          <w:p w14:paraId="66928D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275FA8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14:paraId="36AF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93" w:type="pct"/>
            <w:shd w:val="clear" w:color="auto" w:fill="auto"/>
            <w:vAlign w:val="center"/>
          </w:tcPr>
          <w:p w14:paraId="68F0C2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04" w:type="pct"/>
            <w:shd w:val="clear" w:color="auto" w:fill="auto"/>
            <w:vAlign w:val="center"/>
          </w:tcPr>
          <w:p w14:paraId="75AE3F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视频综合平台（解码）</w:t>
            </w:r>
          </w:p>
        </w:tc>
        <w:tc>
          <w:tcPr>
            <w:tcW w:w="3515" w:type="pct"/>
            <w:shd w:val="clear" w:color="auto" w:fill="auto"/>
            <w:vAlign w:val="center"/>
          </w:tcPr>
          <w:p w14:paraId="28233B1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11U机箱（7槽+单主控+双电源）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11U标准机箱，满足各种规模的监控需求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标准机架式设计，运营级ATCA机箱系统，插拔式模块化设计，可根据需求灵活扩展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业务模块支持热插拔、双电源冗余、双主控热备、智能风扇自动调温，确保系统稳定可靠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双高速无阻塞背板设计，满足大容量视频数据高速交换的需求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采用H.264视频压缩标准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支持HD-SDI、3G-SDI、BNC、VGA、DVI、HDMI、YPbPr、HDBaseT、DP、TVI、模拟高线的视频信号接入编码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支持复合流和视频流编码，复合流编码时音频和视频同步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支持DVI、HDMI、3G-SDI、VGA、BNC、HDBaseT输出显示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支持1/4/6/8/9/16画面分割显示(BNC只支持1/4画面分割)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支持小画面自动取子码流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11.</w:t>
            </w:r>
            <w:r>
              <w:rPr>
                <w:rFonts w:hint="eastAsia" w:ascii="宋体" w:hAnsi="宋体" w:eastAsia="宋体" w:cs="宋体"/>
                <w:i w:val="0"/>
                <w:iCs w:val="0"/>
                <w:color w:val="auto"/>
                <w:kern w:val="0"/>
                <w:sz w:val="21"/>
                <w:szCs w:val="21"/>
                <w:highlight w:val="none"/>
                <w:u w:val="none"/>
                <w:lang w:val="en-US" w:eastAsia="zh-CN" w:bidi="ar"/>
              </w:rPr>
              <w:t>支持自定义输出口分辨率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支持多电视墙切换，支持快速场景切换及场景平滑切换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13.</w:t>
            </w:r>
            <w:r>
              <w:rPr>
                <w:rFonts w:hint="eastAsia" w:ascii="宋体" w:hAnsi="宋体" w:eastAsia="宋体" w:cs="宋体"/>
                <w:i w:val="0"/>
                <w:iCs w:val="0"/>
                <w:color w:val="auto"/>
                <w:kern w:val="0"/>
                <w:sz w:val="21"/>
                <w:szCs w:val="21"/>
                <w:highlight w:val="none"/>
                <w:u w:val="none"/>
                <w:lang w:val="en-US" w:eastAsia="zh-CN" w:bidi="ar"/>
              </w:rPr>
              <w:t>支持4K输出显示，支持视音频同步解码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14.</w:t>
            </w:r>
            <w:r>
              <w:rPr>
                <w:rFonts w:hint="eastAsia" w:ascii="宋体" w:hAnsi="宋体" w:eastAsia="宋体" w:cs="宋体"/>
                <w:i w:val="0"/>
                <w:iCs w:val="0"/>
                <w:color w:val="auto"/>
                <w:kern w:val="0"/>
                <w:sz w:val="21"/>
                <w:szCs w:val="21"/>
                <w:highlight w:val="none"/>
                <w:u w:val="none"/>
                <w:lang w:val="en-US" w:eastAsia="zh-CN" w:bidi="ar"/>
              </w:rPr>
              <w:t>支持H.265、H.264、MPEG4、MPEG2等主流的编码格式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15.</w:t>
            </w:r>
            <w:r>
              <w:rPr>
                <w:rFonts w:hint="eastAsia" w:ascii="宋体" w:hAnsi="宋体" w:eastAsia="宋体" w:cs="宋体"/>
                <w:i w:val="0"/>
                <w:iCs w:val="0"/>
                <w:color w:val="auto"/>
                <w:kern w:val="0"/>
                <w:sz w:val="21"/>
                <w:szCs w:val="21"/>
                <w:highlight w:val="none"/>
                <w:u w:val="none"/>
                <w:lang w:val="en-US" w:eastAsia="zh-CN" w:bidi="ar"/>
              </w:rPr>
              <w:t>支持2路3200W(7680x4320)/2400W(8160x3616)，或4路1600W(8192x2160)/1200W(4000x3000)或8路800W(6720x1200)，或12路600W(3392x2008)/500W(3072x1728)，或16路400W(2560x1440)，或20路300W(2048x1536)，或32路1080P(1920x1080)，或64路720P/D1及以下分辨率实时解码；支持4路(1920x1080)分辨率MJPEG格式解码。整机16张解码板最大支持512路(1920x1080)分辨率、30帧/秒视频解码输出。（投标文件中提供具有CMA或CNAS标志的第三方检测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16.</w:t>
            </w:r>
            <w:r>
              <w:rPr>
                <w:rFonts w:hint="eastAsia" w:ascii="宋体" w:hAnsi="宋体" w:eastAsia="宋体" w:cs="宋体"/>
                <w:i w:val="0"/>
                <w:iCs w:val="0"/>
                <w:color w:val="auto"/>
                <w:kern w:val="0"/>
                <w:sz w:val="21"/>
                <w:szCs w:val="21"/>
                <w:highlight w:val="none"/>
                <w:u w:val="none"/>
                <w:lang w:val="en-US" w:eastAsia="zh-CN" w:bidi="ar"/>
              </w:rPr>
              <w:t>支持PS、TS、ES、RTP、HIK等主流封装格式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17.</w:t>
            </w:r>
            <w:r>
              <w:rPr>
                <w:rFonts w:hint="eastAsia" w:ascii="宋体" w:hAnsi="宋体" w:eastAsia="宋体" w:cs="宋体"/>
                <w:i w:val="0"/>
                <w:iCs w:val="0"/>
                <w:color w:val="auto"/>
                <w:kern w:val="0"/>
                <w:sz w:val="21"/>
                <w:szCs w:val="21"/>
                <w:highlight w:val="none"/>
                <w:u w:val="none"/>
                <w:lang w:val="en-US" w:eastAsia="zh-CN" w:bidi="ar"/>
              </w:rPr>
              <w:t>支持ONVIF协议接入设备解码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18.</w:t>
            </w:r>
            <w:r>
              <w:rPr>
                <w:rFonts w:hint="eastAsia" w:ascii="宋体" w:hAnsi="宋体" w:eastAsia="宋体" w:cs="宋体"/>
                <w:i w:val="0"/>
                <w:iCs w:val="0"/>
                <w:color w:val="auto"/>
                <w:kern w:val="0"/>
                <w:sz w:val="21"/>
                <w:szCs w:val="21"/>
                <w:highlight w:val="none"/>
                <w:u w:val="none"/>
                <w:lang w:val="en-US" w:eastAsia="zh-CN" w:bidi="ar"/>
              </w:rPr>
              <w:t>单屏支持16个窗口，支持虚拟LED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19.</w:t>
            </w:r>
            <w:r>
              <w:rPr>
                <w:rFonts w:hint="eastAsia" w:ascii="宋体" w:hAnsi="宋体" w:eastAsia="宋体" w:cs="宋体"/>
                <w:i w:val="0"/>
                <w:iCs w:val="0"/>
                <w:color w:val="auto"/>
                <w:kern w:val="0"/>
                <w:sz w:val="21"/>
                <w:szCs w:val="21"/>
                <w:highlight w:val="none"/>
                <w:u w:val="none"/>
                <w:lang w:val="en-US" w:eastAsia="zh-CN" w:bidi="ar"/>
              </w:rPr>
              <w:t>支持通过客户端预编辑操作。预编辑不实时上墙，待完成编辑后切换上墙；预编辑操作包括窗口操作(开关窗、漫游、缩放、分屏、置顶、置底、子窗口放大还原、启停解码)、上墙操作(本地信号源、网络源上墙、单窗口轮巡、多窗口轮巡)、字幕操作(开启、关闭、设置参数)；单墙预编辑操作的过程中其他电视墙不受影响。（投标文件中提供具有CMA或CNAS标志的第三方检测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20.</w:t>
            </w:r>
            <w:r>
              <w:rPr>
                <w:rFonts w:hint="eastAsia" w:ascii="宋体" w:hAnsi="宋体" w:eastAsia="宋体" w:cs="宋体"/>
                <w:i w:val="0"/>
                <w:iCs w:val="0"/>
                <w:color w:val="auto"/>
                <w:kern w:val="0"/>
                <w:sz w:val="21"/>
                <w:szCs w:val="21"/>
                <w:highlight w:val="none"/>
                <w:u w:val="none"/>
                <w:lang w:val="en-US" w:eastAsia="zh-CN" w:bidi="ar"/>
              </w:rPr>
              <w:t>支持开窗和漫游功能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21.</w:t>
            </w:r>
            <w:r>
              <w:rPr>
                <w:rFonts w:hint="eastAsia" w:ascii="宋体" w:hAnsi="宋体" w:eastAsia="宋体" w:cs="宋体"/>
                <w:i w:val="0"/>
                <w:iCs w:val="0"/>
                <w:color w:val="auto"/>
                <w:kern w:val="0"/>
                <w:sz w:val="21"/>
                <w:szCs w:val="21"/>
                <w:highlight w:val="none"/>
                <w:u w:val="none"/>
                <w:lang w:val="en-US" w:eastAsia="zh-CN" w:bidi="ar"/>
              </w:rPr>
              <w:t>配置4路HDMI输入、4路VGA输入、32路（4*8）HDMI/DVI输出板卡</w:t>
            </w:r>
          </w:p>
        </w:tc>
        <w:tc>
          <w:tcPr>
            <w:tcW w:w="293" w:type="pct"/>
            <w:shd w:val="clear" w:color="auto" w:fill="auto"/>
            <w:vAlign w:val="center"/>
          </w:tcPr>
          <w:p w14:paraId="4713C5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347B2F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4AD5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029215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04" w:type="pct"/>
            <w:shd w:val="clear" w:color="auto" w:fill="auto"/>
            <w:vAlign w:val="center"/>
          </w:tcPr>
          <w:p w14:paraId="5E4C76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监控通道数</w:t>
            </w:r>
          </w:p>
        </w:tc>
        <w:tc>
          <w:tcPr>
            <w:tcW w:w="3515" w:type="pct"/>
            <w:shd w:val="clear" w:color="auto" w:fill="auto"/>
            <w:vAlign w:val="center"/>
          </w:tcPr>
          <w:p w14:paraId="0138EEE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视频监控点通道接入路数。</w:t>
            </w:r>
          </w:p>
        </w:tc>
        <w:tc>
          <w:tcPr>
            <w:tcW w:w="293" w:type="pct"/>
            <w:shd w:val="clear" w:color="auto" w:fill="auto"/>
            <w:vAlign w:val="center"/>
          </w:tcPr>
          <w:p w14:paraId="31C0AF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路</w:t>
            </w:r>
          </w:p>
        </w:tc>
        <w:tc>
          <w:tcPr>
            <w:tcW w:w="293" w:type="pct"/>
            <w:shd w:val="clear" w:color="auto" w:fill="auto"/>
            <w:vAlign w:val="center"/>
          </w:tcPr>
          <w:p w14:paraId="312848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14:paraId="52C4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0FD482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04" w:type="pct"/>
            <w:shd w:val="clear" w:color="auto" w:fill="auto"/>
            <w:vAlign w:val="center"/>
          </w:tcPr>
          <w:p w14:paraId="7917E6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w:t>
            </w:r>
          </w:p>
        </w:tc>
        <w:tc>
          <w:tcPr>
            <w:tcW w:w="3515" w:type="pct"/>
            <w:shd w:val="clear" w:color="auto" w:fill="auto"/>
            <w:vAlign w:val="center"/>
          </w:tcPr>
          <w:p w14:paraId="4B0B5DC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2U单路信创服务器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1.CPU：配置≥1颗国产化处理器，核数≥16核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2.内存：配置≥64G DDR4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3.硬盘：配置2块1.2TB 10K SAS硬盘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4.网口：≥2个千兆电口；≥1个RJ45管理接口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5.电源：标配≥550W（1+1）高效铂金CRPS冗余电源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6.不低于200路流媒体转发，支持直播，回放，录像下载等。</w:t>
            </w:r>
          </w:p>
        </w:tc>
        <w:tc>
          <w:tcPr>
            <w:tcW w:w="293" w:type="pct"/>
            <w:shd w:val="clear" w:color="auto" w:fill="auto"/>
            <w:vAlign w:val="center"/>
          </w:tcPr>
          <w:p w14:paraId="57C125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4FFAA9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2693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5D064F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604" w:type="pct"/>
            <w:shd w:val="clear" w:color="auto" w:fill="auto"/>
            <w:vAlign w:val="center"/>
          </w:tcPr>
          <w:p w14:paraId="7F3CE1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算力服务器</w:t>
            </w:r>
          </w:p>
        </w:tc>
        <w:tc>
          <w:tcPr>
            <w:tcW w:w="3515" w:type="pct"/>
            <w:shd w:val="clear" w:color="auto" w:fill="auto"/>
            <w:vAlign w:val="center"/>
          </w:tcPr>
          <w:p w14:paraId="5962EA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1.CPU: 2颗国产化处理器，核数≥24C，主频≥2.2G</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2.AI计算卡：搭载≥3颗AI芯片，可提供≥105.6T INT8算力，以及≥6.6T FP32算力，支持高精度计算</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3.内存：8*32GB，DDR4-3200 ECC REG RDIMM；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4.存储：≥480G  SSD；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5.网卡：10G 双光口</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6.网卡模块：SFP+ 万兆多模光纤模块</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7.HBA卡：16Gb/s 双端口多模 HBA 光纤卡 PCIe x8(含光模块)</w:t>
            </w:r>
            <w:r>
              <w:rPr>
                <w:rFonts w:hint="eastAsia" w:ascii="宋体" w:hAnsi="宋体" w:cs="宋体"/>
                <w:i w:val="0"/>
                <w:iCs w:val="0"/>
                <w:color w:val="auto"/>
                <w:kern w:val="0"/>
                <w:sz w:val="21"/>
                <w:szCs w:val="21"/>
                <w:highlight w:val="none"/>
                <w:u w:val="none"/>
                <w:lang w:val="en-US" w:eastAsia="zh-CN" w:bidi="ar"/>
              </w:rPr>
              <w:t>。</w:t>
            </w:r>
          </w:p>
        </w:tc>
        <w:tc>
          <w:tcPr>
            <w:tcW w:w="293" w:type="pct"/>
            <w:shd w:val="clear" w:color="auto" w:fill="auto"/>
            <w:vAlign w:val="center"/>
          </w:tcPr>
          <w:p w14:paraId="07B00A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6351F3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3A1A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098EEF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04" w:type="pct"/>
            <w:shd w:val="clear" w:color="auto" w:fill="auto"/>
            <w:vAlign w:val="center"/>
          </w:tcPr>
          <w:p w14:paraId="5D8074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智能分析软件改造与升级</w:t>
            </w:r>
          </w:p>
        </w:tc>
        <w:tc>
          <w:tcPr>
            <w:tcW w:w="3515" w:type="pct"/>
            <w:shd w:val="clear" w:color="auto" w:fill="auto"/>
            <w:vAlign w:val="center"/>
          </w:tcPr>
          <w:p w14:paraId="68CE1C6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对现有的智能分析软件进行信创适配改造：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增加两个功能：在押人员行为规范的自动识别和民警值勤行为规范的自动检测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（1）在押人员行为规范自动识别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攀高检测：在监室和放风场等空间内设置限高区域，如果这个区域出现人员，系统会自动触发报警。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单人滞留：在监室和放风场设置检测区域，当有单个人员滞留在监室或放风场超过规定的时间，系统识别并发出报警。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蒙头睡觉：在押人员就寝时，不允许蒙头睡觉。摄像头实时检测床铺上就寝人员头部数据，来判别是否存在违规行为。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密度识别、清点人数行为规范、异常聚集：监室内一旦发现有人员大面积快速移动行为，监室内必然可能发生打架、伤病等异常事件，需快速发现此类事件，根据图像视频帧间人头分布比对，快速识别发现人头迅速聚集散开等异常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安全轮值: 实时监测是否有2人及以上人员长时间坐立轮值，发现异常报警。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（2）民警值勤行为规范自动识别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进监工作：检测民警是否每天上、下午按规定时间进监管理。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夜间进监：检测保障有两名以上民警，按规定时间进入监室。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戒具滞留：管教外出时，不允许有手铐放置在办公桌上，系统自动检测是否有手铐滞留于桌面。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三监区场景模型适配：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对三监区的场景进行模型适配，这包括视频图像采集、数据清洗、数据标注、模型训练、模型替换与优化等工作。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2.需提供</w:t>
            </w:r>
            <w:r>
              <w:rPr>
                <w:rFonts w:hint="eastAsia" w:ascii="宋体" w:hAnsi="宋体" w:eastAsia="宋体" w:cs="宋体"/>
                <w:i w:val="0"/>
                <w:iCs w:val="0"/>
                <w:color w:val="auto"/>
                <w:kern w:val="0"/>
                <w:sz w:val="21"/>
                <w:szCs w:val="21"/>
                <w:highlight w:val="none"/>
                <w:u w:val="none"/>
                <w:lang w:val="en-US" w:eastAsia="zh-CN" w:bidi="ar"/>
              </w:rPr>
              <w:t>3年维保</w:t>
            </w:r>
          </w:p>
        </w:tc>
        <w:tc>
          <w:tcPr>
            <w:tcW w:w="293" w:type="pct"/>
            <w:shd w:val="clear" w:color="auto" w:fill="auto"/>
            <w:vAlign w:val="center"/>
          </w:tcPr>
          <w:p w14:paraId="4554E3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93" w:type="pct"/>
            <w:shd w:val="clear" w:color="auto" w:fill="auto"/>
            <w:vAlign w:val="center"/>
          </w:tcPr>
          <w:p w14:paraId="31DC56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0A94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5"/>
            <w:shd w:val="clear" w:color="auto" w:fill="auto"/>
            <w:vAlign w:val="center"/>
          </w:tcPr>
          <w:p w14:paraId="153A06B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3、网络设备</w:t>
            </w:r>
          </w:p>
        </w:tc>
      </w:tr>
      <w:tr w14:paraId="612E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6E9210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4" w:type="pct"/>
            <w:shd w:val="clear" w:color="auto" w:fill="auto"/>
            <w:vAlign w:val="center"/>
          </w:tcPr>
          <w:p w14:paraId="4F2E2C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核心交换机</w:t>
            </w:r>
          </w:p>
        </w:tc>
        <w:tc>
          <w:tcPr>
            <w:tcW w:w="3515" w:type="pct"/>
            <w:shd w:val="clear" w:color="auto" w:fill="auto"/>
            <w:vAlign w:val="center"/>
          </w:tcPr>
          <w:p w14:paraId="6BE4968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交换容量≥76Tbps,包转发率≥8600Mpps，官网有两个指标的以最小值为准，提供官网截图及链接；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配置主控引擎模块≥2，电源模块≥2，满足1+1冗余，主控槽位与业务线卡槽位宽度相同的全宽槽位，业务槽位数≥6；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支持Telemetry流量可视化功能；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支持横向虚拟化技术，具备四虚一功能，提供相关证明材料；</w:t>
            </w:r>
          </w:p>
          <w:p w14:paraId="3426268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支持一虚多技术，可以实现创建、删除、单板划入、单板划出交换机的特性；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支持基于IPv4\IPv6的 VXLAN 二三层互通(包括分布式网关或集中式网关)，支持 EVPN，与非 VXLAN 网络互通，支持 VxLAN OAM ping 和tracert；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支持IPv4\Pv6 BFD功能,支持BFD与OSPF/VRRP/ BGP4+联动,支持 BFD 3ms最小探测间隔测试，平均收敛性能&lt;12ms，提供第三方权威机构测试报告；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为了保障网络安全，支持防火墙、IPS、应用识别等多种安全业务板卡，提供官网选配截图证明；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配置要求：双主控，双电源模块，并提供原厂三年服务质保函；</w:t>
            </w:r>
          </w:p>
        </w:tc>
        <w:tc>
          <w:tcPr>
            <w:tcW w:w="293" w:type="pct"/>
            <w:shd w:val="clear" w:color="auto" w:fill="auto"/>
            <w:vAlign w:val="center"/>
          </w:tcPr>
          <w:p w14:paraId="472C52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171176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3DEB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93" w:type="pct"/>
            <w:shd w:val="clear" w:color="auto" w:fill="auto"/>
            <w:vAlign w:val="center"/>
          </w:tcPr>
          <w:p w14:paraId="23000E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04" w:type="pct"/>
            <w:shd w:val="clear" w:color="auto" w:fill="auto"/>
            <w:vAlign w:val="center"/>
          </w:tcPr>
          <w:p w14:paraId="6F6891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业务板卡（电口）</w:t>
            </w:r>
          </w:p>
        </w:tc>
        <w:tc>
          <w:tcPr>
            <w:tcW w:w="3515" w:type="pct"/>
            <w:shd w:val="clear" w:color="auto" w:fill="auto"/>
            <w:vAlign w:val="center"/>
          </w:tcPr>
          <w:p w14:paraId="0868233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≥48个100/1000 Base-T 以太网电口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接口类型10M/100M/1000M自适应RJ-45电接口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接口传输速率10M/100M/1000Mbps</w:t>
            </w:r>
          </w:p>
        </w:tc>
        <w:tc>
          <w:tcPr>
            <w:tcW w:w="293" w:type="pct"/>
            <w:shd w:val="clear" w:color="auto" w:fill="auto"/>
            <w:vAlign w:val="center"/>
          </w:tcPr>
          <w:p w14:paraId="5D1A56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64C669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3FCD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128794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04" w:type="pct"/>
            <w:shd w:val="clear" w:color="auto" w:fill="auto"/>
            <w:vAlign w:val="center"/>
          </w:tcPr>
          <w:p w14:paraId="5120D5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业务板卡（光口）</w:t>
            </w:r>
          </w:p>
        </w:tc>
        <w:tc>
          <w:tcPr>
            <w:tcW w:w="3515" w:type="pct"/>
            <w:shd w:val="clear" w:color="auto" w:fill="auto"/>
            <w:vAlign w:val="center"/>
          </w:tcPr>
          <w:p w14:paraId="09A266E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48端口万兆以太网光接口模块(SFP+,LC)</w:t>
            </w:r>
          </w:p>
        </w:tc>
        <w:tc>
          <w:tcPr>
            <w:tcW w:w="293" w:type="pct"/>
            <w:shd w:val="clear" w:color="auto" w:fill="auto"/>
            <w:vAlign w:val="center"/>
          </w:tcPr>
          <w:p w14:paraId="14F3FF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59F4AE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222C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0DCC02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04" w:type="pct"/>
            <w:shd w:val="clear" w:color="auto" w:fill="auto"/>
            <w:vAlign w:val="center"/>
          </w:tcPr>
          <w:p w14:paraId="2DCBD5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接入交换机</w:t>
            </w:r>
          </w:p>
        </w:tc>
        <w:tc>
          <w:tcPr>
            <w:tcW w:w="3515" w:type="pct"/>
            <w:shd w:val="clear" w:color="auto" w:fill="auto"/>
            <w:vAlign w:val="center"/>
          </w:tcPr>
          <w:p w14:paraId="6CA7EA3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1.交换容量≥336cbps；包转发率(整机)≥126Mpps，官网有两个指标的以最小值为准；24个10/100/1000Base-T自适应以太网端口，4个1/10GESFP+端口；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2.支持对端口接收和发送报文的速率进行限制；组播管理：支持IGMP v1/v2/v3 Snooping和快速离开机制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3.支持VLAN内组播转发和组播多VLAN复制，支持捆绑端口的组播负载分担，支持可控组播，支持基于端口的组播流量统计；</w:t>
            </w:r>
          </w:p>
          <w:p w14:paraId="55BBD3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★4.支持Telemetry技术，提供官网截图和链接证明；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★5.交换机内置网络管理平台，可作为被管理设备，连接到网络中，6.实现轻松维护，提供官网截图和链接证明；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7.支持G.8032以太网环保护协议ERPS、切换时间≤50ms，支持SmartLink，提供官网截图和链接证明；</w:t>
            </w:r>
          </w:p>
        </w:tc>
        <w:tc>
          <w:tcPr>
            <w:tcW w:w="293" w:type="pct"/>
            <w:shd w:val="clear" w:color="auto" w:fill="auto"/>
            <w:vAlign w:val="center"/>
          </w:tcPr>
          <w:p w14:paraId="3DE751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530B12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r>
      <w:tr w14:paraId="27DF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4DBF3D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04" w:type="pct"/>
            <w:shd w:val="clear" w:color="auto" w:fill="auto"/>
            <w:vAlign w:val="center"/>
          </w:tcPr>
          <w:p w14:paraId="7BD983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8口交换机</w:t>
            </w:r>
          </w:p>
        </w:tc>
        <w:tc>
          <w:tcPr>
            <w:tcW w:w="3515" w:type="pct"/>
            <w:shd w:val="clear" w:color="auto" w:fill="auto"/>
            <w:vAlign w:val="center"/>
          </w:tcPr>
          <w:p w14:paraId="1280BE3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1.8个10/100/1000Base-T以太网电口</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2.模式切换：标准交换，端口隔离</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3.交换容量：16Gbps</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4.转发能力：11.9Mpps</w:t>
            </w:r>
            <w:r>
              <w:rPr>
                <w:rFonts w:hint="eastAsia" w:ascii="宋体" w:hAnsi="宋体" w:cs="宋体"/>
                <w:i w:val="0"/>
                <w:iCs w:val="0"/>
                <w:color w:val="auto"/>
                <w:kern w:val="0"/>
                <w:sz w:val="21"/>
                <w:szCs w:val="21"/>
                <w:highlight w:val="none"/>
                <w:u w:val="none"/>
                <w:lang w:val="en-US" w:eastAsia="zh-CN" w:bidi="ar"/>
              </w:rPr>
              <w:t>。</w:t>
            </w:r>
          </w:p>
        </w:tc>
        <w:tc>
          <w:tcPr>
            <w:tcW w:w="293" w:type="pct"/>
            <w:shd w:val="clear" w:color="auto" w:fill="auto"/>
            <w:vAlign w:val="center"/>
          </w:tcPr>
          <w:p w14:paraId="48DC1F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03C4FB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0197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5"/>
            <w:shd w:val="clear" w:color="auto" w:fill="auto"/>
            <w:vAlign w:val="center"/>
          </w:tcPr>
          <w:p w14:paraId="0C0B431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4、其他设备与材料</w:t>
            </w:r>
          </w:p>
        </w:tc>
      </w:tr>
      <w:tr w14:paraId="6D7B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325E33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4" w:type="pct"/>
            <w:shd w:val="clear" w:color="auto" w:fill="auto"/>
            <w:vAlign w:val="center"/>
          </w:tcPr>
          <w:p w14:paraId="388615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机架式电源1</w:t>
            </w:r>
          </w:p>
        </w:tc>
        <w:tc>
          <w:tcPr>
            <w:tcW w:w="3515" w:type="pct"/>
            <w:shd w:val="clear" w:color="auto" w:fill="auto"/>
            <w:vAlign w:val="center"/>
          </w:tcPr>
          <w:p w14:paraId="11324F1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1U标准机箱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输出：DC12V30A，24路输出</w:t>
            </w:r>
          </w:p>
        </w:tc>
        <w:tc>
          <w:tcPr>
            <w:tcW w:w="293" w:type="pct"/>
            <w:shd w:val="clear" w:color="auto" w:fill="auto"/>
            <w:vAlign w:val="center"/>
          </w:tcPr>
          <w:p w14:paraId="162E23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757F71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r>
      <w:tr w14:paraId="00BF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529E5F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04" w:type="pct"/>
            <w:shd w:val="clear" w:color="auto" w:fill="auto"/>
            <w:vAlign w:val="center"/>
          </w:tcPr>
          <w:p w14:paraId="682CED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机架式电源2</w:t>
            </w:r>
          </w:p>
        </w:tc>
        <w:tc>
          <w:tcPr>
            <w:tcW w:w="3515" w:type="pct"/>
            <w:shd w:val="clear" w:color="auto" w:fill="auto"/>
            <w:vAlign w:val="center"/>
          </w:tcPr>
          <w:p w14:paraId="2A26312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1U标准机箱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输出：DC24V30A，24路输出</w:t>
            </w:r>
          </w:p>
        </w:tc>
        <w:tc>
          <w:tcPr>
            <w:tcW w:w="293" w:type="pct"/>
            <w:shd w:val="clear" w:color="auto" w:fill="auto"/>
            <w:vAlign w:val="center"/>
          </w:tcPr>
          <w:p w14:paraId="21CF43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5FC39E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14:paraId="4E69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2AEA1A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04" w:type="pct"/>
            <w:shd w:val="clear" w:color="auto" w:fill="auto"/>
            <w:vAlign w:val="center"/>
          </w:tcPr>
          <w:p w14:paraId="33CF16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光纤配线架</w:t>
            </w:r>
          </w:p>
        </w:tc>
        <w:tc>
          <w:tcPr>
            <w:tcW w:w="3515" w:type="pct"/>
            <w:shd w:val="clear" w:color="auto" w:fill="auto"/>
            <w:vAlign w:val="center"/>
          </w:tcPr>
          <w:p w14:paraId="47973EC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1U标准机箱，24口48芯，LC耦合器满配，法兰衰减≤0.2dB，尾纤损耗≤0.3dB</w:t>
            </w:r>
          </w:p>
        </w:tc>
        <w:tc>
          <w:tcPr>
            <w:tcW w:w="293" w:type="pct"/>
            <w:shd w:val="clear" w:color="auto" w:fill="auto"/>
            <w:vAlign w:val="center"/>
          </w:tcPr>
          <w:p w14:paraId="575F13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29EAC7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4967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301F47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04" w:type="pct"/>
            <w:shd w:val="clear" w:color="auto" w:fill="auto"/>
            <w:vAlign w:val="center"/>
          </w:tcPr>
          <w:p w14:paraId="0E2785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光纤终端盒</w:t>
            </w:r>
          </w:p>
        </w:tc>
        <w:tc>
          <w:tcPr>
            <w:tcW w:w="3515" w:type="pct"/>
            <w:shd w:val="clear" w:color="auto" w:fill="auto"/>
            <w:vAlign w:val="center"/>
          </w:tcPr>
          <w:p w14:paraId="71BCD58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4口8芯，LC耦合器满配，法兰衰减≤0.2dB，尾纤损耗≤0.3dB</w:t>
            </w:r>
          </w:p>
        </w:tc>
        <w:tc>
          <w:tcPr>
            <w:tcW w:w="293" w:type="pct"/>
            <w:shd w:val="clear" w:color="auto" w:fill="auto"/>
            <w:vAlign w:val="center"/>
          </w:tcPr>
          <w:p w14:paraId="678C63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77EB73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14:paraId="6811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73C458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04" w:type="pct"/>
            <w:shd w:val="clear" w:color="auto" w:fill="auto"/>
            <w:vAlign w:val="center"/>
          </w:tcPr>
          <w:p w14:paraId="36E8EF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12U墙柜</w:t>
            </w:r>
          </w:p>
        </w:tc>
        <w:tc>
          <w:tcPr>
            <w:tcW w:w="3515" w:type="pct"/>
            <w:shd w:val="clear" w:color="auto" w:fill="auto"/>
            <w:vAlign w:val="center"/>
          </w:tcPr>
          <w:p w14:paraId="1427173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12U标准墙柜，配12口PDU</w:t>
            </w:r>
          </w:p>
        </w:tc>
        <w:tc>
          <w:tcPr>
            <w:tcW w:w="293" w:type="pct"/>
            <w:shd w:val="clear" w:color="auto" w:fill="auto"/>
            <w:vAlign w:val="center"/>
          </w:tcPr>
          <w:p w14:paraId="167B5C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29AF13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3F51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6E3DD0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04" w:type="pct"/>
            <w:shd w:val="clear" w:color="auto" w:fill="auto"/>
            <w:vAlign w:val="center"/>
          </w:tcPr>
          <w:p w14:paraId="4EC991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LED灯泡</w:t>
            </w:r>
          </w:p>
        </w:tc>
        <w:tc>
          <w:tcPr>
            <w:tcW w:w="3515" w:type="pct"/>
            <w:shd w:val="clear" w:color="auto" w:fill="auto"/>
            <w:vAlign w:val="center"/>
          </w:tcPr>
          <w:p w14:paraId="777155F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9W，LED灯泡，DC12V或24V；</w:t>
            </w:r>
          </w:p>
        </w:tc>
        <w:tc>
          <w:tcPr>
            <w:tcW w:w="293" w:type="pct"/>
            <w:shd w:val="clear" w:color="auto" w:fill="auto"/>
            <w:vAlign w:val="center"/>
          </w:tcPr>
          <w:p w14:paraId="1457CA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93" w:type="pct"/>
            <w:shd w:val="clear" w:color="auto" w:fill="auto"/>
            <w:vAlign w:val="center"/>
          </w:tcPr>
          <w:p w14:paraId="4E5E34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793F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1D70E0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04" w:type="pct"/>
            <w:shd w:val="clear" w:color="auto" w:fill="auto"/>
            <w:vAlign w:val="center"/>
          </w:tcPr>
          <w:p w14:paraId="080997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灯座</w:t>
            </w:r>
          </w:p>
        </w:tc>
        <w:tc>
          <w:tcPr>
            <w:tcW w:w="3515" w:type="pct"/>
            <w:shd w:val="clear" w:color="auto" w:fill="auto"/>
            <w:vAlign w:val="center"/>
          </w:tcPr>
          <w:p w14:paraId="0B95CAE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灯座</w:t>
            </w:r>
          </w:p>
        </w:tc>
        <w:tc>
          <w:tcPr>
            <w:tcW w:w="293" w:type="pct"/>
            <w:shd w:val="clear" w:color="auto" w:fill="auto"/>
            <w:vAlign w:val="center"/>
          </w:tcPr>
          <w:p w14:paraId="68EC73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93" w:type="pct"/>
            <w:shd w:val="clear" w:color="auto" w:fill="auto"/>
            <w:vAlign w:val="center"/>
          </w:tcPr>
          <w:p w14:paraId="7C8DBC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267C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450B29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04" w:type="pct"/>
            <w:shd w:val="clear" w:color="auto" w:fill="auto"/>
            <w:vAlign w:val="center"/>
          </w:tcPr>
          <w:p w14:paraId="1A777AE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应急照明强启开关</w:t>
            </w:r>
          </w:p>
        </w:tc>
        <w:tc>
          <w:tcPr>
            <w:tcW w:w="3515" w:type="pct"/>
            <w:shd w:val="clear" w:color="auto" w:fill="auto"/>
            <w:vAlign w:val="center"/>
          </w:tcPr>
          <w:p w14:paraId="695A649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正常情况下无输出（应急灯不亮），市电断电后开启，UPS供电接通打开应急照明，输出功率大于1500W；</w:t>
            </w:r>
          </w:p>
        </w:tc>
        <w:tc>
          <w:tcPr>
            <w:tcW w:w="293" w:type="pct"/>
            <w:shd w:val="clear" w:color="auto" w:fill="auto"/>
            <w:vAlign w:val="center"/>
          </w:tcPr>
          <w:p w14:paraId="6B8B1B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93" w:type="pct"/>
            <w:shd w:val="clear" w:color="auto" w:fill="auto"/>
            <w:vAlign w:val="center"/>
          </w:tcPr>
          <w:p w14:paraId="17DC27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67D0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93" w:type="pct"/>
            <w:shd w:val="clear" w:color="auto" w:fill="auto"/>
            <w:vAlign w:val="center"/>
          </w:tcPr>
          <w:p w14:paraId="58C97E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604" w:type="pct"/>
            <w:shd w:val="clear" w:color="auto" w:fill="auto"/>
            <w:vAlign w:val="center"/>
          </w:tcPr>
          <w:p w14:paraId="278F26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网络时钟屏</w:t>
            </w:r>
          </w:p>
        </w:tc>
        <w:tc>
          <w:tcPr>
            <w:tcW w:w="3515" w:type="pct"/>
            <w:shd w:val="clear" w:color="auto" w:fill="auto"/>
            <w:vAlign w:val="center"/>
          </w:tcPr>
          <w:p w14:paraId="2A0501C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网络时钟LED屏，时间显示，监室内安装，金属外壳，单面显示，可遥控控制；外形参考尺寸310mm(长)*135（高）*45mm（厚）符合监室空间要求，可视距离20米；采用NTP协议与时钟同步服务器同步；网络有线连接。</w:t>
            </w:r>
          </w:p>
        </w:tc>
        <w:tc>
          <w:tcPr>
            <w:tcW w:w="293" w:type="pct"/>
            <w:shd w:val="clear" w:color="auto" w:fill="auto"/>
            <w:vAlign w:val="center"/>
          </w:tcPr>
          <w:p w14:paraId="3D0B94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3CEAB4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7F1A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93" w:type="pct"/>
            <w:shd w:val="clear" w:color="auto" w:fill="auto"/>
            <w:vAlign w:val="center"/>
          </w:tcPr>
          <w:p w14:paraId="6348D7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04" w:type="pct"/>
            <w:shd w:val="clear" w:color="auto" w:fill="auto"/>
            <w:vAlign w:val="center"/>
          </w:tcPr>
          <w:p w14:paraId="66EEB6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多模光模块</w:t>
            </w:r>
          </w:p>
        </w:tc>
        <w:tc>
          <w:tcPr>
            <w:tcW w:w="3515" w:type="pct"/>
            <w:shd w:val="clear" w:color="auto" w:fill="auto"/>
            <w:vAlign w:val="center"/>
          </w:tcPr>
          <w:p w14:paraId="0CCA25A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SFP+ 万兆多模模块(850nm,300m,Lc)</w:t>
            </w:r>
          </w:p>
        </w:tc>
        <w:tc>
          <w:tcPr>
            <w:tcW w:w="293" w:type="pct"/>
            <w:shd w:val="clear" w:color="auto" w:fill="auto"/>
            <w:vAlign w:val="center"/>
          </w:tcPr>
          <w:p w14:paraId="563C07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293" w:type="pct"/>
            <w:shd w:val="clear" w:color="auto" w:fill="auto"/>
            <w:vAlign w:val="center"/>
          </w:tcPr>
          <w:p w14:paraId="4A6437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2137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93" w:type="pct"/>
            <w:shd w:val="clear" w:color="auto" w:fill="auto"/>
            <w:vAlign w:val="center"/>
          </w:tcPr>
          <w:p w14:paraId="037938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604" w:type="pct"/>
            <w:shd w:val="clear" w:color="auto" w:fill="auto"/>
            <w:vAlign w:val="center"/>
          </w:tcPr>
          <w:p w14:paraId="2A0CF1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单模光模块</w:t>
            </w:r>
          </w:p>
        </w:tc>
        <w:tc>
          <w:tcPr>
            <w:tcW w:w="3515" w:type="pct"/>
            <w:shd w:val="clear" w:color="auto" w:fill="auto"/>
            <w:vAlign w:val="center"/>
          </w:tcPr>
          <w:p w14:paraId="1A2BD57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SFP+ 万兆单模模块(1310nm,10km,Lc)</w:t>
            </w:r>
          </w:p>
        </w:tc>
        <w:tc>
          <w:tcPr>
            <w:tcW w:w="293" w:type="pct"/>
            <w:shd w:val="clear" w:color="auto" w:fill="auto"/>
            <w:vAlign w:val="center"/>
          </w:tcPr>
          <w:p w14:paraId="0909C2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293" w:type="pct"/>
            <w:shd w:val="clear" w:color="auto" w:fill="auto"/>
            <w:vAlign w:val="center"/>
          </w:tcPr>
          <w:p w14:paraId="2ADB12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r>
      <w:tr w14:paraId="353C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7C226A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604" w:type="pct"/>
            <w:shd w:val="clear" w:color="auto" w:fill="auto"/>
            <w:vAlign w:val="center"/>
          </w:tcPr>
          <w:p w14:paraId="0DE3F7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单模光跳线</w:t>
            </w:r>
          </w:p>
        </w:tc>
        <w:tc>
          <w:tcPr>
            <w:tcW w:w="3515" w:type="pct"/>
            <w:shd w:val="clear" w:color="auto" w:fill="auto"/>
            <w:vAlign w:val="center"/>
          </w:tcPr>
          <w:p w14:paraId="1ED4D69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单模 3米，双LC-LC</w:t>
            </w:r>
          </w:p>
        </w:tc>
        <w:tc>
          <w:tcPr>
            <w:tcW w:w="293" w:type="pct"/>
            <w:shd w:val="clear" w:color="auto" w:fill="auto"/>
            <w:vAlign w:val="center"/>
          </w:tcPr>
          <w:p w14:paraId="0766EF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293" w:type="pct"/>
            <w:shd w:val="clear" w:color="auto" w:fill="auto"/>
            <w:vAlign w:val="center"/>
          </w:tcPr>
          <w:p w14:paraId="2772A1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r>
      <w:tr w14:paraId="51BF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6F3DAD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604" w:type="pct"/>
            <w:shd w:val="clear" w:color="auto" w:fill="auto"/>
            <w:vAlign w:val="center"/>
          </w:tcPr>
          <w:p w14:paraId="57AE19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单模光纤尾纤</w:t>
            </w:r>
          </w:p>
        </w:tc>
        <w:tc>
          <w:tcPr>
            <w:tcW w:w="3515" w:type="pct"/>
            <w:shd w:val="clear" w:color="auto" w:fill="auto"/>
            <w:vAlign w:val="center"/>
          </w:tcPr>
          <w:p w14:paraId="364F20A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单模 3米，双LC-LC</w:t>
            </w:r>
          </w:p>
        </w:tc>
        <w:tc>
          <w:tcPr>
            <w:tcW w:w="293" w:type="pct"/>
            <w:shd w:val="clear" w:color="auto" w:fill="auto"/>
            <w:vAlign w:val="center"/>
          </w:tcPr>
          <w:p w14:paraId="007EB0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293" w:type="pct"/>
            <w:shd w:val="clear" w:color="auto" w:fill="auto"/>
            <w:vAlign w:val="center"/>
          </w:tcPr>
          <w:p w14:paraId="73C4EF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r>
      <w:tr w14:paraId="18FD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93" w:type="pct"/>
            <w:shd w:val="clear" w:color="auto" w:fill="auto"/>
            <w:vAlign w:val="center"/>
          </w:tcPr>
          <w:p w14:paraId="40B108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604" w:type="pct"/>
            <w:shd w:val="clear" w:color="auto" w:fill="auto"/>
            <w:vAlign w:val="center"/>
          </w:tcPr>
          <w:p w14:paraId="6A4D57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多模光跳线</w:t>
            </w:r>
          </w:p>
        </w:tc>
        <w:tc>
          <w:tcPr>
            <w:tcW w:w="3515" w:type="pct"/>
            <w:shd w:val="clear" w:color="auto" w:fill="auto"/>
            <w:vAlign w:val="center"/>
          </w:tcPr>
          <w:p w14:paraId="5342275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多模 5米，双LC-LC</w:t>
            </w:r>
          </w:p>
        </w:tc>
        <w:tc>
          <w:tcPr>
            <w:tcW w:w="293" w:type="pct"/>
            <w:shd w:val="clear" w:color="auto" w:fill="auto"/>
            <w:vAlign w:val="center"/>
          </w:tcPr>
          <w:p w14:paraId="0FE2F0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293" w:type="pct"/>
            <w:shd w:val="clear" w:color="auto" w:fill="auto"/>
            <w:vAlign w:val="center"/>
          </w:tcPr>
          <w:p w14:paraId="05C786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195D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93" w:type="pct"/>
            <w:shd w:val="clear" w:color="auto" w:fill="auto"/>
            <w:vAlign w:val="center"/>
          </w:tcPr>
          <w:p w14:paraId="75BDD6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604" w:type="pct"/>
            <w:shd w:val="clear" w:color="auto" w:fill="auto"/>
            <w:vAlign w:val="center"/>
          </w:tcPr>
          <w:p w14:paraId="04B8D2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网络跳线</w:t>
            </w:r>
          </w:p>
        </w:tc>
        <w:tc>
          <w:tcPr>
            <w:tcW w:w="3515" w:type="pct"/>
            <w:shd w:val="clear" w:color="auto" w:fill="auto"/>
            <w:vAlign w:val="center"/>
          </w:tcPr>
          <w:p w14:paraId="1C11A1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六类，RJ45跳线，3米</w:t>
            </w:r>
          </w:p>
        </w:tc>
        <w:tc>
          <w:tcPr>
            <w:tcW w:w="293" w:type="pct"/>
            <w:shd w:val="clear" w:color="auto" w:fill="auto"/>
            <w:vAlign w:val="center"/>
          </w:tcPr>
          <w:p w14:paraId="22B95C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293" w:type="pct"/>
            <w:shd w:val="clear" w:color="auto" w:fill="auto"/>
            <w:vAlign w:val="center"/>
          </w:tcPr>
          <w:p w14:paraId="276166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14:paraId="1E2C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4CE1BF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604" w:type="pct"/>
            <w:shd w:val="clear" w:color="auto" w:fill="auto"/>
            <w:vAlign w:val="center"/>
          </w:tcPr>
          <w:p w14:paraId="6EF478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网络跳线</w:t>
            </w:r>
          </w:p>
        </w:tc>
        <w:tc>
          <w:tcPr>
            <w:tcW w:w="3515" w:type="pct"/>
            <w:shd w:val="clear" w:color="auto" w:fill="auto"/>
            <w:vAlign w:val="center"/>
          </w:tcPr>
          <w:p w14:paraId="349C2F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六类，RJ45跳线，5米</w:t>
            </w:r>
          </w:p>
        </w:tc>
        <w:tc>
          <w:tcPr>
            <w:tcW w:w="293" w:type="pct"/>
            <w:shd w:val="clear" w:color="auto" w:fill="auto"/>
            <w:vAlign w:val="center"/>
          </w:tcPr>
          <w:p w14:paraId="2B96DF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293" w:type="pct"/>
            <w:shd w:val="clear" w:color="auto" w:fill="auto"/>
            <w:vAlign w:val="center"/>
          </w:tcPr>
          <w:p w14:paraId="0D6993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3D6C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463EBA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604" w:type="pct"/>
            <w:shd w:val="clear" w:color="auto" w:fill="auto"/>
            <w:vAlign w:val="center"/>
          </w:tcPr>
          <w:p w14:paraId="1A9B4A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辅材</w:t>
            </w:r>
          </w:p>
        </w:tc>
        <w:tc>
          <w:tcPr>
            <w:tcW w:w="3515" w:type="pct"/>
            <w:shd w:val="clear" w:color="auto" w:fill="auto"/>
            <w:vAlign w:val="center"/>
          </w:tcPr>
          <w:p w14:paraId="1B96F06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设备安装辅材，水晶头，理线架等</w:t>
            </w:r>
          </w:p>
        </w:tc>
        <w:tc>
          <w:tcPr>
            <w:tcW w:w="293" w:type="pct"/>
            <w:shd w:val="clear" w:color="auto" w:fill="auto"/>
            <w:vAlign w:val="center"/>
          </w:tcPr>
          <w:p w14:paraId="3A1DC7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293" w:type="pct"/>
            <w:shd w:val="clear" w:color="auto" w:fill="auto"/>
            <w:vAlign w:val="center"/>
          </w:tcPr>
          <w:p w14:paraId="3B9388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199E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5"/>
            <w:shd w:val="clear" w:color="auto" w:fill="auto"/>
            <w:vAlign w:val="center"/>
          </w:tcPr>
          <w:p w14:paraId="7283126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三、智能电教系统</w:t>
            </w:r>
          </w:p>
        </w:tc>
      </w:tr>
      <w:tr w14:paraId="3F1E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6EE757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4" w:type="pct"/>
            <w:shd w:val="clear" w:color="auto" w:fill="auto"/>
            <w:vAlign w:val="center"/>
          </w:tcPr>
          <w:p w14:paraId="51B08D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电视机</w:t>
            </w:r>
          </w:p>
        </w:tc>
        <w:tc>
          <w:tcPr>
            <w:tcW w:w="3515" w:type="pct"/>
            <w:shd w:val="clear" w:color="auto" w:fill="auto"/>
            <w:vAlign w:val="center"/>
          </w:tcPr>
          <w:p w14:paraId="76A3DD34">
            <w:pPr>
              <w:keepNext w:val="0"/>
              <w:keepLines w:val="0"/>
              <w:widowControl/>
              <w:suppressLineNumbers w:val="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42寸电视机带HDMI接口，通电自动启动，含HDMI线5米</w:t>
            </w:r>
            <w:r>
              <w:rPr>
                <w:rFonts w:hint="eastAsia" w:ascii="宋体" w:hAnsi="宋体" w:cs="宋体"/>
                <w:i w:val="0"/>
                <w:iCs w:val="0"/>
                <w:color w:val="auto"/>
                <w:kern w:val="0"/>
                <w:sz w:val="21"/>
                <w:szCs w:val="21"/>
                <w:highlight w:val="none"/>
                <w:u w:val="none"/>
                <w:lang w:val="en-US" w:eastAsia="zh-CN" w:bidi="ar"/>
              </w:rPr>
              <w:t>；</w:t>
            </w:r>
          </w:p>
          <w:p w14:paraId="0638332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color w:val="auto"/>
                <w:kern w:val="0"/>
                <w:sz w:val="22"/>
                <w:szCs w:val="22"/>
                <w:highlight w:val="none"/>
              </w:rPr>
              <w:t>▲2.本产品属于强制节能产品，投标文件中提供获得国家确定的认证机构出具的、处于有效期之内的节能产品认证证书。</w:t>
            </w:r>
          </w:p>
        </w:tc>
        <w:tc>
          <w:tcPr>
            <w:tcW w:w="293" w:type="pct"/>
            <w:shd w:val="clear" w:color="auto" w:fill="auto"/>
            <w:vAlign w:val="center"/>
          </w:tcPr>
          <w:p w14:paraId="5A0BF0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21AF0E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r>
      <w:tr w14:paraId="5B2F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1E0A9F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04" w:type="pct"/>
            <w:shd w:val="clear" w:color="auto" w:fill="auto"/>
            <w:vAlign w:val="center"/>
          </w:tcPr>
          <w:p w14:paraId="473930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电视机支架</w:t>
            </w:r>
          </w:p>
        </w:tc>
        <w:tc>
          <w:tcPr>
            <w:tcW w:w="3515" w:type="pct"/>
            <w:shd w:val="clear" w:color="auto" w:fill="auto"/>
            <w:vAlign w:val="center"/>
          </w:tcPr>
          <w:p w14:paraId="53B0D8B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全方位包裹电视机轮廓、铁材质、喷塑，质地光滑，防悬挂处理</w:t>
            </w:r>
          </w:p>
        </w:tc>
        <w:tc>
          <w:tcPr>
            <w:tcW w:w="293" w:type="pct"/>
            <w:shd w:val="clear" w:color="auto" w:fill="auto"/>
            <w:vAlign w:val="center"/>
          </w:tcPr>
          <w:p w14:paraId="5061FD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93" w:type="pct"/>
            <w:shd w:val="clear" w:color="auto" w:fill="auto"/>
            <w:vAlign w:val="center"/>
          </w:tcPr>
          <w:p w14:paraId="2EFB8F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r>
      <w:tr w14:paraId="6895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93" w:type="pct"/>
            <w:shd w:val="clear" w:color="auto" w:fill="auto"/>
            <w:vAlign w:val="center"/>
          </w:tcPr>
          <w:p w14:paraId="638712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04" w:type="pct"/>
            <w:shd w:val="clear" w:color="auto" w:fill="auto"/>
            <w:vAlign w:val="center"/>
          </w:tcPr>
          <w:p w14:paraId="6EA06D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电源时序器</w:t>
            </w:r>
          </w:p>
        </w:tc>
        <w:tc>
          <w:tcPr>
            <w:tcW w:w="3515" w:type="pct"/>
            <w:shd w:val="clear" w:color="auto" w:fill="auto"/>
            <w:vAlign w:val="center"/>
          </w:tcPr>
          <w:p w14:paraId="379F012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支持主从机设置，通过主设备电源锁可一键开启或关闭所有从设备；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提供智能化电源控制管理，可设置定时任务。支持顺序打开或关闭电源功能，支持设置电源的开关时序间隔；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具备≥8路电源输出插座，其中≥8路10A的插座规格，总电流≥30A；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支持对每一路电源输出进行定时编程，实现全自动无人值守的电源管理；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支持离线模式，本地自带定时程序，内置高精度时钟，在脱离服务器时，也能保证定时任务按时执行；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具备≥2个10M/100M网口，≥2路RS485接口、≥1路外接传感器供电接口；</w:t>
            </w:r>
          </w:p>
        </w:tc>
        <w:tc>
          <w:tcPr>
            <w:tcW w:w="293" w:type="pct"/>
            <w:shd w:val="clear" w:color="auto" w:fill="auto"/>
            <w:vAlign w:val="center"/>
          </w:tcPr>
          <w:p w14:paraId="2C788F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313634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3FAB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1CEB9A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04" w:type="pct"/>
            <w:shd w:val="clear" w:color="auto" w:fill="auto"/>
            <w:vAlign w:val="center"/>
          </w:tcPr>
          <w:p w14:paraId="379350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电教终端</w:t>
            </w:r>
          </w:p>
        </w:tc>
        <w:tc>
          <w:tcPr>
            <w:tcW w:w="3515" w:type="pct"/>
            <w:shd w:val="clear" w:color="auto" w:fill="auto"/>
            <w:vAlign w:val="center"/>
          </w:tcPr>
          <w:p w14:paraId="66966B8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支持4路1080P监控画面直播</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支持4K画面播放</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CPU：四核Cortex-A17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存储参数：内存≥2G，储存空间：≥8 GB（EMMC），内置TF卡≥32 GB</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网络：有线、无线WIFI</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接口：HDMI OUT×1，AUDIO IN×1,AUDIO OUT×1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RJ45 IN×1,USB2.0×2,TF卡接口×1</w:t>
            </w:r>
            <w:r>
              <w:rPr>
                <w:rFonts w:hint="eastAsia" w:ascii="宋体" w:hAnsi="宋体" w:cs="宋体"/>
                <w:i w:val="0"/>
                <w:iCs w:val="0"/>
                <w:color w:val="auto"/>
                <w:kern w:val="0"/>
                <w:sz w:val="21"/>
                <w:szCs w:val="21"/>
                <w:highlight w:val="none"/>
                <w:u w:val="none"/>
                <w:lang w:val="en-US" w:eastAsia="zh-CN" w:bidi="ar"/>
              </w:rPr>
              <w:t>。</w:t>
            </w:r>
          </w:p>
        </w:tc>
        <w:tc>
          <w:tcPr>
            <w:tcW w:w="293" w:type="pct"/>
            <w:shd w:val="clear" w:color="auto" w:fill="auto"/>
            <w:vAlign w:val="center"/>
          </w:tcPr>
          <w:p w14:paraId="5EBECB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38BA4E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r>
      <w:tr w14:paraId="1BE80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292D81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04" w:type="pct"/>
            <w:shd w:val="clear" w:color="auto" w:fill="auto"/>
            <w:vAlign w:val="center"/>
          </w:tcPr>
          <w:p w14:paraId="1D9301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监室内音箱</w:t>
            </w:r>
          </w:p>
        </w:tc>
        <w:tc>
          <w:tcPr>
            <w:tcW w:w="3515" w:type="pct"/>
            <w:shd w:val="clear" w:color="auto" w:fill="auto"/>
            <w:vAlign w:val="center"/>
          </w:tcPr>
          <w:p w14:paraId="30BFF1E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20W网络有源音箱</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阵列数量：2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频率响应：100 Hz ~ 20 kHz</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灵敏度：-42 dBV/Pa</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采样率：48 kHz</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 xml:space="preserve">量化位数：16 bit </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额定功率：20 W</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扬声器单元：全频5.25′′ × 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灵敏度（1 m，1 W）：90 dB</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最大声压级（1 m）：101 dBSPL</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11.</w:t>
            </w:r>
            <w:r>
              <w:rPr>
                <w:rFonts w:hint="eastAsia" w:ascii="宋体" w:hAnsi="宋体" w:eastAsia="宋体" w:cs="宋体"/>
                <w:i w:val="0"/>
                <w:iCs w:val="0"/>
                <w:color w:val="auto"/>
                <w:kern w:val="0"/>
                <w:sz w:val="21"/>
                <w:szCs w:val="21"/>
                <w:highlight w:val="none"/>
                <w:u w:val="none"/>
                <w:lang w:val="en-US" w:eastAsia="zh-CN" w:bidi="ar"/>
              </w:rPr>
              <w:t>频率响应：100 Hz-20 kHz</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 xml:space="preserve">信噪比：≥83 dB </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13.</w:t>
            </w:r>
            <w:r>
              <w:rPr>
                <w:rFonts w:hint="eastAsia" w:ascii="宋体" w:hAnsi="宋体" w:eastAsia="宋体" w:cs="宋体"/>
                <w:i w:val="0"/>
                <w:iCs w:val="0"/>
                <w:color w:val="auto"/>
                <w:kern w:val="0"/>
                <w:sz w:val="21"/>
                <w:szCs w:val="21"/>
                <w:highlight w:val="none"/>
                <w:u w:val="none"/>
                <w:lang w:val="en-US" w:eastAsia="zh-CN" w:bidi="ar"/>
              </w:rPr>
              <w:t>音频算法：AEC、AGC、ANS、DRC</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14.</w:t>
            </w:r>
            <w:r>
              <w:rPr>
                <w:rFonts w:hint="eastAsia" w:ascii="宋体" w:hAnsi="宋体" w:eastAsia="宋体" w:cs="宋体"/>
                <w:i w:val="0"/>
                <w:iCs w:val="0"/>
                <w:color w:val="auto"/>
                <w:kern w:val="0"/>
                <w:sz w:val="21"/>
                <w:szCs w:val="21"/>
                <w:highlight w:val="none"/>
                <w:u w:val="none"/>
                <w:lang w:val="en-US" w:eastAsia="zh-CN" w:bidi="ar"/>
              </w:rPr>
              <w:t>音频编码及码率：G.711ulaw（64 Kbps）/G.711alaw（64 Kbps）/MP3（128 Kbps）</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15.</w:t>
            </w:r>
            <w:r>
              <w:rPr>
                <w:rFonts w:hint="eastAsia" w:ascii="宋体" w:hAnsi="宋体" w:eastAsia="宋体" w:cs="宋体"/>
                <w:i w:val="0"/>
                <w:iCs w:val="0"/>
                <w:color w:val="auto"/>
                <w:kern w:val="0"/>
                <w:sz w:val="21"/>
                <w:szCs w:val="21"/>
                <w:highlight w:val="none"/>
                <w:u w:val="none"/>
                <w:lang w:val="en-US" w:eastAsia="zh-CN" w:bidi="ar"/>
              </w:rPr>
              <w:t>网络协议：IPv4, HTTP, HTTPS , SIP, SSL/TLS , DNS,  NTP, TCP, UDP, IGMP, ICMP, DHCP, ARP, SSH</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16.</w:t>
            </w:r>
            <w:r>
              <w:rPr>
                <w:rFonts w:hint="eastAsia" w:ascii="宋体" w:hAnsi="宋体" w:eastAsia="宋体" w:cs="宋体"/>
                <w:i w:val="0"/>
                <w:iCs w:val="0"/>
                <w:color w:val="auto"/>
                <w:kern w:val="0"/>
                <w:sz w:val="21"/>
                <w:szCs w:val="21"/>
                <w:highlight w:val="none"/>
                <w:u w:val="none"/>
                <w:lang w:val="en-US" w:eastAsia="zh-CN" w:bidi="ar"/>
              </w:rPr>
              <w:t xml:space="preserve">接口协议（API）：ISAPI, ISUP, SIP </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17.</w:t>
            </w:r>
            <w:r>
              <w:rPr>
                <w:rFonts w:hint="eastAsia" w:ascii="宋体" w:hAnsi="宋体" w:eastAsia="宋体" w:cs="宋体"/>
                <w:i w:val="0"/>
                <w:iCs w:val="0"/>
                <w:color w:val="auto"/>
                <w:kern w:val="0"/>
                <w:sz w:val="21"/>
                <w:szCs w:val="21"/>
                <w:highlight w:val="none"/>
                <w:u w:val="none"/>
                <w:lang w:val="en-US" w:eastAsia="zh-CN" w:bidi="ar"/>
              </w:rPr>
              <w:t>通信方式：支持有线网络通信</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18.</w:t>
            </w:r>
            <w:r>
              <w:rPr>
                <w:rFonts w:hint="eastAsia" w:ascii="宋体" w:hAnsi="宋体" w:eastAsia="宋体" w:cs="宋体"/>
                <w:i w:val="0"/>
                <w:iCs w:val="0"/>
                <w:color w:val="auto"/>
                <w:kern w:val="0"/>
                <w:sz w:val="21"/>
                <w:szCs w:val="21"/>
                <w:highlight w:val="none"/>
                <w:u w:val="none"/>
                <w:lang w:val="en-US" w:eastAsia="zh-CN" w:bidi="ar"/>
              </w:rPr>
              <w:t>-G型号：支持4G</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19.</w:t>
            </w:r>
            <w:r>
              <w:rPr>
                <w:rFonts w:hint="eastAsia" w:ascii="宋体" w:hAnsi="宋体" w:eastAsia="宋体" w:cs="宋体"/>
                <w:i w:val="0"/>
                <w:iCs w:val="0"/>
                <w:color w:val="auto"/>
                <w:kern w:val="0"/>
                <w:sz w:val="21"/>
                <w:szCs w:val="21"/>
                <w:highlight w:val="none"/>
                <w:u w:val="none"/>
                <w:lang w:val="en-US" w:eastAsia="zh-CN" w:bidi="ar"/>
              </w:rPr>
              <w:t>网口：≥1个RJ45 10 M/100 M自适应以太网口</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20.</w:t>
            </w:r>
            <w:r>
              <w:rPr>
                <w:rFonts w:hint="eastAsia" w:ascii="宋体" w:hAnsi="宋体" w:eastAsia="宋体" w:cs="宋体"/>
                <w:i w:val="0"/>
                <w:iCs w:val="0"/>
                <w:color w:val="auto"/>
                <w:kern w:val="0"/>
                <w:sz w:val="21"/>
                <w:szCs w:val="21"/>
                <w:highlight w:val="none"/>
                <w:u w:val="none"/>
                <w:lang w:val="en-US" w:eastAsia="zh-CN" w:bidi="ar"/>
              </w:rPr>
              <w:t>音频输入：3.5 mm音频接口 × 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21.</w:t>
            </w:r>
            <w:r>
              <w:rPr>
                <w:rFonts w:hint="eastAsia" w:ascii="宋体" w:hAnsi="宋体" w:eastAsia="宋体" w:cs="宋体"/>
                <w:i w:val="0"/>
                <w:iCs w:val="0"/>
                <w:color w:val="auto"/>
                <w:kern w:val="0"/>
                <w:sz w:val="21"/>
                <w:szCs w:val="21"/>
                <w:highlight w:val="none"/>
                <w:u w:val="none"/>
                <w:lang w:val="en-US" w:eastAsia="zh-CN" w:bidi="ar"/>
              </w:rPr>
              <w:t>定压输入 × 1，COM 100 V</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22.</w:t>
            </w:r>
            <w:r>
              <w:rPr>
                <w:rFonts w:hint="eastAsia" w:ascii="宋体" w:hAnsi="宋体" w:eastAsia="宋体" w:cs="宋体"/>
                <w:i w:val="0"/>
                <w:iCs w:val="0"/>
                <w:color w:val="auto"/>
                <w:kern w:val="0"/>
                <w:sz w:val="21"/>
                <w:szCs w:val="21"/>
                <w:highlight w:val="none"/>
                <w:u w:val="none"/>
                <w:lang w:val="en-US" w:eastAsia="zh-CN" w:bidi="ar"/>
              </w:rPr>
              <w:t>音频输出：定阻输出 × 1，凤凰端子，COM 8 Ω</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23.</w:t>
            </w:r>
            <w:r>
              <w:rPr>
                <w:rFonts w:hint="eastAsia" w:ascii="宋体" w:hAnsi="宋体" w:eastAsia="宋体" w:cs="宋体"/>
                <w:i w:val="0"/>
                <w:iCs w:val="0"/>
                <w:color w:val="auto"/>
                <w:kern w:val="0"/>
                <w:sz w:val="21"/>
                <w:szCs w:val="21"/>
                <w:highlight w:val="none"/>
                <w:u w:val="none"/>
                <w:lang w:val="en-US" w:eastAsia="zh-CN" w:bidi="ar"/>
              </w:rPr>
              <w:t>指示灯：绿灯常亮：设备正常</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24.</w:t>
            </w:r>
            <w:r>
              <w:rPr>
                <w:rFonts w:hint="eastAsia" w:ascii="宋体" w:hAnsi="宋体" w:eastAsia="宋体" w:cs="宋体"/>
                <w:i w:val="0"/>
                <w:iCs w:val="0"/>
                <w:color w:val="auto"/>
                <w:kern w:val="0"/>
                <w:sz w:val="21"/>
                <w:szCs w:val="21"/>
                <w:highlight w:val="none"/>
                <w:u w:val="none"/>
                <w:lang w:val="en-US" w:eastAsia="zh-CN" w:bidi="ar"/>
              </w:rPr>
              <w:t>绿灯闪烁：设备对讲</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25.</w:t>
            </w:r>
            <w:r>
              <w:rPr>
                <w:rFonts w:hint="eastAsia" w:ascii="宋体" w:hAnsi="宋体" w:eastAsia="宋体" w:cs="宋体"/>
                <w:i w:val="0"/>
                <w:iCs w:val="0"/>
                <w:color w:val="auto"/>
                <w:kern w:val="0"/>
                <w:sz w:val="21"/>
                <w:szCs w:val="21"/>
                <w:highlight w:val="none"/>
                <w:u w:val="none"/>
                <w:lang w:val="en-US" w:eastAsia="zh-CN" w:bidi="ar"/>
              </w:rPr>
              <w:t>红灯常亮：设备启动或断网</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26.</w:t>
            </w:r>
            <w:r>
              <w:rPr>
                <w:rFonts w:hint="eastAsia" w:ascii="宋体" w:hAnsi="宋体" w:eastAsia="宋体" w:cs="宋体"/>
                <w:i w:val="0"/>
                <w:iCs w:val="0"/>
                <w:color w:val="auto"/>
                <w:kern w:val="0"/>
                <w:sz w:val="21"/>
                <w:szCs w:val="21"/>
                <w:highlight w:val="none"/>
                <w:u w:val="none"/>
                <w:lang w:val="en-US" w:eastAsia="zh-CN" w:bidi="ar"/>
              </w:rPr>
              <w:t>红灯闪烁：设备升级</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27.</w:t>
            </w:r>
            <w:r>
              <w:rPr>
                <w:rFonts w:hint="eastAsia" w:ascii="宋体" w:hAnsi="宋体" w:eastAsia="宋体" w:cs="宋体"/>
                <w:i w:val="0"/>
                <w:iCs w:val="0"/>
                <w:color w:val="auto"/>
                <w:kern w:val="0"/>
                <w:sz w:val="21"/>
                <w:szCs w:val="21"/>
                <w:highlight w:val="none"/>
                <w:u w:val="none"/>
                <w:lang w:val="en-US" w:eastAsia="zh-CN" w:bidi="ar"/>
              </w:rPr>
              <w:t>复位：支持</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28.</w:t>
            </w:r>
            <w:r>
              <w:rPr>
                <w:rFonts w:hint="eastAsia" w:ascii="宋体" w:hAnsi="宋体" w:eastAsia="宋体" w:cs="宋体"/>
                <w:i w:val="0"/>
                <w:iCs w:val="0"/>
                <w:color w:val="auto"/>
                <w:kern w:val="0"/>
                <w:sz w:val="21"/>
                <w:szCs w:val="21"/>
                <w:highlight w:val="none"/>
                <w:u w:val="none"/>
                <w:lang w:val="en-US" w:eastAsia="zh-CN" w:bidi="ar"/>
              </w:rPr>
              <w:t>音量旋钮：支持</w:t>
            </w:r>
            <w:r>
              <w:rPr>
                <w:rFonts w:hint="eastAsia" w:ascii="宋体" w:hAnsi="宋体" w:cs="宋体"/>
                <w:i w:val="0"/>
                <w:iCs w:val="0"/>
                <w:color w:val="auto"/>
                <w:kern w:val="0"/>
                <w:sz w:val="21"/>
                <w:szCs w:val="21"/>
                <w:highlight w:val="none"/>
                <w:u w:val="none"/>
                <w:lang w:val="en-US" w:eastAsia="zh-CN" w:bidi="ar"/>
              </w:rPr>
              <w:t>。</w:t>
            </w:r>
          </w:p>
        </w:tc>
        <w:tc>
          <w:tcPr>
            <w:tcW w:w="293" w:type="pct"/>
            <w:shd w:val="clear" w:color="auto" w:fill="auto"/>
            <w:vAlign w:val="center"/>
          </w:tcPr>
          <w:p w14:paraId="41A8F9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93" w:type="pct"/>
            <w:shd w:val="clear" w:color="auto" w:fill="auto"/>
            <w:vAlign w:val="center"/>
          </w:tcPr>
          <w:p w14:paraId="479A10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r>
      <w:tr w14:paraId="1E90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93" w:type="pct"/>
            <w:shd w:val="clear" w:color="auto" w:fill="auto"/>
            <w:vAlign w:val="center"/>
          </w:tcPr>
          <w:p w14:paraId="06E925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04" w:type="pct"/>
            <w:shd w:val="clear" w:color="auto" w:fill="auto"/>
            <w:vAlign w:val="center"/>
          </w:tcPr>
          <w:p w14:paraId="48A51D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放风场音箱</w:t>
            </w:r>
          </w:p>
        </w:tc>
        <w:tc>
          <w:tcPr>
            <w:tcW w:w="3515" w:type="pct"/>
            <w:shd w:val="clear" w:color="auto" w:fill="auto"/>
            <w:vAlign w:val="center"/>
          </w:tcPr>
          <w:p w14:paraId="408094B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30W网络有源音柱</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阵列数量：2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频率响应：100 Hz~20 kHz</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灵敏度：-42 dBV/Pa</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采样率：48 kHz</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量化位数：16 bit</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扬声器单元：中低音5.25′′ × 1，球顶高音0.75′′ × 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灵敏度（1 m，1 W）：86 dB</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最大声压级（1 m）：97.5 dBSPL</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频率响应：100 Hz~20 kHz</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11.</w:t>
            </w:r>
            <w:r>
              <w:rPr>
                <w:rFonts w:hint="eastAsia" w:ascii="宋体" w:hAnsi="宋体" w:eastAsia="宋体" w:cs="宋体"/>
                <w:i w:val="0"/>
                <w:iCs w:val="0"/>
                <w:color w:val="auto"/>
                <w:kern w:val="0"/>
                <w:sz w:val="21"/>
                <w:szCs w:val="21"/>
                <w:highlight w:val="none"/>
                <w:u w:val="none"/>
                <w:lang w:val="en-US" w:eastAsia="zh-CN" w:bidi="ar"/>
              </w:rPr>
              <w:t>信噪比：≥85dB</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音频算法：AEC、AGC、ANS、DRC</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13.</w:t>
            </w:r>
            <w:r>
              <w:rPr>
                <w:rFonts w:hint="eastAsia" w:ascii="宋体" w:hAnsi="宋体" w:eastAsia="宋体" w:cs="宋体"/>
                <w:i w:val="0"/>
                <w:iCs w:val="0"/>
                <w:color w:val="auto"/>
                <w:kern w:val="0"/>
                <w:sz w:val="21"/>
                <w:szCs w:val="21"/>
                <w:highlight w:val="none"/>
                <w:u w:val="none"/>
                <w:lang w:val="en-US" w:eastAsia="zh-CN" w:bidi="ar"/>
              </w:rPr>
              <w:t>音频编码及码率：G.711ulaw（64 Kbps）/G.711alaw（64 Kbps）/MP3（128 Kbps）</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14.</w:t>
            </w:r>
            <w:r>
              <w:rPr>
                <w:rFonts w:hint="eastAsia" w:ascii="宋体" w:hAnsi="宋体" w:eastAsia="宋体" w:cs="宋体"/>
                <w:i w:val="0"/>
                <w:iCs w:val="0"/>
                <w:color w:val="auto"/>
                <w:kern w:val="0"/>
                <w:sz w:val="21"/>
                <w:szCs w:val="21"/>
                <w:highlight w:val="none"/>
                <w:u w:val="none"/>
                <w:lang w:val="en-US" w:eastAsia="zh-CN" w:bidi="ar"/>
              </w:rPr>
              <w:t>网络协议：IPv4, HTTP, HTTPS , SIP, SSL/TLS , DNS,  NTP, TCP, UDP, IGMP, ICMP, DHCP, ARP, SSH</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15.</w:t>
            </w:r>
            <w:r>
              <w:rPr>
                <w:rFonts w:hint="eastAsia" w:ascii="宋体" w:hAnsi="宋体" w:eastAsia="宋体" w:cs="宋体"/>
                <w:i w:val="0"/>
                <w:iCs w:val="0"/>
                <w:color w:val="auto"/>
                <w:kern w:val="0"/>
                <w:sz w:val="21"/>
                <w:szCs w:val="21"/>
                <w:highlight w:val="none"/>
                <w:u w:val="none"/>
                <w:lang w:val="en-US" w:eastAsia="zh-CN" w:bidi="ar"/>
              </w:rPr>
              <w:t>接口协议（API）：ISAPI, ISUP, SIP</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16.</w:t>
            </w:r>
            <w:r>
              <w:rPr>
                <w:rFonts w:hint="eastAsia" w:ascii="宋体" w:hAnsi="宋体" w:eastAsia="宋体" w:cs="宋体"/>
                <w:i w:val="0"/>
                <w:iCs w:val="0"/>
                <w:color w:val="auto"/>
                <w:kern w:val="0"/>
                <w:sz w:val="21"/>
                <w:szCs w:val="21"/>
                <w:highlight w:val="none"/>
                <w:u w:val="none"/>
                <w:lang w:val="en-US" w:eastAsia="zh-CN" w:bidi="ar"/>
              </w:rPr>
              <w:t>通信方式：支持有线网络通信</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17.</w:t>
            </w:r>
            <w:r>
              <w:rPr>
                <w:rFonts w:hint="eastAsia" w:ascii="宋体" w:hAnsi="宋体" w:eastAsia="宋体" w:cs="宋体"/>
                <w:i w:val="0"/>
                <w:iCs w:val="0"/>
                <w:color w:val="auto"/>
                <w:kern w:val="0"/>
                <w:sz w:val="21"/>
                <w:szCs w:val="21"/>
                <w:highlight w:val="none"/>
                <w:u w:val="none"/>
                <w:lang w:val="en-US" w:eastAsia="zh-CN" w:bidi="ar"/>
              </w:rPr>
              <w:t>网口：≥1个RJ45 10 M/100 M自适应以太网口</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18.</w:t>
            </w:r>
            <w:r>
              <w:rPr>
                <w:rFonts w:hint="eastAsia" w:ascii="宋体" w:hAnsi="宋体" w:eastAsia="宋体" w:cs="宋体"/>
                <w:i w:val="0"/>
                <w:iCs w:val="0"/>
                <w:color w:val="auto"/>
                <w:kern w:val="0"/>
                <w:sz w:val="21"/>
                <w:szCs w:val="21"/>
                <w:highlight w:val="none"/>
                <w:u w:val="none"/>
                <w:lang w:val="en-US" w:eastAsia="zh-CN" w:bidi="ar"/>
              </w:rPr>
              <w:t>报警：报警输入 × 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19.</w:t>
            </w:r>
            <w:r>
              <w:rPr>
                <w:rFonts w:hint="eastAsia" w:ascii="宋体" w:hAnsi="宋体" w:eastAsia="宋体" w:cs="宋体"/>
                <w:i w:val="0"/>
                <w:iCs w:val="0"/>
                <w:color w:val="auto"/>
                <w:kern w:val="0"/>
                <w:sz w:val="21"/>
                <w:szCs w:val="21"/>
                <w:highlight w:val="none"/>
                <w:u w:val="none"/>
                <w:lang w:val="en-US" w:eastAsia="zh-CN" w:bidi="ar"/>
              </w:rPr>
              <w:t>音频输入：Line in × 1，凤凰端子</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20.</w:t>
            </w:r>
            <w:r>
              <w:rPr>
                <w:rFonts w:hint="eastAsia" w:ascii="宋体" w:hAnsi="宋体" w:eastAsia="宋体" w:cs="宋体"/>
                <w:i w:val="0"/>
                <w:iCs w:val="0"/>
                <w:color w:val="auto"/>
                <w:kern w:val="0"/>
                <w:sz w:val="21"/>
                <w:szCs w:val="21"/>
                <w:highlight w:val="none"/>
                <w:u w:val="none"/>
                <w:lang w:val="en-US" w:eastAsia="zh-CN" w:bidi="ar"/>
              </w:rPr>
              <w:t>防护等级：IP66</w:t>
            </w:r>
            <w:r>
              <w:rPr>
                <w:rFonts w:hint="eastAsia" w:ascii="宋体" w:hAnsi="宋体" w:cs="宋体"/>
                <w:i w:val="0"/>
                <w:iCs w:val="0"/>
                <w:color w:val="auto"/>
                <w:kern w:val="0"/>
                <w:sz w:val="21"/>
                <w:szCs w:val="21"/>
                <w:highlight w:val="none"/>
                <w:u w:val="none"/>
                <w:lang w:val="en-US" w:eastAsia="zh-CN" w:bidi="ar"/>
              </w:rPr>
              <w:t>。</w:t>
            </w:r>
          </w:p>
        </w:tc>
        <w:tc>
          <w:tcPr>
            <w:tcW w:w="293" w:type="pct"/>
            <w:shd w:val="clear" w:color="auto" w:fill="auto"/>
            <w:vAlign w:val="center"/>
          </w:tcPr>
          <w:p w14:paraId="2E9989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93" w:type="pct"/>
            <w:shd w:val="clear" w:color="auto" w:fill="auto"/>
            <w:vAlign w:val="center"/>
          </w:tcPr>
          <w:p w14:paraId="31AE97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r>
      <w:tr w14:paraId="1D70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4E0A7C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04" w:type="pct"/>
            <w:shd w:val="clear" w:color="auto" w:fill="auto"/>
            <w:vAlign w:val="center"/>
          </w:tcPr>
          <w:p w14:paraId="31BFE6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高清编码器</w:t>
            </w:r>
          </w:p>
        </w:tc>
        <w:tc>
          <w:tcPr>
            <w:tcW w:w="3515" w:type="pct"/>
            <w:shd w:val="clear" w:color="auto" w:fill="auto"/>
            <w:vAlign w:val="center"/>
          </w:tcPr>
          <w:p w14:paraId="322A8B0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 xml:space="preserve">1路HDMI高清多媒体接口或1路VGA接口视频输入；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xml:space="preserve">1路HDMI环通输出；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 xml:space="preserve">支持H.265、H.264视频编码，主、子码流可独立配置；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 xml:space="preserve">VGA画面支持位置调整和画面区域裁剪功能；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HDMI支持最大 4K（3840×2160/30Hz）信号源输入；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 xml:space="preserve">支持2K(400W)、1080P、720P等高清分辨率编码；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 xml:space="preserve">视频输入源自适应识别，也可固定输入源；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 xml:space="preserve">音频输入源可选HDMI或Audio in，音频编码格式支持：AAC_LC、G711a、G711u；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支持RTMP、ONVIF、NTP、RTSP等网络协议；</w:t>
            </w:r>
          </w:p>
        </w:tc>
        <w:tc>
          <w:tcPr>
            <w:tcW w:w="293" w:type="pct"/>
            <w:shd w:val="clear" w:color="auto" w:fill="auto"/>
            <w:vAlign w:val="center"/>
          </w:tcPr>
          <w:p w14:paraId="58487E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7BB224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72AC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49EE1E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04" w:type="pct"/>
            <w:shd w:val="clear" w:color="auto" w:fill="auto"/>
            <w:vAlign w:val="center"/>
          </w:tcPr>
          <w:p w14:paraId="3CD29F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直播摄像机</w:t>
            </w:r>
          </w:p>
        </w:tc>
        <w:tc>
          <w:tcPr>
            <w:tcW w:w="3515" w:type="pct"/>
            <w:shd w:val="clear" w:color="auto" w:fill="auto"/>
            <w:vAlign w:val="center"/>
          </w:tcPr>
          <w:p w14:paraId="6A6BE62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传感器 1/2.5 英寸 , CMOS, 最大像素 800 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扫描方式 逐行</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镜头焦距 12x, f = 3.47mm ~41.65mm, F 1.84 ~ F 3.72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数字变焦 16x</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最低照度 0.5Lux @ (F1.8, AGC ON)</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快门 1/30s ~ 1/10000s</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背光补偿 支持</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数字降噪 3D数字降噪</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信噪比 ≥55dB</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水平视场角 80.8° ~ 7.5°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11.</w:t>
            </w:r>
            <w:r>
              <w:rPr>
                <w:rFonts w:hint="eastAsia" w:ascii="宋体" w:hAnsi="宋体" w:eastAsia="宋体" w:cs="宋体"/>
                <w:i w:val="0"/>
                <w:iCs w:val="0"/>
                <w:color w:val="auto"/>
                <w:kern w:val="0"/>
                <w:sz w:val="21"/>
                <w:szCs w:val="21"/>
                <w:highlight w:val="none"/>
                <w:u w:val="none"/>
                <w:lang w:val="en-US" w:eastAsia="zh-CN" w:bidi="ar"/>
              </w:rPr>
              <w:t>垂直视场角 49.9° ~ 4.3°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水平转动范围 ±170°</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13.</w:t>
            </w:r>
            <w:r>
              <w:rPr>
                <w:rFonts w:hint="eastAsia" w:ascii="宋体" w:hAnsi="宋体" w:eastAsia="宋体" w:cs="宋体"/>
                <w:i w:val="0"/>
                <w:iCs w:val="0"/>
                <w:color w:val="auto"/>
                <w:kern w:val="0"/>
                <w:sz w:val="21"/>
                <w:szCs w:val="21"/>
                <w:highlight w:val="none"/>
                <w:u w:val="none"/>
                <w:lang w:val="en-US" w:eastAsia="zh-CN" w:bidi="ar"/>
              </w:rPr>
              <w:t>垂直转动范围 -30° ~ +90°</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14.</w:t>
            </w:r>
            <w:r>
              <w:rPr>
                <w:rFonts w:hint="eastAsia" w:ascii="宋体" w:hAnsi="宋体" w:eastAsia="宋体" w:cs="宋体"/>
                <w:i w:val="0"/>
                <w:iCs w:val="0"/>
                <w:color w:val="auto"/>
                <w:kern w:val="0"/>
                <w:sz w:val="21"/>
                <w:szCs w:val="21"/>
                <w:highlight w:val="none"/>
                <w:u w:val="none"/>
                <w:lang w:val="en-US" w:eastAsia="zh-CN" w:bidi="ar"/>
              </w:rPr>
              <w:t>水平转动速度范围 1.7° ~ 100°/s</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15.</w:t>
            </w:r>
            <w:r>
              <w:rPr>
                <w:rFonts w:hint="eastAsia" w:ascii="宋体" w:hAnsi="宋体" w:eastAsia="宋体" w:cs="宋体"/>
                <w:i w:val="0"/>
                <w:iCs w:val="0"/>
                <w:color w:val="auto"/>
                <w:kern w:val="0"/>
                <w:sz w:val="21"/>
                <w:szCs w:val="21"/>
                <w:highlight w:val="none"/>
                <w:u w:val="none"/>
                <w:lang w:val="en-US" w:eastAsia="zh-CN" w:bidi="ar"/>
              </w:rPr>
              <w:t>垂直转动速度范围 1.7° ~ 69.9°/s</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16.</w:t>
            </w:r>
            <w:r>
              <w:rPr>
                <w:rFonts w:hint="eastAsia" w:ascii="宋体" w:hAnsi="宋体" w:eastAsia="宋体" w:cs="宋体"/>
                <w:i w:val="0"/>
                <w:iCs w:val="0"/>
                <w:color w:val="auto"/>
                <w:kern w:val="0"/>
                <w:sz w:val="21"/>
                <w:szCs w:val="21"/>
                <w:highlight w:val="none"/>
                <w:u w:val="none"/>
                <w:lang w:val="en-US" w:eastAsia="zh-CN" w:bidi="ar"/>
              </w:rPr>
              <w:t>水平、垂直翻转 支持</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17.</w:t>
            </w:r>
            <w:r>
              <w:rPr>
                <w:rFonts w:hint="eastAsia" w:ascii="宋体" w:hAnsi="宋体" w:eastAsia="宋体" w:cs="宋体"/>
                <w:i w:val="0"/>
                <w:iCs w:val="0"/>
                <w:color w:val="auto"/>
                <w:kern w:val="0"/>
                <w:sz w:val="21"/>
                <w:szCs w:val="21"/>
                <w:highlight w:val="none"/>
                <w:u w:val="none"/>
                <w:lang w:val="en-US" w:eastAsia="zh-CN" w:bidi="ar"/>
              </w:rPr>
              <w:t>H.264 AVC: 最大2160P@30fps</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18.</w:t>
            </w:r>
            <w:r>
              <w:rPr>
                <w:rFonts w:hint="eastAsia" w:ascii="宋体" w:hAnsi="宋体" w:eastAsia="宋体" w:cs="宋体"/>
                <w:i w:val="0"/>
                <w:iCs w:val="0"/>
                <w:color w:val="auto"/>
                <w:kern w:val="0"/>
                <w:sz w:val="21"/>
                <w:szCs w:val="21"/>
                <w:highlight w:val="none"/>
                <w:u w:val="none"/>
                <w:lang w:val="en-US" w:eastAsia="zh-CN" w:bidi="ar"/>
              </w:rPr>
              <w:t>H.265 HEVC: 最大2160P@30fps</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19.</w:t>
            </w:r>
            <w:r>
              <w:rPr>
                <w:rFonts w:hint="eastAsia" w:ascii="宋体" w:hAnsi="宋体" w:eastAsia="宋体" w:cs="宋体"/>
                <w:i w:val="0"/>
                <w:iCs w:val="0"/>
                <w:color w:val="auto"/>
                <w:kern w:val="0"/>
                <w:sz w:val="21"/>
                <w:szCs w:val="21"/>
                <w:highlight w:val="none"/>
                <w:u w:val="none"/>
                <w:lang w:val="en-US" w:eastAsia="zh-CN" w:bidi="ar"/>
              </w:rPr>
              <w:t>MJPEG:最大 2160P@30fps</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20.</w:t>
            </w:r>
            <w:r>
              <w:rPr>
                <w:rFonts w:hint="eastAsia" w:ascii="宋体" w:hAnsi="宋体" w:eastAsia="宋体" w:cs="宋体"/>
                <w:i w:val="0"/>
                <w:iCs w:val="0"/>
                <w:color w:val="auto"/>
                <w:kern w:val="0"/>
                <w:sz w:val="21"/>
                <w:szCs w:val="21"/>
                <w:highlight w:val="none"/>
                <w:u w:val="none"/>
                <w:lang w:val="en-US" w:eastAsia="zh-CN" w:bidi="ar"/>
              </w:rPr>
              <w:t>视频编码标准 H.265/H.264/MJPEG</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21.</w:t>
            </w:r>
            <w:r>
              <w:rPr>
                <w:rFonts w:hint="eastAsia" w:ascii="宋体" w:hAnsi="宋体" w:eastAsia="宋体" w:cs="宋体"/>
                <w:i w:val="0"/>
                <w:iCs w:val="0"/>
                <w:color w:val="auto"/>
                <w:kern w:val="0"/>
                <w:sz w:val="21"/>
                <w:szCs w:val="21"/>
                <w:highlight w:val="none"/>
                <w:u w:val="none"/>
                <w:lang w:val="en-US" w:eastAsia="zh-CN" w:bidi="ar"/>
              </w:rPr>
              <w:t>音频压缩标准 AAC</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22.</w:t>
            </w:r>
            <w:r>
              <w:rPr>
                <w:rFonts w:hint="eastAsia" w:ascii="宋体" w:hAnsi="宋体" w:eastAsia="宋体" w:cs="宋体"/>
                <w:i w:val="0"/>
                <w:iCs w:val="0"/>
                <w:color w:val="auto"/>
                <w:kern w:val="0"/>
                <w:sz w:val="21"/>
                <w:szCs w:val="21"/>
                <w:highlight w:val="none"/>
                <w:u w:val="none"/>
                <w:lang w:val="en-US" w:eastAsia="zh-CN" w:bidi="ar"/>
              </w:rPr>
              <w:t>音频码率 96Kbps,128Kbps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23.</w:t>
            </w:r>
            <w:r>
              <w:rPr>
                <w:rFonts w:hint="eastAsia" w:ascii="宋体" w:hAnsi="宋体" w:eastAsia="宋体" w:cs="宋体"/>
                <w:i w:val="0"/>
                <w:iCs w:val="0"/>
                <w:color w:val="auto"/>
                <w:kern w:val="0"/>
                <w:sz w:val="21"/>
                <w:szCs w:val="21"/>
                <w:highlight w:val="none"/>
                <w:u w:val="none"/>
                <w:lang w:val="en-US" w:eastAsia="zh-CN" w:bidi="ar"/>
              </w:rPr>
              <w:t xml:space="preserve">支持协议 NDI®|HX2, SRT, </w:t>
            </w:r>
            <w:r>
              <w:rPr>
                <w:rFonts w:hint="eastAsia" w:ascii="宋体" w:hAnsi="宋体" w:cs="宋体"/>
                <w:i w:val="0"/>
                <w:iCs w:val="0"/>
                <w:color w:val="auto"/>
                <w:kern w:val="0"/>
                <w:sz w:val="21"/>
                <w:szCs w:val="21"/>
                <w:highlight w:val="none"/>
                <w:u w:val="none"/>
                <w:lang w:val="en-US" w:eastAsia="zh-CN" w:bidi="ar"/>
              </w:rPr>
              <w:t>24.</w:t>
            </w:r>
            <w:r>
              <w:rPr>
                <w:rFonts w:hint="eastAsia" w:ascii="宋体" w:hAnsi="宋体" w:eastAsia="宋体" w:cs="宋体"/>
                <w:i w:val="0"/>
                <w:iCs w:val="0"/>
                <w:color w:val="auto"/>
                <w:kern w:val="0"/>
                <w:sz w:val="21"/>
                <w:szCs w:val="21"/>
                <w:highlight w:val="none"/>
                <w:u w:val="none"/>
                <w:lang w:val="en-US" w:eastAsia="zh-CN" w:bidi="ar"/>
              </w:rPr>
              <w:t>TCP/IP,HTTP,RTSP,RTMP(s),Onvif,DHCP,组播等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25.</w:t>
            </w:r>
            <w:r>
              <w:rPr>
                <w:rFonts w:hint="eastAsia" w:ascii="宋体" w:hAnsi="宋体" w:eastAsia="宋体" w:cs="宋体"/>
                <w:i w:val="0"/>
                <w:iCs w:val="0"/>
                <w:color w:val="auto"/>
                <w:kern w:val="0"/>
                <w:sz w:val="21"/>
                <w:szCs w:val="21"/>
                <w:highlight w:val="none"/>
                <w:u w:val="none"/>
                <w:lang w:val="en-US" w:eastAsia="zh-CN" w:bidi="ar"/>
              </w:rPr>
              <w:t>高清输出 1路, HDMI:  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26.</w:t>
            </w:r>
            <w:r>
              <w:rPr>
                <w:rFonts w:hint="eastAsia" w:ascii="宋体" w:hAnsi="宋体" w:eastAsia="宋体" w:cs="宋体"/>
                <w:i w:val="0"/>
                <w:iCs w:val="0"/>
                <w:color w:val="auto"/>
                <w:kern w:val="0"/>
                <w:sz w:val="21"/>
                <w:szCs w:val="21"/>
                <w:highlight w:val="none"/>
                <w:u w:val="none"/>
                <w:lang w:val="en-US" w:eastAsia="zh-CN" w:bidi="ar"/>
              </w:rPr>
              <w:t xml:space="preserve">视频制式：4K@25/30/50/60/59.94/29.97fps； </w:t>
            </w:r>
            <w:r>
              <w:rPr>
                <w:rFonts w:hint="eastAsia" w:ascii="宋体" w:hAnsi="宋体" w:cs="宋体"/>
                <w:i w:val="0"/>
                <w:iCs w:val="0"/>
                <w:color w:val="auto"/>
                <w:kern w:val="0"/>
                <w:sz w:val="21"/>
                <w:szCs w:val="21"/>
                <w:highlight w:val="none"/>
                <w:u w:val="none"/>
                <w:lang w:val="en-US" w:eastAsia="zh-CN" w:bidi="ar"/>
              </w:rPr>
              <w:t>27.</w:t>
            </w:r>
            <w:r>
              <w:rPr>
                <w:rFonts w:hint="eastAsia" w:ascii="宋体" w:hAnsi="宋体" w:eastAsia="宋体" w:cs="宋体"/>
                <w:i w:val="0"/>
                <w:iCs w:val="0"/>
                <w:color w:val="auto"/>
                <w:kern w:val="0"/>
                <w:sz w:val="21"/>
                <w:szCs w:val="21"/>
                <w:highlight w:val="none"/>
                <w:u w:val="none"/>
                <w:lang w:val="en-US" w:eastAsia="zh-CN" w:bidi="ar"/>
              </w:rPr>
              <w:t xml:space="preserve">1080P@25/30/50/60/59.94/29.97fps；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28.</w:t>
            </w:r>
            <w:r>
              <w:rPr>
                <w:rFonts w:hint="eastAsia" w:ascii="宋体" w:hAnsi="宋体" w:eastAsia="宋体" w:cs="宋体"/>
                <w:i w:val="0"/>
                <w:iCs w:val="0"/>
                <w:color w:val="auto"/>
                <w:kern w:val="0"/>
                <w:sz w:val="21"/>
                <w:szCs w:val="21"/>
                <w:highlight w:val="none"/>
                <w:u w:val="none"/>
                <w:lang w:val="en-US" w:eastAsia="zh-CN" w:bidi="ar"/>
              </w:rPr>
              <w:t>网络接口 1路, RJ45: 10M/100M/1000M 自适应以太网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29.</w:t>
            </w:r>
            <w:r>
              <w:rPr>
                <w:rFonts w:hint="eastAsia" w:ascii="宋体" w:hAnsi="宋体" w:eastAsia="宋体" w:cs="宋体"/>
                <w:i w:val="0"/>
                <w:iCs w:val="0"/>
                <w:color w:val="auto"/>
                <w:kern w:val="0"/>
                <w:sz w:val="21"/>
                <w:szCs w:val="21"/>
                <w:highlight w:val="none"/>
                <w:u w:val="none"/>
                <w:lang w:val="en-US" w:eastAsia="zh-CN" w:bidi="ar"/>
              </w:rPr>
              <w:t xml:space="preserve">音频接口 1路, Line In, 3.5mm 音频接口；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1路, Line Out, 3.5mm 音频接口；</w:t>
            </w:r>
          </w:p>
        </w:tc>
        <w:tc>
          <w:tcPr>
            <w:tcW w:w="293" w:type="pct"/>
            <w:shd w:val="clear" w:color="auto" w:fill="auto"/>
            <w:vAlign w:val="center"/>
          </w:tcPr>
          <w:p w14:paraId="60C628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141AB5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10FA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93" w:type="pct"/>
            <w:shd w:val="clear" w:color="auto" w:fill="auto"/>
            <w:vAlign w:val="center"/>
          </w:tcPr>
          <w:p w14:paraId="5BE957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604" w:type="pct"/>
            <w:shd w:val="clear" w:color="auto" w:fill="auto"/>
            <w:vAlign w:val="center"/>
          </w:tcPr>
          <w:p w14:paraId="653DED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直播耳麦</w:t>
            </w:r>
          </w:p>
        </w:tc>
        <w:tc>
          <w:tcPr>
            <w:tcW w:w="3515" w:type="pct"/>
            <w:shd w:val="clear" w:color="auto" w:fill="auto"/>
            <w:vAlign w:val="center"/>
          </w:tcPr>
          <w:p w14:paraId="6B6836C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1.耳机类别：开放动圈型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2.驱动单元：≥45MM钕磁铁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3.频率响应：10-35,000HZ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4.灵敏度:98 DB/MW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5.阻抗：45欧姆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6.通话麦克风灵敏度：-43 DB (1 V/PA, AT 1 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7.通话麦克风频响范围：30~20,000 HZ</w:t>
            </w:r>
          </w:p>
        </w:tc>
        <w:tc>
          <w:tcPr>
            <w:tcW w:w="293" w:type="pct"/>
            <w:shd w:val="clear" w:color="auto" w:fill="auto"/>
            <w:vAlign w:val="center"/>
          </w:tcPr>
          <w:p w14:paraId="7168E1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5DBDCF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3C3C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68DD51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04" w:type="pct"/>
            <w:shd w:val="clear" w:color="auto" w:fill="auto"/>
            <w:vAlign w:val="center"/>
          </w:tcPr>
          <w:p w14:paraId="65AAAD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电教管理平台一体机</w:t>
            </w:r>
          </w:p>
        </w:tc>
        <w:tc>
          <w:tcPr>
            <w:tcW w:w="3515" w:type="pct"/>
            <w:shd w:val="clear" w:color="auto" w:fill="auto"/>
            <w:vAlign w:val="center"/>
          </w:tcPr>
          <w:p w14:paraId="53F2D7D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1.提供电教终端管理，终端监控、素材管理、节目管理、日程管理、发布管理和审核管理等。同时提供能力开放，为上层行业业务组件实现节目查询、节目发布、诱导屏内容回读等功能。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2.国产化处理器，核数≥16核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3.内存≥128G DDR4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4.硬盘：至少2块480G SSD硬盘，2块4T 7.2K SATA硬盘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5.网口：2个千兆电口；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6.其他接口：配置1个千兆RJ-45管理接口，4个USB 3.0接口；1个VGA口；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7.超过有效期的过期素材可再次编辑素材有效期。（投标文件中提供具有CMA或CNAS标志的第三方检测报告扫描件并加盖投标人公章）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★8.支持在素材/节目列表、节目编辑界面，醒目提醒过期素材。（投标文件中提供具有CMA或CNAS标志的第三方检测报告扫描件并加盖投标人公章）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★9.支持过期素材管理列表管理，可查看过期素材，支持单个/批量删除过期素材、单个/批量修改素材有效期。（投标文件中提供具有CMA或CNAS标志的第三方检测报告扫描件并加盖投标人公章）</w:t>
            </w:r>
          </w:p>
        </w:tc>
        <w:tc>
          <w:tcPr>
            <w:tcW w:w="293" w:type="pct"/>
            <w:shd w:val="clear" w:color="auto" w:fill="auto"/>
            <w:vAlign w:val="center"/>
          </w:tcPr>
          <w:p w14:paraId="54F3D6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1F7288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6BAA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5"/>
            <w:shd w:val="clear" w:color="auto" w:fill="auto"/>
            <w:vAlign w:val="center"/>
          </w:tcPr>
          <w:p w14:paraId="2C2203A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四、监室室外信息显示系统</w:t>
            </w:r>
          </w:p>
        </w:tc>
      </w:tr>
      <w:tr w14:paraId="17EC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71402C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4" w:type="pct"/>
            <w:shd w:val="clear" w:color="auto" w:fill="auto"/>
            <w:vAlign w:val="center"/>
          </w:tcPr>
          <w:p w14:paraId="31689D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监室信息显示终端</w:t>
            </w:r>
          </w:p>
        </w:tc>
        <w:tc>
          <w:tcPr>
            <w:tcW w:w="3515" w:type="pct"/>
            <w:shd w:val="clear" w:color="auto" w:fill="auto"/>
            <w:vAlign w:val="center"/>
          </w:tcPr>
          <w:p w14:paraId="01B995FD">
            <w:pPr>
              <w:keepNext w:val="0"/>
              <w:keepLines w:val="0"/>
              <w:widowControl/>
              <w:numPr>
                <w:ilvl w:val="0"/>
                <w:numId w:val="0"/>
              </w:numPr>
              <w:suppressLineNumbers w:val="0"/>
              <w:jc w:val="left"/>
              <w:textAlignment w:val="center"/>
              <w:rPr>
                <w:rStyle w:val="374"/>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嵌入式操作系统；</w:t>
            </w:r>
            <w:r>
              <w:rPr>
                <w:rStyle w:val="960"/>
                <w:rFonts w:hint="eastAsia" w:ascii="宋体" w:hAnsi="宋体" w:eastAsia="宋体" w:cs="宋体"/>
                <w:color w:val="auto"/>
                <w:sz w:val="21"/>
                <w:szCs w:val="21"/>
                <w:highlight w:val="none"/>
                <w:lang w:val="en-US" w:eastAsia="zh-CN" w:bidi="ar"/>
              </w:rPr>
              <w:t>内存</w:t>
            </w:r>
            <w:r>
              <w:rPr>
                <w:rStyle w:val="374"/>
                <w:rFonts w:hint="eastAsia" w:ascii="宋体" w:hAnsi="宋体" w:eastAsia="宋体" w:cs="宋体"/>
                <w:color w:val="auto"/>
                <w:sz w:val="21"/>
                <w:szCs w:val="21"/>
                <w:highlight w:val="none"/>
                <w:lang w:val="en-US" w:eastAsia="zh-CN" w:bidi="ar"/>
              </w:rPr>
              <w:t>≥2</w:t>
            </w:r>
            <w:r>
              <w:rPr>
                <w:rStyle w:val="960"/>
                <w:rFonts w:hint="eastAsia" w:ascii="宋体" w:hAnsi="宋体" w:eastAsia="宋体" w:cs="宋体"/>
                <w:color w:val="auto"/>
                <w:sz w:val="21"/>
                <w:szCs w:val="21"/>
                <w:highlight w:val="none"/>
                <w:lang w:val="en-US" w:eastAsia="zh-CN" w:bidi="ar"/>
              </w:rPr>
              <w:t>GB；</w:t>
            </w:r>
            <w:r>
              <w:rPr>
                <w:rStyle w:val="374"/>
                <w:rFonts w:hint="eastAsia" w:ascii="宋体" w:hAnsi="宋体" w:eastAsia="宋体" w:cs="宋体"/>
                <w:color w:val="auto"/>
                <w:sz w:val="21"/>
                <w:szCs w:val="21"/>
                <w:highlight w:val="none"/>
                <w:lang w:val="en-US" w:eastAsia="zh-CN" w:bidi="ar"/>
              </w:rPr>
              <w:t>内置16G储存，支持64G的TF卡拓展；</w:t>
            </w:r>
            <w:r>
              <w:rPr>
                <w:rStyle w:val="374"/>
                <w:rFonts w:hint="eastAsia" w:ascii="宋体" w:hAnsi="宋体" w:eastAsia="宋体" w:cs="宋体"/>
                <w:color w:val="auto"/>
                <w:sz w:val="21"/>
                <w:szCs w:val="21"/>
                <w:highlight w:val="none"/>
                <w:lang w:val="en-US" w:eastAsia="zh-CN" w:bidi="ar"/>
              </w:rPr>
              <w:br w:type="textWrapping"/>
            </w:r>
            <w:r>
              <w:rPr>
                <w:rStyle w:val="374"/>
                <w:rFonts w:hint="eastAsia" w:ascii="宋体" w:hAnsi="宋体" w:eastAsia="宋体" w:cs="宋体"/>
                <w:color w:val="auto"/>
                <w:sz w:val="21"/>
                <w:szCs w:val="21"/>
                <w:highlight w:val="none"/>
                <w:lang w:val="en-US" w:eastAsia="zh-CN" w:bidi="ar"/>
              </w:rPr>
              <w:t>2.屏幕≥21英寸，8点以上触摸点电容屏，分辨率≥1920*1080；</w:t>
            </w:r>
          </w:p>
          <w:p w14:paraId="071CB6C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Style w:val="374"/>
                <w:rFonts w:hint="eastAsia" w:ascii="宋体" w:hAnsi="宋体" w:eastAsia="宋体" w:cs="宋体"/>
                <w:color w:val="auto"/>
                <w:sz w:val="21"/>
                <w:szCs w:val="21"/>
                <w:highlight w:val="none"/>
                <w:lang w:val="en-US" w:eastAsia="zh-CN" w:bidi="ar"/>
              </w:rPr>
              <w:t>★</w:t>
            </w:r>
            <w:r>
              <w:rPr>
                <w:rFonts w:hint="eastAsia" w:ascii="宋体" w:hAnsi="宋体" w:cs="宋体"/>
                <w:i w:val="0"/>
                <w:iCs w:val="0"/>
                <w:color w:val="auto"/>
                <w:kern w:val="0"/>
                <w:sz w:val="21"/>
                <w:szCs w:val="21"/>
                <w:highlight w:val="none"/>
                <w:lang w:val="en-US" w:eastAsia="zh-CN" w:bidi="ar"/>
              </w:rPr>
              <w:t>3</w:t>
            </w:r>
            <w:r>
              <w:rPr>
                <w:rFonts w:hint="eastAsia" w:ascii="宋体" w:hAnsi="宋体" w:eastAsia="宋体" w:cs="宋体"/>
                <w:i w:val="0"/>
                <w:iCs w:val="0"/>
                <w:color w:val="auto"/>
                <w:kern w:val="0"/>
                <w:sz w:val="21"/>
                <w:szCs w:val="21"/>
                <w:highlight w:val="none"/>
                <w:lang w:val="en-US" w:eastAsia="zh-CN" w:bidi="ar"/>
              </w:rPr>
              <w:t>.</w:t>
            </w:r>
            <w:r>
              <w:rPr>
                <w:rStyle w:val="374"/>
                <w:rFonts w:hint="eastAsia" w:ascii="宋体" w:hAnsi="宋体" w:eastAsia="宋体" w:cs="宋体"/>
                <w:color w:val="auto"/>
                <w:sz w:val="21"/>
                <w:szCs w:val="21"/>
                <w:highlight w:val="none"/>
                <w:lang w:val="en-US" w:eastAsia="zh-CN" w:bidi="ar"/>
              </w:rPr>
              <w:t>屏幕比例：16:9；屏幕亮度：≥300cd/m²；屏幕对比度：≥1400:1；</w:t>
            </w:r>
            <w:r>
              <w:rPr>
                <w:rFonts w:hint="eastAsia" w:ascii="宋体" w:hAnsi="宋体" w:eastAsia="宋体" w:cs="宋体"/>
                <w:i w:val="0"/>
                <w:iCs w:val="0"/>
                <w:color w:val="auto"/>
                <w:kern w:val="0"/>
                <w:sz w:val="21"/>
                <w:szCs w:val="21"/>
                <w:highlight w:val="none"/>
                <w:u w:val="none"/>
                <w:lang w:val="en-US" w:eastAsia="zh-CN" w:bidi="ar"/>
              </w:rPr>
              <w:t>（投标文件中提供具有CMA或CNAS标志的第三方检测报告扫描件并加盖投标人公章）</w:t>
            </w:r>
            <w:r>
              <w:rPr>
                <w:rStyle w:val="374"/>
                <w:rFonts w:hint="eastAsia" w:ascii="宋体" w:hAnsi="宋体" w:eastAsia="宋体" w:cs="宋体"/>
                <w:color w:val="auto"/>
                <w:sz w:val="21"/>
                <w:szCs w:val="21"/>
                <w:highlight w:val="none"/>
                <w:lang w:val="en-US" w:eastAsia="zh-CN" w:bidi="ar"/>
              </w:rPr>
              <w:br w:type="textWrapping"/>
            </w:r>
            <w:r>
              <w:rPr>
                <w:rStyle w:val="374"/>
                <w:rFonts w:hint="eastAsia" w:ascii="宋体" w:hAnsi="宋体" w:cs="宋体"/>
                <w:color w:val="auto"/>
                <w:sz w:val="21"/>
                <w:szCs w:val="21"/>
                <w:highlight w:val="none"/>
                <w:lang w:val="en-US" w:eastAsia="zh-CN" w:bidi="ar"/>
              </w:rPr>
              <w:t>4</w:t>
            </w:r>
            <w:r>
              <w:rPr>
                <w:rStyle w:val="374"/>
                <w:rFonts w:hint="eastAsia" w:ascii="宋体" w:hAnsi="宋体" w:eastAsia="宋体" w:cs="宋体"/>
                <w:color w:val="auto"/>
                <w:sz w:val="21"/>
                <w:szCs w:val="21"/>
                <w:highlight w:val="none"/>
                <w:lang w:val="en-US" w:eastAsia="zh-CN" w:bidi="ar"/>
              </w:rPr>
              <w:t>.摄像头：不低于400万像素，抓拍图像分辨率不低于2592*1944</w:t>
            </w:r>
            <w:r>
              <w:rPr>
                <w:rStyle w:val="374"/>
                <w:rFonts w:hint="eastAsia" w:ascii="宋体" w:hAnsi="宋体" w:eastAsia="宋体" w:cs="宋体"/>
                <w:color w:val="auto"/>
                <w:sz w:val="21"/>
                <w:szCs w:val="21"/>
                <w:highlight w:val="none"/>
                <w:lang w:val="en-US" w:eastAsia="zh-CN" w:bidi="ar"/>
              </w:rPr>
              <w:br w:type="textWrapping"/>
            </w:r>
            <w:r>
              <w:rPr>
                <w:rStyle w:val="374"/>
                <w:rFonts w:hint="eastAsia" w:ascii="宋体" w:hAnsi="宋体" w:cs="宋体"/>
                <w:color w:val="auto"/>
                <w:sz w:val="21"/>
                <w:szCs w:val="21"/>
                <w:highlight w:val="none"/>
                <w:lang w:val="en-US" w:eastAsia="zh-CN" w:bidi="ar"/>
              </w:rPr>
              <w:t>5</w:t>
            </w:r>
            <w:r>
              <w:rPr>
                <w:rStyle w:val="374"/>
                <w:rFonts w:hint="eastAsia" w:ascii="宋体" w:hAnsi="宋体" w:eastAsia="宋体" w:cs="宋体"/>
                <w:color w:val="auto"/>
                <w:sz w:val="21"/>
                <w:szCs w:val="21"/>
                <w:highlight w:val="none"/>
                <w:lang w:val="en-US" w:eastAsia="zh-CN" w:bidi="ar"/>
              </w:rPr>
              <w:t>.身份识别：支持刷卡、人脸、密码身份认证方式登录；</w:t>
            </w:r>
            <w:r>
              <w:rPr>
                <w:rStyle w:val="374"/>
                <w:rFonts w:hint="eastAsia" w:ascii="宋体" w:hAnsi="宋体" w:eastAsia="宋体" w:cs="宋体"/>
                <w:color w:val="auto"/>
                <w:sz w:val="21"/>
                <w:szCs w:val="21"/>
                <w:highlight w:val="none"/>
                <w:lang w:val="en-US" w:eastAsia="zh-CN" w:bidi="ar"/>
              </w:rPr>
              <w:br w:type="textWrapping"/>
            </w:r>
            <w:r>
              <w:rPr>
                <w:rStyle w:val="374"/>
                <w:rFonts w:hint="eastAsia" w:ascii="宋体" w:hAnsi="宋体" w:eastAsia="宋体" w:cs="宋体"/>
                <w:color w:val="auto"/>
                <w:sz w:val="21"/>
                <w:szCs w:val="21"/>
                <w:highlight w:val="none"/>
                <w:lang w:val="en-US" w:eastAsia="zh-CN" w:bidi="ar"/>
              </w:rPr>
              <w:t>★</w:t>
            </w:r>
            <w:r>
              <w:rPr>
                <w:rStyle w:val="374"/>
                <w:rFonts w:hint="eastAsia" w:ascii="宋体" w:hAnsi="宋体" w:cs="宋体"/>
                <w:color w:val="auto"/>
                <w:sz w:val="21"/>
                <w:szCs w:val="21"/>
                <w:highlight w:val="none"/>
                <w:lang w:val="en-US" w:eastAsia="zh-CN" w:bidi="ar"/>
              </w:rPr>
              <w:t>6</w:t>
            </w:r>
            <w:r>
              <w:rPr>
                <w:rStyle w:val="374"/>
                <w:rFonts w:hint="eastAsia" w:ascii="宋体" w:hAnsi="宋体" w:eastAsia="宋体" w:cs="宋体"/>
                <w:color w:val="auto"/>
                <w:sz w:val="21"/>
                <w:szCs w:val="21"/>
                <w:highlight w:val="none"/>
                <w:lang w:val="en-US" w:eastAsia="zh-CN" w:bidi="ar"/>
              </w:rPr>
              <w:t>.支持10.8V~24V宽电压供电，且具有反接、短路、过压等保护， 反接、短路、过压后恢复可正常工作。</w:t>
            </w:r>
            <w:r>
              <w:rPr>
                <w:rFonts w:hint="eastAsia" w:ascii="宋体" w:hAnsi="宋体" w:eastAsia="宋体" w:cs="宋体"/>
                <w:i w:val="0"/>
                <w:iCs w:val="0"/>
                <w:color w:val="auto"/>
                <w:kern w:val="0"/>
                <w:sz w:val="21"/>
                <w:szCs w:val="21"/>
                <w:highlight w:val="none"/>
                <w:u w:val="none"/>
                <w:lang w:val="en-US" w:eastAsia="zh-CN" w:bidi="ar"/>
              </w:rPr>
              <w:t>（投标文件中提供具有CMA或CNAS标志的第三方检测报告扫描件并加盖投标人公章）</w:t>
            </w:r>
          </w:p>
          <w:p w14:paraId="15FB1EC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74"/>
                <w:rFonts w:hint="eastAsia" w:ascii="宋体" w:hAnsi="宋体" w:cs="宋体"/>
                <w:color w:val="auto"/>
                <w:sz w:val="21"/>
                <w:szCs w:val="21"/>
                <w:highlight w:val="none"/>
                <w:lang w:val="en-US" w:eastAsia="zh-CN" w:bidi="ar"/>
              </w:rPr>
              <w:t>7.</w:t>
            </w:r>
            <w:r>
              <w:rPr>
                <w:rStyle w:val="374"/>
                <w:rFonts w:hint="eastAsia" w:ascii="宋体" w:hAnsi="宋体" w:eastAsia="宋体" w:cs="宋体"/>
                <w:color w:val="auto"/>
                <w:sz w:val="21"/>
                <w:szCs w:val="21"/>
                <w:highlight w:val="none"/>
                <w:lang w:val="en-US" w:eastAsia="zh-CN" w:bidi="ar"/>
              </w:rPr>
              <w:t>外部接口：MIPI 接口和1个摄像头，具有1个液晶显示屏、1个micro HDMI 接口、1个USB2.0接口、1个micro USB接口、1个3.5mm音频接口、1个TF卡槽和1个RJ45网络接口。（投标文件中提供具有CMA或CNAS标志的第三方检测报告扫描件并加盖投标人公章）</w:t>
            </w:r>
            <w:r>
              <w:rPr>
                <w:rStyle w:val="374"/>
                <w:rFonts w:hint="eastAsia" w:ascii="宋体" w:hAnsi="宋体" w:eastAsia="宋体" w:cs="宋体"/>
                <w:color w:val="auto"/>
                <w:sz w:val="21"/>
                <w:szCs w:val="21"/>
                <w:highlight w:val="none"/>
                <w:lang w:val="en-US" w:eastAsia="zh-CN" w:bidi="ar"/>
              </w:rPr>
              <w:br w:type="textWrapping"/>
            </w:r>
            <w:r>
              <w:rPr>
                <w:rStyle w:val="374"/>
                <w:rFonts w:hint="eastAsia" w:ascii="宋体" w:hAnsi="宋体" w:cs="宋体"/>
                <w:color w:val="auto"/>
                <w:sz w:val="21"/>
                <w:szCs w:val="21"/>
                <w:highlight w:val="none"/>
                <w:lang w:val="en-US" w:eastAsia="zh-CN" w:bidi="ar"/>
              </w:rPr>
              <w:t>8</w:t>
            </w:r>
            <w:r>
              <w:rPr>
                <w:rStyle w:val="374"/>
                <w:rFonts w:hint="eastAsia" w:ascii="宋体" w:hAnsi="宋体" w:eastAsia="宋体" w:cs="宋体"/>
                <w:color w:val="auto"/>
                <w:sz w:val="21"/>
                <w:szCs w:val="21"/>
                <w:highlight w:val="none"/>
                <w:lang w:val="en-US" w:eastAsia="zh-CN" w:bidi="ar"/>
              </w:rPr>
              <w:t>.触摸式液晶显示屏防暴等级IK07等级要求、外壳防护等级IP54的等级要求。</w:t>
            </w:r>
          </w:p>
        </w:tc>
        <w:tc>
          <w:tcPr>
            <w:tcW w:w="293" w:type="pct"/>
            <w:shd w:val="clear" w:color="auto" w:fill="auto"/>
            <w:vAlign w:val="center"/>
          </w:tcPr>
          <w:p w14:paraId="27D0F1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759C95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r>
      <w:tr w14:paraId="790B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93" w:type="pct"/>
            <w:shd w:val="clear" w:color="auto" w:fill="auto"/>
            <w:vAlign w:val="center"/>
          </w:tcPr>
          <w:p w14:paraId="6D631B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04" w:type="pct"/>
            <w:shd w:val="clear" w:color="auto" w:fill="auto"/>
            <w:vAlign w:val="center"/>
          </w:tcPr>
          <w:p w14:paraId="2B59CE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监室信息显示软件</w:t>
            </w:r>
          </w:p>
        </w:tc>
        <w:tc>
          <w:tcPr>
            <w:tcW w:w="3515" w:type="pct"/>
            <w:shd w:val="clear" w:color="auto" w:fill="auto"/>
            <w:vAlign w:val="top"/>
          </w:tcPr>
          <w:p w14:paraId="7FA2E11D">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主界面模块：可在主界面中查询到当前监室号、监室类型、监室主协管民警信息，展示当前押量、在监室人数信息、新入所、新调监人员数量，可连接配套数据伙房获取当前监室病号、清真人员数量，查看监室值班、值日人员信息、 今日值班人员。可通过管教端输入管教留言，在信息显示屏中查看形成管教预警。（投标文件中提供具有CMA或CNAS标志的第三方检测报告扫描件并加盖投标人公章）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★2.信息查询：可支持解锁主界面，登录功能； 支持解锁历史信息记录保存至后台，使用身份解锁后可查询，被监管人员详细信息：角标方式展示人员属性标签（新、超、重、械），被监管人员姓名、照片、入所原因、入所时间。（投标文件中提供具有CMA或CNAS标志的第三方检测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★3.分类查询：被监管人员违规信息、消费信息、所内就医信息、提讯信息、提押信息、家属会见信息、律师会见信息、谈话记录、械具使用信息、禁闭 信息、健康检查、单独关押、月度考核信息、延期信息、换押记录、物品 信息；支持以上所有信息历史记录查询。（投标文件中提供具有CMA或CNAS标志的第三方检测报告扫描件并加盖投标人公章）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★4.支持违规录入与监室违规录入；可在室外信息显示软件中对被监管人员进行违规记录添加，违规原因以字典方式选择填写。（投标文件中提供具有CMA或CNAS标志的第三方检测报告扫描件并加盖投标人公章）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★5.可通过各认证方式进行民警巡视签到功能，支持巡视记录签到记录保存至后台。（投标文件中提供具有CMA或CNAS标志的第三方检测报告扫描件并加盖投标人公章）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6.实时监控：可点击播放监室与放风场内监控图像；画面显示比例可支持 16：9 和 4：3 两种模式显示。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7.重启功能：当发生死机故障时，设备可自动重启，支持无操作超时自动锁屏。</w:t>
            </w:r>
          </w:p>
        </w:tc>
        <w:tc>
          <w:tcPr>
            <w:tcW w:w="293" w:type="pct"/>
            <w:shd w:val="clear" w:color="auto" w:fill="auto"/>
            <w:vAlign w:val="center"/>
          </w:tcPr>
          <w:p w14:paraId="3DF3DD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93" w:type="pct"/>
            <w:shd w:val="clear" w:color="auto" w:fill="auto"/>
            <w:vAlign w:val="center"/>
          </w:tcPr>
          <w:p w14:paraId="7C5FB4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00B1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7BA342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04" w:type="pct"/>
            <w:shd w:val="clear" w:color="auto" w:fill="auto"/>
            <w:vAlign w:val="center"/>
          </w:tcPr>
          <w:p w14:paraId="4139D2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w:t>
            </w:r>
          </w:p>
        </w:tc>
        <w:tc>
          <w:tcPr>
            <w:tcW w:w="3515" w:type="pct"/>
            <w:shd w:val="clear" w:color="auto" w:fill="auto"/>
            <w:vAlign w:val="top"/>
          </w:tcPr>
          <w:p w14:paraId="7E0276AF">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color w:val="auto"/>
                <w:highlight w:val="none"/>
                <w:lang w:val="en-US" w:eastAsia="zh-CN"/>
              </w:rPr>
              <w:t>1.</w:t>
            </w:r>
            <w:r>
              <w:rPr>
                <w:rFonts w:hint="eastAsia" w:ascii="宋体" w:hAnsi="宋体" w:eastAsia="宋体" w:cs="宋体"/>
                <w:i w:val="0"/>
                <w:iCs w:val="0"/>
                <w:color w:val="auto"/>
                <w:kern w:val="0"/>
                <w:sz w:val="21"/>
                <w:szCs w:val="21"/>
                <w:highlight w:val="none"/>
                <w:u w:val="none"/>
                <w:lang w:val="en-US" w:eastAsia="zh-CN" w:bidi="ar"/>
              </w:rPr>
              <w:t>国产化处理器*2，单颗cpu核数≥16核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内存≥128G DDR4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硬盘：至少2块480G SSD硬盘，2块4T 7.2K SATA硬盘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网口：≥2个千兆电口；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其他接口：配置≥1个千兆RJ-45管理接口，≥4个USB 3.0接口；≥1个VGA口；</w:t>
            </w:r>
          </w:p>
        </w:tc>
        <w:tc>
          <w:tcPr>
            <w:tcW w:w="293" w:type="pct"/>
            <w:shd w:val="clear" w:color="auto" w:fill="auto"/>
            <w:vAlign w:val="center"/>
          </w:tcPr>
          <w:p w14:paraId="49EB2C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341C62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1DA8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93" w:type="pct"/>
            <w:shd w:val="clear" w:color="auto" w:fill="auto"/>
            <w:vAlign w:val="center"/>
          </w:tcPr>
          <w:p w14:paraId="326360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04" w:type="pct"/>
            <w:shd w:val="clear" w:color="auto" w:fill="auto"/>
            <w:vAlign w:val="center"/>
          </w:tcPr>
          <w:p w14:paraId="1AF66F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操作系统</w:t>
            </w:r>
          </w:p>
        </w:tc>
        <w:tc>
          <w:tcPr>
            <w:tcW w:w="3515" w:type="pct"/>
            <w:shd w:val="clear" w:color="auto" w:fill="auto"/>
            <w:vAlign w:val="center"/>
          </w:tcPr>
          <w:p w14:paraId="5102B38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国产服务器操作系统</w:t>
            </w:r>
          </w:p>
        </w:tc>
        <w:tc>
          <w:tcPr>
            <w:tcW w:w="293" w:type="pct"/>
            <w:shd w:val="clear" w:color="auto" w:fill="auto"/>
            <w:vAlign w:val="center"/>
          </w:tcPr>
          <w:p w14:paraId="1D11E7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93" w:type="pct"/>
            <w:shd w:val="clear" w:color="auto" w:fill="auto"/>
            <w:vAlign w:val="center"/>
          </w:tcPr>
          <w:p w14:paraId="21D2DB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0DF8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5"/>
            <w:shd w:val="clear" w:color="auto" w:fill="auto"/>
            <w:vAlign w:val="center"/>
          </w:tcPr>
          <w:p w14:paraId="4AE8F25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五、在押人员报告系统</w:t>
            </w:r>
          </w:p>
        </w:tc>
      </w:tr>
      <w:tr w14:paraId="74F2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76C571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4" w:type="pct"/>
            <w:shd w:val="clear" w:color="auto" w:fill="auto"/>
            <w:vAlign w:val="center"/>
          </w:tcPr>
          <w:p w14:paraId="4609E7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防爆对讲分机</w:t>
            </w:r>
          </w:p>
        </w:tc>
        <w:tc>
          <w:tcPr>
            <w:tcW w:w="3515" w:type="pct"/>
            <w:shd w:val="clear" w:color="auto" w:fill="auto"/>
            <w:vAlign w:val="center"/>
          </w:tcPr>
          <w:p w14:paraId="2D2EED7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1.主处理器：高性能嵌入式处理器；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2.操作系统：嵌入式；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3.按键类型：机械按键；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4.接入标准：ONVIF；GB/T28181；CGI；</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5.网络协议：IPv4；RTSP；UDP；P2P；FTP；RTP；TCP；SIP；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6.防拆报警：支持；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7.通讯方式：全数字；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8.存储功能：支持Micro SD卡存储，支持最大512GB；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★9.同步存储功能：支持将音视频同步存储到设备SD卡中，当在双向对讲通话时录像存储为双向通过混音的音视频复合流；（投标文件中提供具有CMA或CNAS标志的第三方检测报告扫描件并加盖投标人公章）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10.音频输入：内置双路麦，可外接3.5mm音频输入；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11.音频输出：内置双扬声器，可外接有源音箱；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12.摄像头：1/2.7" 4MP CMOS摄像头；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★13.视频编码：支持H.264和H.265视频编码（投标文件中提供具有CMA或CNAS标志的第三方检测报告扫描件并加盖投标人公章）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14.RS-485接口：≥1个；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15.报警输入：≥2路；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16.报警输出：≥2路；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17.电源输出：≥1路12V/1A；≥1路12V/200mA；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18.网络接口：≥2个100Mbps以太网口；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19.</w:t>
            </w:r>
            <w:r>
              <w:rPr>
                <w:rFonts w:hint="eastAsia" w:ascii="宋体" w:hAnsi="宋体" w:eastAsia="宋体" w:cs="宋体"/>
                <w:i w:val="0"/>
                <w:iCs w:val="0"/>
                <w:color w:val="auto"/>
                <w:kern w:val="0"/>
                <w:sz w:val="21"/>
                <w:szCs w:val="21"/>
                <w:highlight w:val="none"/>
                <w:u w:val="none"/>
                <w:lang w:val="en-US" w:eastAsia="zh-CN" w:bidi="ar"/>
              </w:rPr>
              <w:t>外壳材料：铝合金；</w:t>
            </w:r>
          </w:p>
        </w:tc>
        <w:tc>
          <w:tcPr>
            <w:tcW w:w="293" w:type="pct"/>
            <w:shd w:val="clear" w:color="auto" w:fill="auto"/>
            <w:vAlign w:val="center"/>
          </w:tcPr>
          <w:p w14:paraId="1496C2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93" w:type="pct"/>
            <w:shd w:val="clear" w:color="auto" w:fill="auto"/>
            <w:vAlign w:val="center"/>
          </w:tcPr>
          <w:p w14:paraId="472C77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r>
      <w:tr w14:paraId="286D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93" w:type="pct"/>
            <w:shd w:val="clear" w:color="auto" w:fill="auto"/>
            <w:vAlign w:val="center"/>
          </w:tcPr>
          <w:p w14:paraId="431FF4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04" w:type="pct"/>
            <w:shd w:val="clear" w:color="auto" w:fill="auto"/>
            <w:vAlign w:val="center"/>
          </w:tcPr>
          <w:p w14:paraId="4F2FDA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防爆对讲分机（室外防水）</w:t>
            </w:r>
          </w:p>
        </w:tc>
        <w:tc>
          <w:tcPr>
            <w:tcW w:w="3515" w:type="pct"/>
            <w:shd w:val="clear" w:color="auto" w:fill="auto"/>
            <w:vAlign w:val="center"/>
          </w:tcPr>
          <w:p w14:paraId="7A65C28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主处理器：高性能嵌入式处理器；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操作系统：嵌入式操作系统；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按键类型：机械按键；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接入标准：ONVIF；GB/T28181；CGI；</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网络协议：IPv4；RTSP；UDP；P2P；FTP；RTP；TCP；SIP；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防拆报警：支持；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通讯方式：全数字；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存储功能：支持Micro SD卡存储，支持最大512GB；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同步存储功能：支持将音视频同步存储到设备SD卡中，当在双向</w:t>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对讲通话时录像存储为双向通过混音的音视频复合流；（投标文件中提供具有CMA或CNAS标志的第三方检测报告扫描件并加盖投标人公章）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11.</w:t>
            </w:r>
            <w:r>
              <w:rPr>
                <w:rFonts w:hint="eastAsia" w:ascii="宋体" w:hAnsi="宋体" w:eastAsia="宋体" w:cs="宋体"/>
                <w:i w:val="0"/>
                <w:iCs w:val="0"/>
                <w:color w:val="auto"/>
                <w:kern w:val="0"/>
                <w:sz w:val="21"/>
                <w:szCs w:val="21"/>
                <w:highlight w:val="none"/>
                <w:u w:val="none"/>
                <w:lang w:val="en-US" w:eastAsia="zh-CN" w:bidi="ar"/>
              </w:rPr>
              <w:t>音频输入：内置双路硅麦，外接3.5mm音频输入；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音频输出：内置双扬声器，外接有源音箱；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13.</w:t>
            </w:r>
            <w:r>
              <w:rPr>
                <w:rFonts w:hint="eastAsia" w:ascii="宋体" w:hAnsi="宋体" w:eastAsia="宋体" w:cs="宋体"/>
                <w:i w:val="0"/>
                <w:iCs w:val="0"/>
                <w:color w:val="auto"/>
                <w:kern w:val="0"/>
                <w:sz w:val="21"/>
                <w:szCs w:val="21"/>
                <w:highlight w:val="none"/>
                <w:u w:val="none"/>
                <w:lang w:val="en-US" w:eastAsia="zh-CN" w:bidi="ar"/>
              </w:rPr>
              <w:t>摄像头：1/2.7" 4MP CMOS摄像头；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14.</w:t>
            </w:r>
            <w:r>
              <w:rPr>
                <w:rFonts w:hint="eastAsia" w:ascii="宋体" w:hAnsi="宋体" w:eastAsia="宋体" w:cs="宋体"/>
                <w:i w:val="0"/>
                <w:iCs w:val="0"/>
                <w:color w:val="auto"/>
                <w:kern w:val="0"/>
                <w:sz w:val="21"/>
                <w:szCs w:val="21"/>
                <w:highlight w:val="none"/>
                <w:u w:val="none"/>
                <w:lang w:val="en-US" w:eastAsia="zh-CN" w:bidi="ar"/>
              </w:rPr>
              <w:t>视频编码：支持H.264和H.265视频编码（投标文件中提供具有CMA或CNAS标志的第三方检测报告扫描件并加盖投标人公章）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15.</w:t>
            </w:r>
            <w:r>
              <w:rPr>
                <w:rFonts w:hint="eastAsia" w:ascii="宋体" w:hAnsi="宋体" w:eastAsia="宋体" w:cs="宋体"/>
                <w:i w:val="0"/>
                <w:iCs w:val="0"/>
                <w:color w:val="auto"/>
                <w:kern w:val="0"/>
                <w:sz w:val="21"/>
                <w:szCs w:val="21"/>
                <w:highlight w:val="none"/>
                <w:u w:val="none"/>
                <w:lang w:val="en-US" w:eastAsia="zh-CN" w:bidi="ar"/>
              </w:rPr>
              <w:t>RS-485接口：≥1个；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16.</w:t>
            </w:r>
            <w:r>
              <w:rPr>
                <w:rFonts w:hint="eastAsia" w:ascii="宋体" w:hAnsi="宋体" w:eastAsia="宋体" w:cs="宋体"/>
                <w:i w:val="0"/>
                <w:iCs w:val="0"/>
                <w:color w:val="auto"/>
                <w:kern w:val="0"/>
                <w:sz w:val="21"/>
                <w:szCs w:val="21"/>
                <w:highlight w:val="none"/>
                <w:u w:val="none"/>
                <w:lang w:val="en-US" w:eastAsia="zh-CN" w:bidi="ar"/>
              </w:rPr>
              <w:t>报警输入：≥2路；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17.</w:t>
            </w:r>
            <w:r>
              <w:rPr>
                <w:rFonts w:hint="eastAsia" w:ascii="宋体" w:hAnsi="宋体" w:eastAsia="宋体" w:cs="宋体"/>
                <w:i w:val="0"/>
                <w:iCs w:val="0"/>
                <w:color w:val="auto"/>
                <w:kern w:val="0"/>
                <w:sz w:val="21"/>
                <w:szCs w:val="21"/>
                <w:highlight w:val="none"/>
                <w:u w:val="none"/>
                <w:lang w:val="en-US" w:eastAsia="zh-CN" w:bidi="ar"/>
              </w:rPr>
              <w:t>报警输出：≥2路；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18.</w:t>
            </w:r>
            <w:r>
              <w:rPr>
                <w:rFonts w:hint="eastAsia" w:ascii="宋体" w:hAnsi="宋体" w:eastAsia="宋体" w:cs="宋体"/>
                <w:i w:val="0"/>
                <w:iCs w:val="0"/>
                <w:color w:val="auto"/>
                <w:kern w:val="0"/>
                <w:sz w:val="21"/>
                <w:szCs w:val="21"/>
                <w:highlight w:val="none"/>
                <w:u w:val="none"/>
                <w:lang w:val="en-US" w:eastAsia="zh-CN" w:bidi="ar"/>
              </w:rPr>
              <w:t>电源输出：≥1路12V/1A；≥1路12V/200mA；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19.</w:t>
            </w:r>
            <w:r>
              <w:rPr>
                <w:rFonts w:hint="eastAsia" w:ascii="宋体" w:hAnsi="宋体" w:eastAsia="宋体" w:cs="宋体"/>
                <w:i w:val="0"/>
                <w:iCs w:val="0"/>
                <w:color w:val="auto"/>
                <w:kern w:val="0"/>
                <w:sz w:val="21"/>
                <w:szCs w:val="21"/>
                <w:highlight w:val="none"/>
                <w:u w:val="none"/>
                <w:lang w:val="en-US" w:eastAsia="zh-CN" w:bidi="ar"/>
              </w:rPr>
              <w:t>网络接口：≥2个100Mbps以太网口；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20.</w:t>
            </w:r>
            <w:r>
              <w:rPr>
                <w:rFonts w:hint="eastAsia" w:ascii="宋体" w:hAnsi="宋体" w:eastAsia="宋体" w:cs="宋体"/>
                <w:i w:val="0"/>
                <w:iCs w:val="0"/>
                <w:color w:val="auto"/>
                <w:kern w:val="0"/>
                <w:sz w:val="21"/>
                <w:szCs w:val="21"/>
                <w:highlight w:val="none"/>
                <w:u w:val="none"/>
                <w:lang w:val="en-US" w:eastAsia="zh-CN" w:bidi="ar"/>
              </w:rPr>
              <w:t>外壳材料：铝合金；</w:t>
            </w:r>
          </w:p>
        </w:tc>
        <w:tc>
          <w:tcPr>
            <w:tcW w:w="293" w:type="pct"/>
            <w:shd w:val="clear" w:color="auto" w:fill="auto"/>
            <w:vAlign w:val="center"/>
          </w:tcPr>
          <w:p w14:paraId="43C7BC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5F5738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r>
      <w:tr w14:paraId="65A0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2C5966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04" w:type="pct"/>
            <w:shd w:val="clear" w:color="auto" w:fill="auto"/>
            <w:vAlign w:val="center"/>
          </w:tcPr>
          <w:p w14:paraId="62C6B4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对讲分机底盒</w:t>
            </w:r>
          </w:p>
        </w:tc>
        <w:tc>
          <w:tcPr>
            <w:tcW w:w="3515" w:type="pct"/>
            <w:shd w:val="clear" w:color="auto" w:fill="auto"/>
            <w:vAlign w:val="center"/>
          </w:tcPr>
          <w:p w14:paraId="61F0A50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对讲分机配套预埋底盒</w:t>
            </w:r>
          </w:p>
        </w:tc>
        <w:tc>
          <w:tcPr>
            <w:tcW w:w="293" w:type="pct"/>
            <w:shd w:val="clear" w:color="auto" w:fill="auto"/>
            <w:vAlign w:val="center"/>
          </w:tcPr>
          <w:p w14:paraId="71F327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34417E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r>
      <w:tr w14:paraId="5B934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93" w:type="pct"/>
            <w:shd w:val="clear" w:color="auto" w:fill="auto"/>
            <w:vAlign w:val="center"/>
          </w:tcPr>
          <w:p w14:paraId="4F1549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04" w:type="pct"/>
            <w:shd w:val="clear" w:color="auto" w:fill="auto"/>
            <w:vAlign w:val="center"/>
          </w:tcPr>
          <w:p w14:paraId="188DD9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对讲主机（桌面式）</w:t>
            </w:r>
          </w:p>
        </w:tc>
        <w:tc>
          <w:tcPr>
            <w:tcW w:w="3515" w:type="pct"/>
            <w:shd w:val="clear" w:color="auto" w:fill="auto"/>
            <w:vAlign w:val="center"/>
          </w:tcPr>
          <w:p w14:paraId="1064403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主处理器：高性能嵌入式处理器；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按键类型：机械按键；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接入标准：ONVIF；CGI；SDK；SIP；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网络协议：IPv4；RTSP；UDP；FTP；RTP；TCP；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屏幕类型：电容触摸屏；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显示屏：10.1英寸显示屏；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显示屏分辨率：1024×600；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摄像头：5MP CMOS 摄像头；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音频输入：3路；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音频输出：内置喇叭；听筒扬声器；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11.</w:t>
            </w:r>
            <w:r>
              <w:rPr>
                <w:rFonts w:hint="eastAsia" w:ascii="宋体" w:hAnsi="宋体" w:eastAsia="宋体" w:cs="宋体"/>
                <w:i w:val="0"/>
                <w:iCs w:val="0"/>
                <w:color w:val="auto"/>
                <w:kern w:val="0"/>
                <w:sz w:val="21"/>
                <w:szCs w:val="21"/>
                <w:highlight w:val="none"/>
                <w:u w:val="none"/>
                <w:lang w:val="en-US" w:eastAsia="zh-CN" w:bidi="ar"/>
              </w:rPr>
              <w:t>状态指示灯：2个，红色-电源指示灯，绿色-信息指示灯；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通讯方式：全数字；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13.</w:t>
            </w:r>
            <w:r>
              <w:rPr>
                <w:rFonts w:hint="eastAsia" w:ascii="宋体" w:hAnsi="宋体" w:eastAsia="宋体" w:cs="宋体"/>
                <w:i w:val="0"/>
                <w:iCs w:val="0"/>
                <w:color w:val="auto"/>
                <w:kern w:val="0"/>
                <w:sz w:val="21"/>
                <w:szCs w:val="21"/>
                <w:highlight w:val="none"/>
                <w:u w:val="none"/>
                <w:lang w:val="en-US" w:eastAsia="zh-CN" w:bidi="ar"/>
              </w:rPr>
              <w:t>存储功能：支持Micro SD卡存储，支持最大512GB；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14.</w:t>
            </w:r>
            <w:r>
              <w:rPr>
                <w:rFonts w:hint="eastAsia" w:ascii="宋体" w:hAnsi="宋体" w:eastAsia="宋体" w:cs="宋体"/>
                <w:i w:val="0"/>
                <w:iCs w:val="0"/>
                <w:color w:val="auto"/>
                <w:kern w:val="0"/>
                <w:sz w:val="21"/>
                <w:szCs w:val="21"/>
                <w:highlight w:val="none"/>
                <w:u w:val="none"/>
                <w:lang w:val="en-US" w:eastAsia="zh-CN" w:bidi="ar"/>
              </w:rPr>
              <w:t>WEB配置：支持；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15.</w:t>
            </w:r>
            <w:r>
              <w:rPr>
                <w:rFonts w:hint="eastAsia" w:ascii="宋体" w:hAnsi="宋体" w:eastAsia="宋体" w:cs="宋体"/>
                <w:i w:val="0"/>
                <w:iCs w:val="0"/>
                <w:color w:val="auto"/>
                <w:kern w:val="0"/>
                <w:sz w:val="21"/>
                <w:szCs w:val="21"/>
                <w:highlight w:val="none"/>
                <w:u w:val="none"/>
                <w:lang w:val="en-US" w:eastAsia="zh-CN" w:bidi="ar"/>
              </w:rPr>
              <w:t>主动注册：支持；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16.</w:t>
            </w:r>
            <w:r>
              <w:rPr>
                <w:rFonts w:hint="eastAsia" w:ascii="宋体" w:hAnsi="宋体" w:eastAsia="宋体" w:cs="宋体"/>
                <w:i w:val="0"/>
                <w:iCs w:val="0"/>
                <w:color w:val="auto"/>
                <w:kern w:val="0"/>
                <w:sz w:val="21"/>
                <w:szCs w:val="21"/>
                <w:highlight w:val="none"/>
                <w:u w:val="none"/>
                <w:lang w:val="en-US" w:eastAsia="zh-CN" w:bidi="ar"/>
              </w:rPr>
              <w:t>外壳材料：PC+ABS；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17.</w:t>
            </w:r>
            <w:r>
              <w:rPr>
                <w:rFonts w:hint="eastAsia" w:ascii="宋体" w:hAnsi="宋体" w:eastAsia="宋体" w:cs="宋体"/>
                <w:i w:val="0"/>
                <w:iCs w:val="0"/>
                <w:color w:val="auto"/>
                <w:kern w:val="0"/>
                <w:sz w:val="21"/>
                <w:szCs w:val="21"/>
                <w:highlight w:val="none"/>
                <w:u w:val="none"/>
                <w:lang w:val="en-US" w:eastAsia="zh-CN" w:bidi="ar"/>
              </w:rPr>
              <w:t>RS-485接口：≥1个；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18.</w:t>
            </w:r>
            <w:r>
              <w:rPr>
                <w:rFonts w:hint="eastAsia" w:ascii="宋体" w:hAnsi="宋体" w:eastAsia="宋体" w:cs="宋体"/>
                <w:i w:val="0"/>
                <w:iCs w:val="0"/>
                <w:color w:val="auto"/>
                <w:kern w:val="0"/>
                <w:sz w:val="21"/>
                <w:szCs w:val="21"/>
                <w:highlight w:val="none"/>
                <w:u w:val="none"/>
                <w:lang w:val="en-US" w:eastAsia="zh-CN" w:bidi="ar"/>
              </w:rPr>
              <w:t>HDMI接口：≥1个；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19.</w:t>
            </w:r>
            <w:r>
              <w:rPr>
                <w:rFonts w:hint="eastAsia" w:ascii="宋体" w:hAnsi="宋体" w:eastAsia="宋体" w:cs="宋体"/>
                <w:i w:val="0"/>
                <w:iCs w:val="0"/>
                <w:color w:val="auto"/>
                <w:kern w:val="0"/>
                <w:sz w:val="21"/>
                <w:szCs w:val="21"/>
                <w:highlight w:val="none"/>
                <w:u w:val="none"/>
                <w:lang w:val="en-US" w:eastAsia="zh-CN" w:bidi="ar"/>
              </w:rPr>
              <w:t>USB接口：≥1个USB2.0接口≥1个USB3.0接口；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20.</w:t>
            </w:r>
            <w:r>
              <w:rPr>
                <w:rFonts w:hint="eastAsia" w:ascii="宋体" w:hAnsi="宋体" w:eastAsia="宋体" w:cs="宋体"/>
                <w:i w:val="0"/>
                <w:iCs w:val="0"/>
                <w:color w:val="auto"/>
                <w:kern w:val="0"/>
                <w:sz w:val="21"/>
                <w:szCs w:val="21"/>
                <w:highlight w:val="none"/>
                <w:u w:val="none"/>
                <w:lang w:val="en-US" w:eastAsia="zh-CN" w:bidi="ar"/>
              </w:rPr>
              <w:t>报警输入：≥4路；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21.</w:t>
            </w:r>
            <w:r>
              <w:rPr>
                <w:rFonts w:hint="eastAsia" w:ascii="宋体" w:hAnsi="宋体" w:eastAsia="宋体" w:cs="宋体"/>
                <w:i w:val="0"/>
                <w:iCs w:val="0"/>
                <w:color w:val="auto"/>
                <w:kern w:val="0"/>
                <w:sz w:val="21"/>
                <w:szCs w:val="21"/>
                <w:highlight w:val="none"/>
                <w:u w:val="none"/>
                <w:lang w:val="en-US" w:eastAsia="zh-CN" w:bidi="ar"/>
              </w:rPr>
              <w:t>电源输出：≥1路12V/200mA；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22.</w:t>
            </w:r>
            <w:r>
              <w:rPr>
                <w:rFonts w:hint="eastAsia" w:ascii="宋体" w:hAnsi="宋体" w:eastAsia="宋体" w:cs="宋体"/>
                <w:i w:val="0"/>
                <w:iCs w:val="0"/>
                <w:color w:val="auto"/>
                <w:kern w:val="0"/>
                <w:sz w:val="21"/>
                <w:szCs w:val="21"/>
                <w:highlight w:val="none"/>
                <w:u w:val="none"/>
                <w:lang w:val="en-US" w:eastAsia="zh-CN" w:bidi="ar"/>
              </w:rPr>
              <w:t>网络接口：≥1个RJ-45 100Mbps/1000Mbps自适应；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23.</w:t>
            </w:r>
            <w:r>
              <w:rPr>
                <w:rFonts w:hint="eastAsia" w:ascii="宋体" w:hAnsi="宋体" w:eastAsia="宋体" w:cs="宋体"/>
                <w:i w:val="0"/>
                <w:iCs w:val="0"/>
                <w:color w:val="auto"/>
                <w:kern w:val="0"/>
                <w:sz w:val="21"/>
                <w:szCs w:val="21"/>
                <w:highlight w:val="none"/>
                <w:u w:val="none"/>
                <w:lang w:val="en-US" w:eastAsia="zh-CN" w:bidi="ar"/>
              </w:rPr>
              <w:t>外观颜色：钛金灰；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24.</w:t>
            </w:r>
            <w:r>
              <w:rPr>
                <w:rFonts w:hint="eastAsia" w:ascii="宋体" w:hAnsi="宋体" w:eastAsia="宋体" w:cs="宋体"/>
                <w:i w:val="0"/>
                <w:iCs w:val="0"/>
                <w:color w:val="auto"/>
                <w:kern w:val="0"/>
                <w:sz w:val="21"/>
                <w:szCs w:val="21"/>
                <w:highlight w:val="none"/>
                <w:u w:val="none"/>
                <w:lang w:val="en-US" w:eastAsia="zh-CN" w:bidi="ar"/>
              </w:rPr>
              <w:t>供电方式：DC12V 4A；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25.</w:t>
            </w:r>
            <w:r>
              <w:rPr>
                <w:rFonts w:hint="eastAsia" w:ascii="宋体" w:hAnsi="宋体" w:eastAsia="宋体" w:cs="宋体"/>
                <w:i w:val="0"/>
                <w:iCs w:val="0"/>
                <w:color w:val="auto"/>
                <w:kern w:val="0"/>
                <w:sz w:val="21"/>
                <w:szCs w:val="21"/>
                <w:highlight w:val="none"/>
                <w:u w:val="none"/>
                <w:lang w:val="en-US" w:eastAsia="zh-CN" w:bidi="ar"/>
              </w:rPr>
              <w:t>安装方式：桌面安装；</w:t>
            </w:r>
          </w:p>
        </w:tc>
        <w:tc>
          <w:tcPr>
            <w:tcW w:w="293" w:type="pct"/>
            <w:shd w:val="clear" w:color="auto" w:fill="auto"/>
            <w:vAlign w:val="center"/>
          </w:tcPr>
          <w:p w14:paraId="7EA628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4B0EA0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3A2E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93" w:type="pct"/>
            <w:shd w:val="clear" w:color="auto" w:fill="auto"/>
            <w:vAlign w:val="center"/>
          </w:tcPr>
          <w:p w14:paraId="6EFDE1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04" w:type="pct"/>
            <w:shd w:val="clear" w:color="auto" w:fill="auto"/>
            <w:vAlign w:val="center"/>
          </w:tcPr>
          <w:p w14:paraId="6B6DD2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对讲软件</w:t>
            </w:r>
          </w:p>
        </w:tc>
        <w:tc>
          <w:tcPr>
            <w:tcW w:w="3515" w:type="pct"/>
            <w:shd w:val="clear" w:color="auto" w:fill="auto"/>
            <w:vAlign w:val="center"/>
          </w:tcPr>
          <w:p w14:paraId="3DB1DF0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支持5000台设备和客户端管理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应答时间在3S以内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同时支持100条双向通信，支持1500单向喊话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实现监所民警之间的信息交流及民警与在押人员之间的信息交流，具备对讲设备管理、实时对讲、呼叫转移、实时喊话、定时广播任务、通讯录下发、紧急报警等功能。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一、对讲配置：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配置呼叫组、应答组、关系组、实时喊话组。呼叫组：配置以按键形式进行呼叫的设备群组。需与管理组进行关联，当在VTA设备一键呼叫后，管理组的设备将会接听。应答组：配置呼叫组拨打后用于应答的设备群组，支持添加VTS管理机和用户（PC客户端）。关系组：配置呼叫组与应答组绑定关系以及应答组之间呼叫转移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2、建立好管理关系后，支持将呼叫组号码下发到应答组中的管理机通讯录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3、支持管理机通讯录管理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二、对讲设备概览：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1、支持设备、客户端基本信息查看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2、支持在平台端快速发起对讲，可一键呼叫和手动拨号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3、支持查看登录用户拨号、接听记录和未接听记录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三、对讲记录：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1、支持查看所有设备的通话记录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2、支持按照时间段进行搜索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3、支持通话时混音录像的下载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★4、支持下载对讲双方的音视频录像；（投标文件中提供具有CMA或CNAS标志的第三方检测报告扫描件并加盖投标人公章）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★5、支持配置对讲录像备份存储至sftp服务器。（投标文件中提供具有CMA或CNAS标志的第三方检测报告扫描件并加盖投标人公章）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四、实时喊话：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1、支持呼叫组的创建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2、支持在平台端一键发起实时喊话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3、支持查看呼叫记录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五、定时广播任务：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支持给定时广播组设备下发文字、音频文件，配置好播放时间后，设备到点会进行播放</w:t>
            </w:r>
          </w:p>
        </w:tc>
        <w:tc>
          <w:tcPr>
            <w:tcW w:w="293" w:type="pct"/>
            <w:shd w:val="clear" w:color="auto" w:fill="auto"/>
            <w:vAlign w:val="center"/>
          </w:tcPr>
          <w:p w14:paraId="037A93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93" w:type="pct"/>
            <w:shd w:val="clear" w:color="auto" w:fill="auto"/>
            <w:vAlign w:val="center"/>
          </w:tcPr>
          <w:p w14:paraId="46B090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464E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5000" w:type="pct"/>
            <w:gridSpan w:val="5"/>
            <w:shd w:val="clear" w:color="auto" w:fill="auto"/>
            <w:vAlign w:val="center"/>
          </w:tcPr>
          <w:p w14:paraId="5C90AA8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六、家属会见系统</w:t>
            </w:r>
          </w:p>
        </w:tc>
      </w:tr>
      <w:tr w14:paraId="6D6F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51323F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4" w:type="pct"/>
            <w:shd w:val="clear" w:color="auto" w:fill="auto"/>
            <w:vAlign w:val="center"/>
          </w:tcPr>
          <w:p w14:paraId="36863C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窗口会见终端（含支架）</w:t>
            </w:r>
          </w:p>
        </w:tc>
        <w:tc>
          <w:tcPr>
            <w:tcW w:w="3515" w:type="pct"/>
            <w:shd w:val="clear" w:color="auto" w:fill="auto"/>
            <w:vAlign w:val="center"/>
          </w:tcPr>
          <w:p w14:paraId="5B8B3F0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1.显示屏：7寸彩色TFT屏；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2.显示屏分辨率：1024*600；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3.操作方式：电容式触摸屏、触摸按键；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4.网口：1路10M/100M自适应以太网口；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5.网络协议：SIP1.0、RTSP；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6.IO输出：预留2个；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7.SD卡扩展：支持TF卡，最大支持64G；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★8.支持访客图像记录和回放功能。（投标文件中提供具有CMA或CNAS标志的第三方检测报告扫描件并加盖投标人公章）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★9.可监视16路授权的访问的访客呼叫机和IPC（投标文件中提供具有CMA或CNAS标志的第三方检测报告扫描件并加盖投标人公章）</w:t>
            </w:r>
          </w:p>
        </w:tc>
        <w:tc>
          <w:tcPr>
            <w:tcW w:w="293" w:type="pct"/>
            <w:shd w:val="clear" w:color="auto" w:fill="auto"/>
            <w:vAlign w:val="center"/>
          </w:tcPr>
          <w:p w14:paraId="493DA2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6F0DB6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14:paraId="7E45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4C9DFD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04" w:type="pct"/>
            <w:shd w:val="clear" w:color="auto" w:fill="auto"/>
            <w:vAlign w:val="center"/>
          </w:tcPr>
          <w:p w14:paraId="0A7C65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窗口会见管理机</w:t>
            </w:r>
          </w:p>
        </w:tc>
        <w:tc>
          <w:tcPr>
            <w:tcW w:w="3515" w:type="pct"/>
            <w:shd w:val="clear" w:color="auto" w:fill="auto"/>
            <w:vAlign w:val="center"/>
          </w:tcPr>
          <w:p w14:paraId="0572E4D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1.采用铝合金支架支持多个角度摆放同时也支持壁挂式安装方式；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2.200万像素单目高清摄像头，双扬声器，立体声播放音效；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3.支持音频输入，内置双全指向mic阵列，可支持3m-5m远距离音频采集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4.支持免提或听筒通话两种方式；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5.设备支持web进行参数配置、账号管理、系统维护等操作；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6.软件功能 ：控制会见通断，设置会见时间，可实时插话、挂断、监听通话等。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7.设备支持扩展TF卡功能，并包含128G TF卡；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8.处理器：嵌入式SOC处理器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9.视频参数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.摄像头：CMOS 200W像素，可开关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11</w:t>
            </w:r>
            <w:r>
              <w:rPr>
                <w:rFonts w:hint="eastAsia" w:ascii="宋体" w:hAnsi="宋体" w:eastAsia="宋体" w:cs="宋体"/>
                <w:i w:val="0"/>
                <w:iCs w:val="0"/>
                <w:color w:val="auto"/>
                <w:kern w:val="0"/>
                <w:sz w:val="21"/>
                <w:szCs w:val="21"/>
                <w:highlight w:val="none"/>
                <w:u w:val="none"/>
                <w:lang w:val="en-US" w:eastAsia="zh-CN" w:bidi="ar"/>
              </w:rPr>
              <w:t xml:space="preserve">.视频压缩标准：H.264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.分辨率：1920*1080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13</w:t>
            </w:r>
            <w:r>
              <w:rPr>
                <w:rFonts w:hint="eastAsia" w:ascii="宋体" w:hAnsi="宋体" w:eastAsia="宋体" w:cs="宋体"/>
                <w:i w:val="0"/>
                <w:iCs w:val="0"/>
                <w:color w:val="auto"/>
                <w:kern w:val="0"/>
                <w:sz w:val="21"/>
                <w:szCs w:val="21"/>
                <w:highlight w:val="none"/>
                <w:u w:val="none"/>
                <w:lang w:val="en-US" w:eastAsia="zh-CN" w:bidi="ar"/>
              </w:rPr>
              <w:t>.视频帧率 ：25帧/秒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14</w:t>
            </w:r>
            <w:r>
              <w:rPr>
                <w:rFonts w:hint="eastAsia" w:ascii="宋体" w:hAnsi="宋体" w:eastAsia="宋体" w:cs="宋体"/>
                <w:i w:val="0"/>
                <w:iCs w:val="0"/>
                <w:color w:val="auto"/>
                <w:kern w:val="0"/>
                <w:sz w:val="21"/>
                <w:szCs w:val="21"/>
                <w:highlight w:val="none"/>
                <w:u w:val="none"/>
                <w:lang w:val="en-US" w:eastAsia="zh-CN" w:bidi="ar"/>
              </w:rPr>
              <w:t>.显示参数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15</w:t>
            </w:r>
            <w:r>
              <w:rPr>
                <w:rFonts w:hint="eastAsia" w:ascii="宋体" w:hAnsi="宋体" w:eastAsia="宋体" w:cs="宋体"/>
                <w:i w:val="0"/>
                <w:iCs w:val="0"/>
                <w:color w:val="auto"/>
                <w:kern w:val="0"/>
                <w:sz w:val="21"/>
                <w:szCs w:val="21"/>
                <w:highlight w:val="none"/>
                <w:u w:val="none"/>
                <w:lang w:val="en-US" w:eastAsia="zh-CN" w:bidi="ar"/>
              </w:rPr>
              <w:t>.显示屏：≥10寸彩色IPS 触摸屏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16</w:t>
            </w:r>
            <w:r>
              <w:rPr>
                <w:rFonts w:hint="eastAsia" w:ascii="宋体" w:hAnsi="宋体" w:eastAsia="宋体" w:cs="宋体"/>
                <w:i w:val="0"/>
                <w:iCs w:val="0"/>
                <w:color w:val="auto"/>
                <w:kern w:val="0"/>
                <w:sz w:val="21"/>
                <w:szCs w:val="21"/>
                <w:highlight w:val="none"/>
                <w:u w:val="none"/>
                <w:lang w:val="en-US" w:eastAsia="zh-CN" w:bidi="ar"/>
              </w:rPr>
              <w:t>.分辨率：1280*800</w:t>
            </w:r>
          </w:p>
        </w:tc>
        <w:tc>
          <w:tcPr>
            <w:tcW w:w="293" w:type="pct"/>
            <w:shd w:val="clear" w:color="auto" w:fill="auto"/>
            <w:vAlign w:val="center"/>
          </w:tcPr>
          <w:p w14:paraId="5FA1F1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45DB04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3CD2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272288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04" w:type="pct"/>
            <w:shd w:val="clear" w:color="auto" w:fill="auto"/>
            <w:vAlign w:val="center"/>
          </w:tcPr>
          <w:p w14:paraId="79279B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网线</w:t>
            </w:r>
          </w:p>
        </w:tc>
        <w:tc>
          <w:tcPr>
            <w:tcW w:w="3515" w:type="pct"/>
            <w:shd w:val="clear" w:color="auto" w:fill="auto"/>
            <w:vAlign w:val="center"/>
          </w:tcPr>
          <w:p w14:paraId="5912E4C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六类双绞线</w:t>
            </w:r>
          </w:p>
        </w:tc>
        <w:tc>
          <w:tcPr>
            <w:tcW w:w="293" w:type="pct"/>
            <w:shd w:val="clear" w:color="auto" w:fill="auto"/>
            <w:vAlign w:val="center"/>
          </w:tcPr>
          <w:p w14:paraId="599D2F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c>
          <w:tcPr>
            <w:tcW w:w="293" w:type="pct"/>
            <w:shd w:val="clear" w:color="auto" w:fill="auto"/>
            <w:vAlign w:val="center"/>
          </w:tcPr>
          <w:p w14:paraId="78BE89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7ABA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786D8E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04" w:type="pct"/>
            <w:shd w:val="clear" w:color="auto" w:fill="auto"/>
            <w:vAlign w:val="center"/>
          </w:tcPr>
          <w:p w14:paraId="7BBC96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t>
            </w:r>
          </w:p>
        </w:tc>
        <w:tc>
          <w:tcPr>
            <w:tcW w:w="3515" w:type="pct"/>
            <w:shd w:val="clear" w:color="auto" w:fill="auto"/>
            <w:vAlign w:val="center"/>
          </w:tcPr>
          <w:p w14:paraId="63BDFB3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RVV2*1.5</w:t>
            </w:r>
          </w:p>
        </w:tc>
        <w:tc>
          <w:tcPr>
            <w:tcW w:w="293" w:type="pct"/>
            <w:shd w:val="clear" w:color="auto" w:fill="auto"/>
            <w:vAlign w:val="center"/>
          </w:tcPr>
          <w:p w14:paraId="3E9D56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293" w:type="pct"/>
            <w:shd w:val="clear" w:color="auto" w:fill="auto"/>
            <w:vAlign w:val="center"/>
          </w:tcPr>
          <w:p w14:paraId="2F8F34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14:paraId="70A92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50B358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04" w:type="pct"/>
            <w:shd w:val="clear" w:color="auto" w:fill="auto"/>
            <w:vAlign w:val="center"/>
          </w:tcPr>
          <w:p w14:paraId="747D8A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管材</w:t>
            </w:r>
          </w:p>
        </w:tc>
        <w:tc>
          <w:tcPr>
            <w:tcW w:w="3515" w:type="pct"/>
            <w:shd w:val="clear" w:color="auto" w:fill="auto"/>
            <w:vAlign w:val="center"/>
          </w:tcPr>
          <w:p w14:paraId="501B5D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PVC25含配件</w:t>
            </w:r>
          </w:p>
        </w:tc>
        <w:tc>
          <w:tcPr>
            <w:tcW w:w="293" w:type="pct"/>
            <w:shd w:val="clear" w:color="auto" w:fill="auto"/>
            <w:vAlign w:val="center"/>
          </w:tcPr>
          <w:p w14:paraId="49794D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293" w:type="pct"/>
            <w:shd w:val="clear" w:color="auto" w:fill="auto"/>
            <w:vAlign w:val="center"/>
          </w:tcPr>
          <w:p w14:paraId="74E0D0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r>
      <w:tr w14:paraId="09EB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5"/>
            <w:shd w:val="clear" w:color="auto" w:fill="auto"/>
            <w:vAlign w:val="center"/>
          </w:tcPr>
          <w:p w14:paraId="11F2DCA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7、会议室升级</w:t>
            </w:r>
          </w:p>
        </w:tc>
      </w:tr>
      <w:tr w14:paraId="19F7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4A261F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4" w:type="pct"/>
            <w:shd w:val="clear" w:color="auto" w:fill="auto"/>
            <w:vAlign w:val="center"/>
          </w:tcPr>
          <w:p w14:paraId="783C5A1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电动投影幕</w:t>
            </w:r>
          </w:p>
        </w:tc>
        <w:tc>
          <w:tcPr>
            <w:tcW w:w="3515" w:type="pct"/>
            <w:shd w:val="clear" w:color="auto" w:fill="auto"/>
            <w:vAlign w:val="center"/>
          </w:tcPr>
          <w:p w14:paraId="25DDD96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1.尺寸：120英寸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2.比例：16:9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3.幕布材质：玻珠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4.类型：电动幕</w:t>
            </w:r>
          </w:p>
        </w:tc>
        <w:tc>
          <w:tcPr>
            <w:tcW w:w="293" w:type="pct"/>
            <w:shd w:val="clear" w:color="auto" w:fill="auto"/>
            <w:vAlign w:val="center"/>
          </w:tcPr>
          <w:p w14:paraId="331D88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93" w:type="pct"/>
            <w:shd w:val="clear" w:color="auto" w:fill="auto"/>
            <w:vAlign w:val="center"/>
          </w:tcPr>
          <w:p w14:paraId="3373B7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0F69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3" w:type="pct"/>
            <w:shd w:val="clear" w:color="auto" w:fill="auto"/>
            <w:vAlign w:val="center"/>
          </w:tcPr>
          <w:p w14:paraId="7FC4FF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04" w:type="pct"/>
            <w:shd w:val="clear" w:color="auto" w:fill="auto"/>
            <w:vAlign w:val="center"/>
          </w:tcPr>
          <w:p w14:paraId="39348ED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投影设备</w:t>
            </w:r>
          </w:p>
        </w:tc>
        <w:tc>
          <w:tcPr>
            <w:tcW w:w="3515" w:type="pct"/>
            <w:shd w:val="clear" w:color="auto" w:fill="auto"/>
            <w:vAlign w:val="center"/>
          </w:tcPr>
          <w:p w14:paraId="4A89AEF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1.显示方式：16:10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2.分辨率：1920×1080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3.显示技术：3LCD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4.亮度：≥3000流明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5.输入：HDMI2.0，VGA等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6.无线连接，可无线投影</w:t>
            </w:r>
          </w:p>
        </w:tc>
        <w:tc>
          <w:tcPr>
            <w:tcW w:w="293" w:type="pct"/>
            <w:shd w:val="clear" w:color="auto" w:fill="auto"/>
            <w:vAlign w:val="center"/>
          </w:tcPr>
          <w:p w14:paraId="001C81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3" w:type="pct"/>
            <w:shd w:val="clear" w:color="auto" w:fill="auto"/>
            <w:vAlign w:val="center"/>
          </w:tcPr>
          <w:p w14:paraId="0CB884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bl>
    <w:p w14:paraId="4813AAE3">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注：1、中标人在投标时如有响应原厂质保的，签合同前需提供相关原厂质保函，如未根据投标承诺提供相应原厂质保函的，视为虚假响应。</w:t>
      </w:r>
    </w:p>
    <w:p w14:paraId="1B29215D">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eastAsia="zh-CN"/>
        </w:rPr>
        <w:t>▲2、本项目涉及服务器产品</w:t>
      </w:r>
      <w:bookmarkStart w:id="65" w:name="OLE_LINK1"/>
      <w:r>
        <w:rPr>
          <w:rFonts w:hint="eastAsia" w:ascii="宋体" w:hAnsi="宋体" w:eastAsia="宋体" w:cs="宋体"/>
          <w:b w:val="0"/>
          <w:bCs w:val="0"/>
          <w:color w:val="auto"/>
          <w:sz w:val="24"/>
          <w:szCs w:val="24"/>
          <w:highlight w:val="none"/>
          <w:lang w:val="en-US" w:eastAsia="zh-CN"/>
        </w:rPr>
        <w:t>关键部件</w:t>
      </w:r>
      <w:bookmarkEnd w:id="65"/>
      <w:r>
        <w:rPr>
          <w:rFonts w:hint="eastAsia" w:ascii="宋体" w:hAnsi="宋体" w:eastAsia="宋体" w:cs="宋体"/>
          <w:b w:val="0"/>
          <w:bCs w:val="0"/>
          <w:color w:val="auto"/>
          <w:sz w:val="24"/>
          <w:szCs w:val="24"/>
          <w:highlight w:val="none"/>
          <w:lang w:val="en-US" w:eastAsia="zh-CN"/>
        </w:rPr>
        <w:t>应当通过安全可靠测评。</w:t>
      </w:r>
    </w:p>
    <w:p w14:paraId="3AD620A5">
      <w:pPr>
        <w:keepNext w:val="0"/>
        <w:keepLines w:val="0"/>
        <w:pageBreakBefore w:val="0"/>
        <w:widowControl w:val="0"/>
        <w:wordWrap/>
        <w:topLinePunct w:val="0"/>
        <w:bidi w:val="0"/>
        <w:adjustRightInd w:val="0"/>
        <w:snapToGrid w:val="0"/>
        <w:spacing w:line="360" w:lineRule="auto"/>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五、其他服务要求</w:t>
      </w:r>
    </w:p>
    <w:p w14:paraId="4CD9F368">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（一）售后服务要求</w:t>
      </w:r>
    </w:p>
    <w:p w14:paraId="4F6B9B00">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1、在质保期内由于设备本身质量原因造成的任何损伤或损坏，中标人须免费负责修理或更换。</w:t>
      </w:r>
    </w:p>
    <w:p w14:paraId="633641E1">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在质保期结束前，须由中标人和采购人代表进行一次全面检查，任何非人为或意外导致的缺陷必须由中标人负责修改。在修改之后，中标人应将缺陷原因、修改内容、完成修改及恢复正常的时间和日期等报告给采购人。</w:t>
      </w:r>
    </w:p>
    <w:p w14:paraId="2074973C">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3、质保期结束后，中标人应保证以优惠价格优先对采购人进行系统技术支持和维护。</w:t>
      </w:r>
    </w:p>
    <w:p w14:paraId="07C5C70D">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4、在中标人对质量保证期内出现的质量问题进行维修时，中标人应相应延长维修或更换部分的质量保证期。质量保证期内因采购人原因或自然灾害而造成的损坏，中标人不承担保修责任，但中标人有义务对此进行维修，维修发生的材料和人工费用由采购人承担。</w:t>
      </w:r>
    </w:p>
    <w:p w14:paraId="292B62C0">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5、投标人应有能力提供长期技术服务，技术人员接到服务电话后应在2小时内响应，并能通过电话、传真、电子邮件提供技术支持；如用户提出需要上门服务，应在24小时内解决问题，如因货物本身质量原因不能解决问题，应提供暂时代用货物或产品给用户。</w:t>
      </w:r>
    </w:p>
    <w:p w14:paraId="03CC1852">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（二）培训要求</w:t>
      </w:r>
    </w:p>
    <w:p w14:paraId="51057F8F">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1、中标人必须为采购人提供系统使用、系统操作和管理维护培训。</w:t>
      </w:r>
    </w:p>
    <w:p w14:paraId="7A247B24">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2、投标人应在投标文件中提供详细的培训计划。</w:t>
      </w:r>
    </w:p>
    <w:p w14:paraId="382B722A">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3、技术培训的内容必须包含系统的日常操作和管理维护，以及基本的故障诊断与排错。中标人培训人员必须是公司的资深工程师。</w:t>
      </w:r>
    </w:p>
    <w:p w14:paraId="31AAE374">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4、培训工作必须在合同生效之后系统试运行之前安排。</w:t>
      </w:r>
    </w:p>
    <w:p w14:paraId="310FF31A">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5、所有培训费用，已包括在投标总价中。</w:t>
      </w:r>
    </w:p>
    <w:p w14:paraId="7B90EA9F">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6、实际培训时间、人数和地点按中标人与项目采购人商定的为准。</w:t>
      </w:r>
    </w:p>
    <w:p w14:paraId="6F8B1B42">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（三）项目组织及人员配备要求</w:t>
      </w:r>
    </w:p>
    <w:p w14:paraId="1FB6ACEA">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1、中标人在项目实施过程中，需对项目进行规范化管理，要有项目管理组织、项目管理计划、项目进度计划、项目验收计划等方案，确保工程实施质量。</w:t>
      </w:r>
    </w:p>
    <w:p w14:paraId="46EC3966">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中标人成立包括一名专职项目负责人在内的商务与技术支持小组，负责对参与项目实施的各方技术人员进行产品、技术培训，提供项目整体实施的技术方案，对工程实施过程中出现的疑难问题提供技术支持。全方位配合采购人实施进度和质量要求。</w:t>
      </w:r>
    </w:p>
    <w:p w14:paraId="3CEE4844">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3、对上述安排人员应列出详细实施计划，包括人员姓名、经验及在本项目中的职责分工。</w:t>
      </w:r>
    </w:p>
    <w:p w14:paraId="17844833">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（四）其他要求</w:t>
      </w:r>
    </w:p>
    <w:p w14:paraId="13CB1305">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项目建设过程中需严格按照网络安全和数据安全相关法规，落实技术安全体系、管理安全体系、运行保障安全体系建设内容，落实信息系统安全等级保护措施，实现数据和应用的全生命周期安全防护。另外，同时保障本项目所采购产品的供应链安全。</w:t>
      </w:r>
    </w:p>
    <w:p w14:paraId="7EEB57FA">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2、本项目在实施过程中，应满足采购人提出的各项安全要求，中标人与项目实施小组成员应签订网络安全保密承诺书和数据安全承诺书等文件。</w:t>
      </w:r>
    </w:p>
    <w:p w14:paraId="3481999D">
      <w:pPr>
        <w:keepNext w:val="0"/>
        <w:keepLines w:val="0"/>
        <w:pageBreakBefore w:val="0"/>
        <w:widowControl w:val="0"/>
        <w:wordWrap/>
        <w:topLinePunct w:val="0"/>
        <w:bidi w:val="0"/>
        <w:adjustRightInd w:val="0"/>
        <w:snapToGrid w:val="0"/>
        <w:spacing w:line="360" w:lineRule="auto"/>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六、商务需求</w:t>
      </w:r>
    </w:p>
    <w:tbl>
      <w:tblPr>
        <w:tblStyle w:val="64"/>
        <w:tblW w:w="0" w:type="auto"/>
        <w:jc w:val="center"/>
        <w:tblLayout w:type="fixed"/>
        <w:tblCellMar>
          <w:top w:w="0" w:type="dxa"/>
          <w:left w:w="108" w:type="dxa"/>
          <w:bottom w:w="0" w:type="dxa"/>
          <w:right w:w="108" w:type="dxa"/>
        </w:tblCellMar>
      </w:tblPr>
      <w:tblGrid>
        <w:gridCol w:w="1936"/>
        <w:gridCol w:w="7186"/>
      </w:tblGrid>
      <w:tr w14:paraId="5104229B">
        <w:tblPrEx>
          <w:tblCellMar>
            <w:top w:w="0" w:type="dxa"/>
            <w:left w:w="108" w:type="dxa"/>
            <w:bottom w:w="0" w:type="dxa"/>
            <w:right w:w="108" w:type="dxa"/>
          </w:tblCellMar>
        </w:tblPrEx>
        <w:trPr>
          <w:trHeight w:val="23" w:hRule="atLeast"/>
          <w:jc w:val="center"/>
        </w:trPr>
        <w:tc>
          <w:tcPr>
            <w:tcW w:w="1936" w:type="dxa"/>
            <w:tcBorders>
              <w:top w:val="single" w:color="000000" w:sz="4" w:space="0"/>
              <w:left w:val="single" w:color="000000" w:sz="4" w:space="0"/>
              <w:bottom w:val="single" w:color="000000" w:sz="4" w:space="0"/>
              <w:right w:val="single" w:color="000000" w:sz="4" w:space="0"/>
            </w:tcBorders>
            <w:noWrap w:val="0"/>
            <w:vAlign w:val="center"/>
          </w:tcPr>
          <w:p w14:paraId="4615946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3AFDE3C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要 求</w:t>
            </w:r>
          </w:p>
        </w:tc>
      </w:tr>
      <w:tr w14:paraId="65341CC1">
        <w:tblPrEx>
          <w:tblCellMar>
            <w:top w:w="0" w:type="dxa"/>
            <w:left w:w="108" w:type="dxa"/>
            <w:bottom w:w="0" w:type="dxa"/>
            <w:right w:w="108" w:type="dxa"/>
          </w:tblCellMar>
        </w:tblPrEx>
        <w:trPr>
          <w:trHeight w:val="23" w:hRule="atLeast"/>
          <w:jc w:val="center"/>
        </w:trPr>
        <w:tc>
          <w:tcPr>
            <w:tcW w:w="1936" w:type="dxa"/>
            <w:tcBorders>
              <w:top w:val="single" w:color="000000" w:sz="4" w:space="0"/>
              <w:left w:val="single" w:color="000000" w:sz="4" w:space="0"/>
              <w:bottom w:val="single" w:color="000000" w:sz="4" w:space="0"/>
              <w:right w:val="single" w:color="000000" w:sz="4" w:space="0"/>
            </w:tcBorders>
            <w:noWrap w:val="0"/>
            <w:vAlign w:val="center"/>
          </w:tcPr>
          <w:p w14:paraId="048A47A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▲投标报价</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0911302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完成本项目的所有费用，包括设备费、备品备件费、专用工具费、运输及保险费、基础施工费、安装调试及验收费用、售后服务费用、培训费、税费、</w:t>
            </w:r>
            <w:r>
              <w:rPr>
                <w:rFonts w:hint="eastAsia" w:ascii="宋体" w:hAnsi="宋体" w:eastAsia="宋体" w:cs="宋体"/>
                <w:color w:val="auto"/>
                <w:kern w:val="0"/>
                <w:sz w:val="24"/>
                <w:szCs w:val="24"/>
                <w:highlight w:val="none"/>
                <w:lang w:val="en-US" w:eastAsia="zh-CN"/>
              </w:rPr>
              <w:t>招标代理</w:t>
            </w:r>
            <w:r>
              <w:rPr>
                <w:rFonts w:hint="eastAsia" w:ascii="宋体" w:hAnsi="宋体" w:eastAsia="宋体" w:cs="宋体"/>
                <w:color w:val="auto"/>
                <w:kern w:val="0"/>
                <w:sz w:val="24"/>
                <w:szCs w:val="24"/>
                <w:highlight w:val="none"/>
                <w:lang w:eastAsia="zh-CN"/>
              </w:rPr>
              <w:t>服务费等一切费用。</w:t>
            </w:r>
          </w:p>
        </w:tc>
      </w:tr>
      <w:tr w14:paraId="5C88295B">
        <w:tblPrEx>
          <w:tblCellMar>
            <w:top w:w="0" w:type="dxa"/>
            <w:left w:w="108" w:type="dxa"/>
            <w:bottom w:w="0" w:type="dxa"/>
            <w:right w:w="108" w:type="dxa"/>
          </w:tblCellMar>
        </w:tblPrEx>
        <w:trPr>
          <w:trHeight w:val="23" w:hRule="atLeast"/>
          <w:jc w:val="center"/>
        </w:trPr>
        <w:tc>
          <w:tcPr>
            <w:tcW w:w="1936" w:type="dxa"/>
            <w:tcBorders>
              <w:top w:val="single" w:color="000000" w:sz="4" w:space="0"/>
              <w:left w:val="single" w:color="000000" w:sz="4" w:space="0"/>
              <w:bottom w:val="single" w:color="000000" w:sz="4" w:space="0"/>
              <w:right w:val="single" w:color="000000" w:sz="4" w:space="0"/>
            </w:tcBorders>
            <w:noWrap w:val="0"/>
            <w:vAlign w:val="center"/>
          </w:tcPr>
          <w:p w14:paraId="60AEC1A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▲付款条件</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516ACDC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（1）合同签订生效以及具备实施条件后7个工作日内支付合同总价的</w:t>
            </w:r>
            <w:r>
              <w:rPr>
                <w:rFonts w:hint="eastAsia" w:ascii="宋体" w:hAnsi="宋体" w:eastAsia="宋体" w:cs="宋体"/>
                <w:color w:val="auto"/>
                <w:kern w:val="0"/>
                <w:sz w:val="24"/>
                <w:szCs w:val="24"/>
                <w:highlight w:val="none"/>
                <w:lang w:val="en-US" w:eastAsia="zh-CN"/>
              </w:rPr>
              <w:t>40</w:t>
            </w:r>
            <w:r>
              <w:rPr>
                <w:rFonts w:hint="eastAsia" w:ascii="宋体" w:hAnsi="宋体" w:eastAsia="宋体" w:cs="宋体"/>
                <w:color w:val="auto"/>
                <w:kern w:val="0"/>
                <w:sz w:val="24"/>
                <w:szCs w:val="24"/>
                <w:highlight w:val="none"/>
                <w:lang w:eastAsia="zh-CN"/>
              </w:rPr>
              <w:t>%作为预付款；</w:t>
            </w:r>
            <w:r>
              <w:rPr>
                <w:rFonts w:hint="eastAsia" w:ascii="宋体" w:hAnsi="宋体" w:eastAsia="宋体" w:cs="宋体"/>
                <w:color w:val="auto"/>
                <w:kern w:val="0"/>
                <w:sz w:val="24"/>
                <w:szCs w:val="24"/>
                <w:highlight w:val="none"/>
              </w:rPr>
              <w:t>（中标人于合同签订前书面承诺放弃预付款或降低预付款支付比例的，可不适用本条款且具体支付方式由双方在合同中自行约定）</w:t>
            </w:r>
          </w:p>
          <w:p w14:paraId="5196F74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（2）</w:t>
            </w:r>
            <w:bookmarkStart w:id="66" w:name="OLE_LINK15"/>
            <w:bookmarkStart w:id="67" w:name="OLE_LINK21"/>
            <w:bookmarkStart w:id="68" w:name="OLE_LINK19"/>
            <w:r>
              <w:rPr>
                <w:rFonts w:hint="eastAsia" w:ascii="宋体" w:hAnsi="宋体" w:eastAsia="宋体" w:cs="宋体"/>
                <w:color w:val="auto"/>
                <w:kern w:val="0"/>
                <w:sz w:val="24"/>
                <w:highlight w:val="none"/>
              </w:rPr>
              <w:t>2026</w:t>
            </w:r>
            <w:r>
              <w:rPr>
                <w:rFonts w:hint="eastAsia" w:ascii="宋体" w:hAnsi="宋体" w:eastAsia="宋体" w:cs="宋体"/>
                <w:color w:val="auto"/>
                <w:kern w:val="0"/>
                <w:sz w:val="24"/>
                <w:highlight w:val="none"/>
                <w:lang w:val="en-US" w:eastAsia="zh-CN"/>
              </w:rPr>
              <w:t>年度</w:t>
            </w:r>
            <w:r>
              <w:rPr>
                <w:rFonts w:hint="eastAsia" w:ascii="宋体" w:hAnsi="宋体" w:eastAsia="宋体" w:cs="宋体"/>
                <w:color w:val="auto"/>
                <w:kern w:val="0"/>
                <w:sz w:val="24"/>
                <w:highlight w:val="none"/>
              </w:rPr>
              <w:t>支付合同总价的40%</w:t>
            </w:r>
            <w:bookmarkEnd w:id="66"/>
            <w:r>
              <w:rPr>
                <w:rFonts w:hint="eastAsia" w:ascii="宋体" w:hAnsi="宋体" w:eastAsia="宋体" w:cs="宋体"/>
                <w:color w:val="auto"/>
                <w:kern w:val="0"/>
                <w:sz w:val="24"/>
                <w:szCs w:val="24"/>
                <w:highlight w:val="none"/>
                <w:lang w:eastAsia="zh-CN"/>
              </w:rPr>
              <w:t>；</w:t>
            </w:r>
          </w:p>
          <w:p w14:paraId="5ECD218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w:t>
            </w:r>
            <w:bookmarkEnd w:id="67"/>
            <w:r>
              <w:rPr>
                <w:rFonts w:hint="eastAsia" w:ascii="宋体" w:hAnsi="宋体" w:eastAsia="宋体" w:cs="宋体"/>
                <w:color w:val="auto"/>
                <w:kern w:val="0"/>
                <w:sz w:val="24"/>
                <w:szCs w:val="24"/>
                <w:highlight w:val="none"/>
                <w:lang w:eastAsia="zh-CN"/>
              </w:rPr>
              <w:t>）</w:t>
            </w:r>
            <w:bookmarkEnd w:id="68"/>
            <w:bookmarkStart w:id="69" w:name="OLE_LINK16"/>
            <w:r>
              <w:rPr>
                <w:rFonts w:hint="eastAsia" w:ascii="宋体" w:hAnsi="宋体" w:eastAsia="宋体" w:cs="宋体"/>
                <w:color w:val="auto"/>
                <w:kern w:val="0"/>
                <w:sz w:val="24"/>
                <w:highlight w:val="none"/>
              </w:rPr>
              <w:t>2027</w:t>
            </w:r>
            <w:r>
              <w:rPr>
                <w:rFonts w:hint="eastAsia" w:ascii="宋体" w:hAnsi="宋体" w:eastAsia="宋体" w:cs="宋体"/>
                <w:color w:val="auto"/>
                <w:kern w:val="0"/>
                <w:sz w:val="24"/>
                <w:highlight w:val="none"/>
                <w:lang w:val="en-US" w:eastAsia="zh-CN"/>
              </w:rPr>
              <w:t>年度</w:t>
            </w:r>
            <w:r>
              <w:rPr>
                <w:rFonts w:hint="eastAsia" w:ascii="宋体" w:hAnsi="宋体" w:eastAsia="宋体" w:cs="宋体"/>
                <w:color w:val="auto"/>
                <w:kern w:val="0"/>
                <w:sz w:val="24"/>
                <w:highlight w:val="none"/>
              </w:rPr>
              <w:t>支付合同总价的20%</w:t>
            </w:r>
            <w:r>
              <w:rPr>
                <w:rFonts w:hint="eastAsia" w:ascii="宋体" w:hAnsi="宋体" w:eastAsia="宋体" w:cs="宋体"/>
                <w:color w:val="auto"/>
                <w:kern w:val="0"/>
                <w:sz w:val="24"/>
                <w:szCs w:val="24"/>
                <w:highlight w:val="none"/>
                <w:lang w:eastAsia="zh-CN"/>
              </w:rPr>
              <w:t>。</w:t>
            </w:r>
            <w:bookmarkEnd w:id="69"/>
          </w:p>
          <w:p w14:paraId="1A33093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注：招标人对于满足合同约定支付条件的，自收到发票后7个工作日内支付至中标人账户。中标人不提供发票的，招标人有权不予支付。</w:t>
            </w:r>
          </w:p>
        </w:tc>
      </w:tr>
      <w:tr w14:paraId="2826FBE8">
        <w:tblPrEx>
          <w:tblCellMar>
            <w:top w:w="0" w:type="dxa"/>
            <w:left w:w="108" w:type="dxa"/>
            <w:bottom w:w="0" w:type="dxa"/>
            <w:right w:w="108" w:type="dxa"/>
          </w:tblCellMar>
        </w:tblPrEx>
        <w:trPr>
          <w:trHeight w:val="23" w:hRule="atLeast"/>
          <w:jc w:val="center"/>
        </w:trPr>
        <w:tc>
          <w:tcPr>
            <w:tcW w:w="1936" w:type="dxa"/>
            <w:tcBorders>
              <w:top w:val="single" w:color="000000" w:sz="4" w:space="0"/>
              <w:left w:val="single" w:color="000000" w:sz="4" w:space="0"/>
              <w:bottom w:val="single" w:color="000000" w:sz="4" w:space="0"/>
              <w:right w:val="single" w:color="000000" w:sz="4" w:space="0"/>
            </w:tcBorders>
            <w:noWrap w:val="0"/>
            <w:vAlign w:val="center"/>
          </w:tcPr>
          <w:p w14:paraId="5371C8C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▲合同履约期限及地点</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24EBA00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合同履约期限：</w:t>
            </w:r>
            <w:r>
              <w:rPr>
                <w:rFonts w:hint="eastAsia" w:ascii="宋体" w:hAnsi="宋体" w:eastAsia="宋体" w:cs="宋体"/>
                <w:color w:val="auto"/>
                <w:sz w:val="24"/>
                <w:szCs w:val="32"/>
                <w:highlight w:val="none"/>
                <w:lang w:eastAsia="zh-CN"/>
              </w:rPr>
              <w:t>本项目在合同签订生效后六个月内完成项目实施。</w:t>
            </w:r>
          </w:p>
          <w:p w14:paraId="37A6706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2、建设</w:t>
            </w:r>
            <w:r>
              <w:rPr>
                <w:rFonts w:hint="eastAsia" w:ascii="宋体" w:hAnsi="宋体" w:eastAsia="宋体" w:cs="宋体"/>
                <w:color w:val="auto"/>
                <w:kern w:val="0"/>
                <w:sz w:val="24"/>
                <w:szCs w:val="24"/>
                <w:highlight w:val="none"/>
                <w:lang w:eastAsia="zh-CN"/>
              </w:rPr>
              <w:t>地点：</w:t>
            </w:r>
            <w:r>
              <w:rPr>
                <w:rFonts w:hint="eastAsia" w:ascii="宋体" w:hAnsi="宋体" w:eastAsia="宋体" w:cs="宋体"/>
                <w:color w:val="auto"/>
                <w:kern w:val="0"/>
                <w:sz w:val="24"/>
                <w:szCs w:val="24"/>
                <w:highlight w:val="none"/>
                <w:lang w:val="en-US" w:eastAsia="zh-CN"/>
              </w:rPr>
              <w:t>采购人指定地点。</w:t>
            </w:r>
          </w:p>
        </w:tc>
      </w:tr>
      <w:tr w14:paraId="0032A774">
        <w:tblPrEx>
          <w:tblCellMar>
            <w:top w:w="0" w:type="dxa"/>
            <w:left w:w="108" w:type="dxa"/>
            <w:bottom w:w="0" w:type="dxa"/>
            <w:right w:w="108" w:type="dxa"/>
          </w:tblCellMar>
        </w:tblPrEx>
        <w:trPr>
          <w:trHeight w:val="23" w:hRule="atLeast"/>
          <w:jc w:val="center"/>
        </w:trPr>
        <w:tc>
          <w:tcPr>
            <w:tcW w:w="1936" w:type="dxa"/>
            <w:tcBorders>
              <w:top w:val="single" w:color="000000" w:sz="4" w:space="0"/>
              <w:left w:val="single" w:color="000000" w:sz="4" w:space="0"/>
              <w:bottom w:val="single" w:color="000000" w:sz="4" w:space="0"/>
              <w:right w:val="single" w:color="000000" w:sz="4" w:space="0"/>
            </w:tcBorders>
            <w:noWrap w:val="0"/>
            <w:vAlign w:val="center"/>
          </w:tcPr>
          <w:p w14:paraId="06217F5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产品质量保证</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5577959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zh-CN" w:eastAsia="zh-CN"/>
              </w:rPr>
              <w:t>供应商</w:t>
            </w:r>
            <w:r>
              <w:rPr>
                <w:rFonts w:hint="eastAsia" w:ascii="宋体" w:hAnsi="宋体" w:eastAsia="宋体" w:cs="宋体"/>
                <w:color w:val="auto"/>
                <w:kern w:val="0"/>
                <w:sz w:val="24"/>
                <w:szCs w:val="24"/>
                <w:highlight w:val="none"/>
                <w:lang w:eastAsia="zh-CN"/>
              </w:rPr>
              <w:t>保证所供的商品必须是出厂原装合格产品,如发生所供的商品与合同不符,采购人有权拒收或退货,由此产生的一切责任和后果由</w:t>
            </w:r>
            <w:r>
              <w:rPr>
                <w:rFonts w:hint="eastAsia" w:ascii="宋体" w:hAnsi="宋体" w:eastAsia="宋体" w:cs="宋体"/>
                <w:color w:val="auto"/>
                <w:kern w:val="0"/>
                <w:sz w:val="24"/>
                <w:szCs w:val="24"/>
                <w:highlight w:val="none"/>
                <w:lang w:val="zh-CN" w:eastAsia="zh-CN"/>
              </w:rPr>
              <w:t>供应商</w:t>
            </w:r>
            <w:r>
              <w:rPr>
                <w:rFonts w:hint="eastAsia" w:ascii="宋体" w:hAnsi="宋体" w:eastAsia="宋体" w:cs="宋体"/>
                <w:color w:val="auto"/>
                <w:kern w:val="0"/>
                <w:sz w:val="24"/>
                <w:szCs w:val="24"/>
                <w:highlight w:val="none"/>
                <w:lang w:eastAsia="zh-CN"/>
              </w:rPr>
              <w:t>承担。质保期自货物验收合格之日起计。</w:t>
            </w:r>
          </w:p>
          <w:p w14:paraId="68FF569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）在所供商品交付时，</w:t>
            </w:r>
            <w:r>
              <w:rPr>
                <w:rFonts w:hint="eastAsia" w:ascii="宋体" w:hAnsi="宋体" w:eastAsia="宋体" w:cs="宋体"/>
                <w:color w:val="auto"/>
                <w:kern w:val="0"/>
                <w:sz w:val="24"/>
                <w:szCs w:val="24"/>
                <w:highlight w:val="none"/>
                <w:lang w:val="zh-CN" w:eastAsia="zh-CN"/>
              </w:rPr>
              <w:t>供应商</w:t>
            </w:r>
            <w:r>
              <w:rPr>
                <w:rFonts w:hint="eastAsia" w:ascii="宋体" w:hAnsi="宋体" w:eastAsia="宋体" w:cs="宋体"/>
                <w:color w:val="auto"/>
                <w:kern w:val="0"/>
                <w:sz w:val="24"/>
                <w:szCs w:val="24"/>
                <w:highlight w:val="none"/>
                <w:lang w:eastAsia="zh-CN"/>
              </w:rPr>
              <w:t>必须向采购人提供产品说明书等必须具备的相关资料和必备附件。</w:t>
            </w:r>
          </w:p>
        </w:tc>
      </w:tr>
      <w:tr w14:paraId="1963C601">
        <w:tblPrEx>
          <w:tblCellMar>
            <w:top w:w="0" w:type="dxa"/>
            <w:left w:w="108" w:type="dxa"/>
            <w:bottom w:w="0" w:type="dxa"/>
            <w:right w:w="108" w:type="dxa"/>
          </w:tblCellMar>
        </w:tblPrEx>
        <w:trPr>
          <w:trHeight w:val="23" w:hRule="atLeast"/>
          <w:jc w:val="center"/>
        </w:trPr>
        <w:tc>
          <w:tcPr>
            <w:tcW w:w="1936" w:type="dxa"/>
            <w:tcBorders>
              <w:top w:val="single" w:color="000000" w:sz="4" w:space="0"/>
              <w:left w:val="single" w:color="000000" w:sz="4" w:space="0"/>
              <w:bottom w:val="single" w:color="000000" w:sz="4" w:space="0"/>
              <w:right w:val="single" w:color="000000" w:sz="4" w:space="0"/>
            </w:tcBorders>
            <w:noWrap w:val="0"/>
            <w:vAlign w:val="center"/>
          </w:tcPr>
          <w:p w14:paraId="179BFE9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质保期</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47E9D7F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质保期三年，时间从验收合格之日起计算。</w:t>
            </w:r>
            <w:r>
              <w:rPr>
                <w:rFonts w:hint="eastAsia" w:ascii="宋体" w:hAnsi="宋体" w:eastAsia="宋体" w:cs="宋体"/>
                <w:color w:val="auto"/>
                <w:kern w:val="0"/>
                <w:sz w:val="24"/>
                <w:szCs w:val="24"/>
                <w:highlight w:val="none"/>
              </w:rPr>
              <w:t>若“</w:t>
            </w:r>
            <w:r>
              <w:rPr>
                <w:rFonts w:hint="eastAsia" w:ascii="宋体" w:hAnsi="宋体" w:eastAsia="宋体" w:cs="宋体"/>
                <w:color w:val="auto"/>
                <w:kern w:val="0"/>
                <w:sz w:val="24"/>
                <w:highlight w:val="none"/>
              </w:rPr>
              <w:t>四、采购清单</w:t>
            </w:r>
            <w:r>
              <w:rPr>
                <w:rFonts w:hint="eastAsia" w:ascii="宋体" w:hAnsi="宋体" w:eastAsia="宋体" w:cs="宋体"/>
                <w:color w:val="auto"/>
                <w:kern w:val="0"/>
                <w:sz w:val="24"/>
                <w:szCs w:val="24"/>
                <w:highlight w:val="none"/>
              </w:rPr>
              <w:t>”中有具体质保期的，以“</w:t>
            </w:r>
            <w:r>
              <w:rPr>
                <w:rFonts w:hint="eastAsia" w:ascii="宋体" w:hAnsi="宋体" w:eastAsia="宋体" w:cs="宋体"/>
                <w:color w:val="auto"/>
                <w:kern w:val="0"/>
                <w:sz w:val="24"/>
                <w:highlight w:val="none"/>
              </w:rPr>
              <w:t>采购清单</w:t>
            </w:r>
            <w:r>
              <w:rPr>
                <w:rFonts w:hint="eastAsia" w:ascii="宋体" w:hAnsi="宋体" w:eastAsia="宋体" w:cs="宋体"/>
                <w:color w:val="auto"/>
                <w:kern w:val="0"/>
                <w:sz w:val="24"/>
                <w:szCs w:val="24"/>
                <w:highlight w:val="none"/>
              </w:rPr>
              <w:t>”中的为准。</w:t>
            </w:r>
          </w:p>
        </w:tc>
      </w:tr>
      <w:tr w14:paraId="67789153">
        <w:tblPrEx>
          <w:tblCellMar>
            <w:top w:w="0" w:type="dxa"/>
            <w:left w:w="108" w:type="dxa"/>
            <w:bottom w:w="0" w:type="dxa"/>
            <w:right w:w="108" w:type="dxa"/>
          </w:tblCellMar>
        </w:tblPrEx>
        <w:trPr>
          <w:trHeight w:val="23" w:hRule="atLeast"/>
          <w:jc w:val="center"/>
        </w:trPr>
        <w:tc>
          <w:tcPr>
            <w:tcW w:w="1936" w:type="dxa"/>
            <w:tcBorders>
              <w:top w:val="single" w:color="000000" w:sz="4" w:space="0"/>
              <w:left w:val="single" w:color="000000" w:sz="4" w:space="0"/>
              <w:bottom w:val="single" w:color="000000" w:sz="4" w:space="0"/>
              <w:right w:val="single" w:color="000000" w:sz="4" w:space="0"/>
            </w:tcBorders>
            <w:noWrap w:val="0"/>
            <w:vAlign w:val="center"/>
          </w:tcPr>
          <w:p w14:paraId="1C874E1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▲合同终止</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629AE3E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）未能使合同货物达到合同附件规定的技术性能和指标的；</w:t>
            </w:r>
          </w:p>
          <w:p w14:paraId="0C523BA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）未能在合同规定的期限（或采购人同意延长的最终期限）内提供全部或部分货物的；</w:t>
            </w:r>
          </w:p>
          <w:p w14:paraId="67A82F8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）未能履行合同规定的其它义务。</w:t>
            </w:r>
          </w:p>
        </w:tc>
      </w:tr>
    </w:tbl>
    <w:p w14:paraId="630F1966">
      <w:pPr>
        <w:pStyle w:val="23"/>
        <w:rPr>
          <w:rFonts w:hint="eastAsia"/>
          <w:color w:val="auto"/>
          <w:highlight w:val="none"/>
        </w:rPr>
      </w:pPr>
    </w:p>
    <w:p w14:paraId="02193FB0">
      <w:pPr>
        <w:rPr>
          <w:rFonts w:hint="eastAsia"/>
          <w:color w:val="auto"/>
          <w:highlight w:val="none"/>
        </w:rPr>
      </w:pPr>
      <w:r>
        <w:rPr>
          <w:rFonts w:hint="eastAsia"/>
          <w:color w:val="auto"/>
          <w:highlight w:val="none"/>
        </w:rPr>
        <w:br w:type="page"/>
      </w:r>
    </w:p>
    <w:p w14:paraId="15426800">
      <w:pPr>
        <w:pStyle w:val="82"/>
        <w:rPr>
          <w:rFonts w:hint="eastAsia"/>
          <w:color w:val="auto"/>
          <w:highlight w:val="none"/>
        </w:rPr>
        <w:sectPr>
          <w:headerReference r:id="rId8" w:type="first"/>
          <w:footerReference r:id="rId10" w:type="first"/>
          <w:headerReference r:id="rId7" w:type="default"/>
          <w:footerReference r:id="rId9" w:type="default"/>
          <w:pgSz w:w="11905" w:h="16838"/>
          <w:pgMar w:top="1134" w:right="1417" w:bottom="1134" w:left="1417" w:header="851" w:footer="992" w:gutter="0"/>
          <w:pgBorders>
            <w:top w:val="none" w:sz="0" w:space="0"/>
            <w:left w:val="none" w:sz="0" w:space="0"/>
            <w:bottom w:val="none" w:sz="0" w:space="0"/>
            <w:right w:val="none" w:sz="0" w:space="0"/>
          </w:pgBorders>
          <w:cols w:space="0" w:num="1"/>
          <w:titlePg/>
          <w:rtlGutter w:val="0"/>
          <w:docGrid w:linePitch="312" w:charSpace="0"/>
        </w:sectPr>
      </w:pPr>
    </w:p>
    <w:p w14:paraId="5F0812F9">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70" w:name="_Toc184308070"/>
      <w:bookmarkEnd w:id="70"/>
      <w:bookmarkStart w:id="71" w:name="_Toc184308079"/>
      <w:bookmarkEnd w:id="71"/>
      <w:bookmarkStart w:id="72" w:name="_Toc184314416"/>
      <w:bookmarkEnd w:id="72"/>
      <w:bookmarkStart w:id="73" w:name="_Toc184312081"/>
      <w:bookmarkEnd w:id="73"/>
      <w:bookmarkStart w:id="74" w:name="_Toc184313260"/>
      <w:bookmarkEnd w:id="74"/>
      <w:bookmarkStart w:id="75" w:name="_Toc184312088"/>
      <w:bookmarkEnd w:id="75"/>
      <w:bookmarkStart w:id="76" w:name="_Toc184308051"/>
      <w:bookmarkEnd w:id="76"/>
      <w:bookmarkStart w:id="77" w:name="_Toc184314421"/>
      <w:bookmarkEnd w:id="77"/>
      <w:bookmarkStart w:id="78" w:name="_Toc184310342"/>
      <w:bookmarkEnd w:id="78"/>
      <w:bookmarkStart w:id="79" w:name="_Toc184314449"/>
      <w:bookmarkEnd w:id="79"/>
      <w:bookmarkStart w:id="80" w:name="_Toc184313269"/>
      <w:bookmarkEnd w:id="80"/>
      <w:bookmarkStart w:id="81" w:name="_Toc184312098"/>
      <w:bookmarkEnd w:id="81"/>
      <w:bookmarkStart w:id="82" w:name="_Toc184314431"/>
      <w:bookmarkEnd w:id="82"/>
      <w:bookmarkStart w:id="83" w:name="_Toc184312094"/>
      <w:bookmarkEnd w:id="83"/>
      <w:bookmarkStart w:id="84" w:name="_Toc184310293"/>
      <w:bookmarkEnd w:id="84"/>
      <w:bookmarkStart w:id="85" w:name="_Toc184308068"/>
      <w:bookmarkEnd w:id="85"/>
      <w:bookmarkStart w:id="86" w:name="_Toc184310283"/>
      <w:bookmarkEnd w:id="86"/>
      <w:bookmarkStart w:id="87" w:name="_Toc184310331"/>
      <w:bookmarkEnd w:id="87"/>
      <w:bookmarkStart w:id="88" w:name="_Toc184308041"/>
      <w:bookmarkEnd w:id="88"/>
      <w:bookmarkStart w:id="89" w:name="_Toc184312123"/>
      <w:bookmarkEnd w:id="89"/>
      <w:bookmarkStart w:id="90" w:name="_Toc184312125"/>
      <w:bookmarkEnd w:id="90"/>
      <w:bookmarkStart w:id="91" w:name="_Toc184310323"/>
      <w:bookmarkEnd w:id="91"/>
      <w:bookmarkStart w:id="92" w:name="_Toc184308076"/>
      <w:bookmarkEnd w:id="92"/>
      <w:bookmarkStart w:id="93" w:name="_Toc184308091"/>
      <w:bookmarkEnd w:id="93"/>
      <w:bookmarkStart w:id="94" w:name="_Toc184313285"/>
      <w:bookmarkEnd w:id="94"/>
      <w:bookmarkStart w:id="95" w:name="_Toc184310282"/>
      <w:bookmarkEnd w:id="95"/>
      <w:bookmarkStart w:id="96" w:name="_Toc184308089"/>
      <w:bookmarkEnd w:id="96"/>
      <w:bookmarkStart w:id="97" w:name="_Toc184314463"/>
      <w:bookmarkEnd w:id="97"/>
      <w:bookmarkStart w:id="98" w:name="_Toc184308107"/>
      <w:bookmarkEnd w:id="98"/>
      <w:bookmarkStart w:id="99" w:name="_Toc184308044"/>
      <w:bookmarkEnd w:id="99"/>
      <w:bookmarkStart w:id="100" w:name="_Toc184308072"/>
      <w:bookmarkEnd w:id="100"/>
      <w:bookmarkStart w:id="101" w:name="_Toc184312084"/>
      <w:bookmarkEnd w:id="101"/>
      <w:bookmarkStart w:id="102" w:name="_Toc184314480"/>
      <w:bookmarkEnd w:id="102"/>
      <w:bookmarkStart w:id="103" w:name="_Toc184313252"/>
      <w:bookmarkEnd w:id="103"/>
      <w:bookmarkStart w:id="104" w:name="_Toc184308063"/>
      <w:bookmarkEnd w:id="104"/>
      <w:bookmarkStart w:id="105" w:name="_Toc184313295"/>
      <w:bookmarkEnd w:id="105"/>
      <w:bookmarkStart w:id="106" w:name="_Toc184308062"/>
      <w:bookmarkEnd w:id="106"/>
      <w:bookmarkStart w:id="107" w:name="_Toc184310309"/>
      <w:bookmarkEnd w:id="107"/>
      <w:bookmarkStart w:id="108" w:name="_Toc184308105"/>
      <w:bookmarkEnd w:id="108"/>
      <w:bookmarkStart w:id="109" w:name="_Toc184313248"/>
      <w:bookmarkEnd w:id="109"/>
      <w:bookmarkStart w:id="110" w:name="_Toc184310304"/>
      <w:bookmarkEnd w:id="110"/>
      <w:bookmarkStart w:id="111" w:name="_Toc184308093"/>
      <w:bookmarkEnd w:id="111"/>
      <w:bookmarkStart w:id="112" w:name="_Toc184314471"/>
      <w:bookmarkEnd w:id="112"/>
      <w:bookmarkStart w:id="113" w:name="_Toc184308050"/>
      <w:bookmarkEnd w:id="113"/>
      <w:bookmarkStart w:id="114" w:name="_Toc184313268"/>
      <w:bookmarkEnd w:id="114"/>
      <w:bookmarkStart w:id="115" w:name="_Toc184312105"/>
      <w:bookmarkEnd w:id="115"/>
      <w:bookmarkStart w:id="116" w:name="_Toc184314469"/>
      <w:bookmarkEnd w:id="116"/>
      <w:bookmarkStart w:id="117" w:name="_Toc184313281"/>
      <w:bookmarkEnd w:id="117"/>
      <w:bookmarkStart w:id="118" w:name="_Toc184314415"/>
      <w:bookmarkEnd w:id="118"/>
      <w:bookmarkStart w:id="119" w:name="_Toc184314473"/>
      <w:bookmarkEnd w:id="119"/>
      <w:bookmarkStart w:id="120" w:name="_Toc184312109"/>
      <w:bookmarkEnd w:id="120"/>
      <w:bookmarkStart w:id="121" w:name="_Toc184308048"/>
      <w:bookmarkEnd w:id="121"/>
      <w:bookmarkStart w:id="122" w:name="_Toc184313241"/>
      <w:bookmarkEnd w:id="122"/>
      <w:bookmarkStart w:id="123" w:name="_Toc184314434"/>
      <w:bookmarkEnd w:id="123"/>
      <w:bookmarkStart w:id="124" w:name="_Toc184312136"/>
      <w:bookmarkEnd w:id="124"/>
      <w:bookmarkStart w:id="125" w:name="_Toc184312096"/>
      <w:bookmarkEnd w:id="125"/>
      <w:bookmarkStart w:id="126" w:name="_Toc184308046"/>
      <w:bookmarkEnd w:id="126"/>
      <w:bookmarkStart w:id="127" w:name="_Toc184312092"/>
      <w:bookmarkEnd w:id="127"/>
      <w:bookmarkStart w:id="128" w:name="_Toc184314470"/>
      <w:bookmarkEnd w:id="128"/>
      <w:bookmarkStart w:id="129" w:name="_Toc184308042"/>
      <w:bookmarkEnd w:id="129"/>
      <w:bookmarkStart w:id="130" w:name="_Toc184314459"/>
      <w:bookmarkEnd w:id="130"/>
      <w:bookmarkStart w:id="131" w:name="_Toc184308045"/>
      <w:bookmarkEnd w:id="131"/>
      <w:bookmarkStart w:id="132" w:name="_Toc184312095"/>
      <w:bookmarkEnd w:id="132"/>
      <w:bookmarkStart w:id="133" w:name="_Toc184308053"/>
      <w:bookmarkEnd w:id="133"/>
      <w:bookmarkStart w:id="134" w:name="_Toc184314424"/>
      <w:bookmarkEnd w:id="134"/>
      <w:bookmarkStart w:id="135" w:name="_Toc184314438"/>
      <w:bookmarkEnd w:id="135"/>
      <w:bookmarkStart w:id="136" w:name="_Toc184313250"/>
      <w:bookmarkEnd w:id="136"/>
      <w:bookmarkStart w:id="137" w:name="_Toc184312115"/>
      <w:bookmarkEnd w:id="137"/>
      <w:bookmarkStart w:id="138" w:name="_Toc184314454"/>
      <w:bookmarkEnd w:id="138"/>
      <w:bookmarkStart w:id="139" w:name="_Toc184313287"/>
      <w:bookmarkEnd w:id="139"/>
      <w:bookmarkStart w:id="140" w:name="_Toc184314419"/>
      <w:bookmarkEnd w:id="140"/>
      <w:bookmarkStart w:id="141" w:name="_Toc184312077"/>
      <w:bookmarkEnd w:id="141"/>
      <w:bookmarkStart w:id="142" w:name="_Toc184308083"/>
      <w:bookmarkEnd w:id="142"/>
      <w:bookmarkStart w:id="143" w:name="_Toc184310276"/>
      <w:bookmarkEnd w:id="143"/>
      <w:bookmarkStart w:id="144" w:name="_Toc184308084"/>
      <w:bookmarkEnd w:id="144"/>
      <w:bookmarkStart w:id="145" w:name="_Toc184314423"/>
      <w:bookmarkEnd w:id="145"/>
      <w:bookmarkStart w:id="146" w:name="_Toc184312104"/>
      <w:bookmarkEnd w:id="146"/>
      <w:bookmarkStart w:id="147" w:name="_Toc184310332"/>
      <w:bookmarkEnd w:id="147"/>
      <w:bookmarkStart w:id="148" w:name="_Toc184313277"/>
      <w:bookmarkEnd w:id="148"/>
      <w:bookmarkStart w:id="149" w:name="_Toc184310296"/>
      <w:bookmarkEnd w:id="149"/>
      <w:bookmarkStart w:id="150" w:name="_Toc184310335"/>
      <w:bookmarkEnd w:id="150"/>
      <w:bookmarkStart w:id="151" w:name="_Toc184308102"/>
      <w:bookmarkEnd w:id="151"/>
      <w:bookmarkStart w:id="152" w:name="_Toc184314446"/>
      <w:bookmarkEnd w:id="152"/>
      <w:bookmarkStart w:id="153" w:name="_Toc184314412"/>
      <w:bookmarkEnd w:id="153"/>
      <w:bookmarkStart w:id="154" w:name="_Toc184314452"/>
      <w:bookmarkEnd w:id="154"/>
      <w:bookmarkStart w:id="155" w:name="_Toc184314425"/>
      <w:bookmarkEnd w:id="155"/>
      <w:bookmarkStart w:id="156" w:name="_Toc184308055"/>
      <w:bookmarkEnd w:id="156"/>
      <w:bookmarkStart w:id="157" w:name="_Toc184312124"/>
      <w:bookmarkEnd w:id="157"/>
      <w:bookmarkStart w:id="158" w:name="_Toc184310272"/>
      <w:bookmarkEnd w:id="158"/>
      <w:bookmarkStart w:id="159" w:name="_Toc184308088"/>
      <w:bookmarkEnd w:id="159"/>
      <w:bookmarkStart w:id="160" w:name="_Toc184313278"/>
      <w:bookmarkEnd w:id="160"/>
      <w:bookmarkStart w:id="161" w:name="_Toc184312074"/>
      <w:bookmarkEnd w:id="161"/>
      <w:bookmarkStart w:id="162" w:name="_Toc184308098"/>
      <w:bookmarkEnd w:id="162"/>
      <w:bookmarkStart w:id="163" w:name="_Toc184310340"/>
      <w:bookmarkEnd w:id="163"/>
      <w:bookmarkStart w:id="164" w:name="_Toc184310324"/>
      <w:bookmarkEnd w:id="164"/>
      <w:bookmarkStart w:id="165" w:name="_Toc184313247"/>
      <w:bookmarkEnd w:id="165"/>
      <w:bookmarkStart w:id="166" w:name="_Toc184313304"/>
      <w:bookmarkEnd w:id="166"/>
      <w:bookmarkStart w:id="167" w:name="_Toc184310286"/>
      <w:bookmarkEnd w:id="167"/>
      <w:bookmarkStart w:id="168" w:name="_Toc184314435"/>
      <w:bookmarkEnd w:id="168"/>
      <w:bookmarkStart w:id="169" w:name="_Toc184312076"/>
      <w:bookmarkEnd w:id="169"/>
      <w:bookmarkStart w:id="170" w:name="_Toc184313310"/>
      <w:bookmarkEnd w:id="170"/>
      <w:bookmarkStart w:id="171" w:name="_Toc184314433"/>
      <w:bookmarkEnd w:id="171"/>
      <w:bookmarkStart w:id="172" w:name="_Toc184308100"/>
      <w:bookmarkEnd w:id="172"/>
      <w:bookmarkStart w:id="173" w:name="_Toc184314442"/>
      <w:bookmarkEnd w:id="173"/>
      <w:bookmarkStart w:id="174" w:name="_Toc184312139"/>
      <w:bookmarkEnd w:id="174"/>
      <w:bookmarkStart w:id="175" w:name="_Toc184314448"/>
      <w:bookmarkEnd w:id="175"/>
      <w:bookmarkStart w:id="176" w:name="_Toc184310334"/>
      <w:bookmarkEnd w:id="176"/>
      <w:bookmarkStart w:id="177" w:name="_Toc184310311"/>
      <w:bookmarkEnd w:id="177"/>
      <w:bookmarkStart w:id="178" w:name="_Toc184314472"/>
      <w:bookmarkEnd w:id="178"/>
      <w:bookmarkStart w:id="179" w:name="_Toc184308103"/>
      <w:bookmarkEnd w:id="179"/>
      <w:bookmarkStart w:id="180" w:name="_Toc184310302"/>
      <w:bookmarkEnd w:id="180"/>
      <w:bookmarkStart w:id="181" w:name="_Toc184312118"/>
      <w:bookmarkEnd w:id="181"/>
      <w:bookmarkStart w:id="182" w:name="_Toc184313251"/>
      <w:bookmarkEnd w:id="182"/>
      <w:bookmarkStart w:id="183" w:name="_Toc184313275"/>
      <w:bookmarkEnd w:id="183"/>
      <w:bookmarkStart w:id="184" w:name="_Toc184314455"/>
      <w:bookmarkEnd w:id="184"/>
      <w:bookmarkStart w:id="185" w:name="_Toc184310317"/>
      <w:bookmarkEnd w:id="185"/>
      <w:bookmarkStart w:id="186" w:name="_Toc184312137"/>
      <w:bookmarkEnd w:id="186"/>
      <w:bookmarkStart w:id="187" w:name="_Toc184310289"/>
      <w:bookmarkEnd w:id="187"/>
      <w:bookmarkStart w:id="188" w:name="_Toc184312072"/>
      <w:bookmarkEnd w:id="188"/>
      <w:bookmarkStart w:id="189" w:name="_Toc184308099"/>
      <w:bookmarkEnd w:id="189"/>
      <w:bookmarkStart w:id="190" w:name="_Toc184314475"/>
      <w:bookmarkEnd w:id="190"/>
      <w:bookmarkStart w:id="191" w:name="_Toc184312086"/>
      <w:bookmarkEnd w:id="191"/>
      <w:bookmarkStart w:id="192" w:name="_Toc184310338"/>
      <w:bookmarkEnd w:id="192"/>
      <w:bookmarkStart w:id="193" w:name="_Toc184314450"/>
      <w:bookmarkEnd w:id="193"/>
      <w:bookmarkStart w:id="194" w:name="_Toc184314410"/>
      <w:bookmarkEnd w:id="194"/>
      <w:bookmarkStart w:id="195" w:name="_Toc184312068"/>
      <w:bookmarkEnd w:id="195"/>
      <w:bookmarkStart w:id="196" w:name="_Toc184312108"/>
      <w:bookmarkEnd w:id="196"/>
      <w:bookmarkStart w:id="197" w:name="_Toc184313288"/>
      <w:bookmarkEnd w:id="197"/>
      <w:bookmarkStart w:id="198" w:name="_Toc184313271"/>
      <w:bookmarkEnd w:id="198"/>
      <w:bookmarkStart w:id="199" w:name="_Toc184308074"/>
      <w:bookmarkEnd w:id="199"/>
      <w:bookmarkStart w:id="200" w:name="_Toc184308061"/>
      <w:bookmarkEnd w:id="200"/>
      <w:bookmarkStart w:id="201" w:name="_Toc184314445"/>
      <w:bookmarkEnd w:id="201"/>
      <w:bookmarkStart w:id="202" w:name="_Toc184313265"/>
      <w:bookmarkEnd w:id="202"/>
      <w:bookmarkStart w:id="203" w:name="_Toc184312135"/>
      <w:bookmarkEnd w:id="203"/>
      <w:bookmarkStart w:id="204" w:name="_Toc184314457"/>
      <w:bookmarkEnd w:id="204"/>
      <w:bookmarkStart w:id="205" w:name="_Toc184313291"/>
      <w:bookmarkEnd w:id="205"/>
      <w:bookmarkStart w:id="206" w:name="_Toc184312099"/>
      <w:bookmarkEnd w:id="206"/>
      <w:bookmarkStart w:id="207" w:name="_Toc184312087"/>
      <w:bookmarkEnd w:id="207"/>
      <w:bookmarkStart w:id="208" w:name="_Toc184313305"/>
      <w:bookmarkEnd w:id="208"/>
      <w:bookmarkStart w:id="209" w:name="_Toc184313289"/>
      <w:bookmarkEnd w:id="209"/>
      <w:bookmarkStart w:id="210" w:name="_Toc184312071"/>
      <w:bookmarkEnd w:id="210"/>
      <w:bookmarkStart w:id="211" w:name="_Toc184312120"/>
      <w:bookmarkEnd w:id="211"/>
      <w:bookmarkStart w:id="212" w:name="_Toc184310299"/>
      <w:bookmarkEnd w:id="212"/>
      <w:bookmarkStart w:id="213" w:name="_Toc184308080"/>
      <w:bookmarkEnd w:id="213"/>
      <w:bookmarkStart w:id="214" w:name="_Toc184314451"/>
      <w:bookmarkEnd w:id="214"/>
      <w:bookmarkStart w:id="215" w:name="_Toc184312067"/>
      <w:bookmarkEnd w:id="215"/>
      <w:bookmarkStart w:id="216" w:name="_Toc184310290"/>
      <w:bookmarkEnd w:id="216"/>
      <w:bookmarkStart w:id="217" w:name="_Toc184313245"/>
      <w:bookmarkEnd w:id="217"/>
      <w:bookmarkStart w:id="218" w:name="_Toc184310339"/>
      <w:bookmarkEnd w:id="218"/>
      <w:bookmarkStart w:id="219" w:name="_Toc184314427"/>
      <w:bookmarkEnd w:id="219"/>
      <w:bookmarkStart w:id="220" w:name="_Toc184314479"/>
      <w:bookmarkEnd w:id="220"/>
      <w:bookmarkStart w:id="221" w:name="_Toc184310273"/>
      <w:bookmarkEnd w:id="221"/>
      <w:bookmarkStart w:id="222" w:name="_Toc184308108"/>
      <w:bookmarkEnd w:id="222"/>
      <w:bookmarkStart w:id="223" w:name="_Toc184313302"/>
      <w:bookmarkEnd w:id="223"/>
      <w:bookmarkStart w:id="224" w:name="_Toc184312130"/>
      <w:bookmarkEnd w:id="224"/>
      <w:bookmarkStart w:id="225" w:name="_Toc184308077"/>
      <w:bookmarkEnd w:id="225"/>
      <w:bookmarkStart w:id="226" w:name="_Toc184314478"/>
      <w:bookmarkEnd w:id="226"/>
      <w:bookmarkStart w:id="227" w:name="_Toc184313256"/>
      <w:bookmarkEnd w:id="227"/>
      <w:bookmarkStart w:id="228" w:name="_Toc184312129"/>
      <w:bookmarkEnd w:id="228"/>
      <w:bookmarkStart w:id="229" w:name="_Toc184308043"/>
      <w:bookmarkEnd w:id="229"/>
      <w:bookmarkStart w:id="230" w:name="_Toc184314462"/>
      <w:bookmarkEnd w:id="230"/>
      <w:bookmarkStart w:id="231" w:name="_Toc184308086"/>
      <w:bookmarkEnd w:id="231"/>
      <w:bookmarkStart w:id="232" w:name="_Toc184312083"/>
      <w:bookmarkEnd w:id="232"/>
      <w:bookmarkStart w:id="233" w:name="_Toc184312102"/>
      <w:bookmarkEnd w:id="233"/>
      <w:bookmarkStart w:id="234" w:name="_Toc184314441"/>
      <w:bookmarkEnd w:id="234"/>
      <w:bookmarkStart w:id="235" w:name="_Toc184310320"/>
      <w:bookmarkEnd w:id="235"/>
      <w:bookmarkStart w:id="236" w:name="_Toc184310295"/>
      <w:bookmarkEnd w:id="236"/>
      <w:bookmarkStart w:id="237" w:name="_Toc184310325"/>
      <w:bookmarkEnd w:id="237"/>
      <w:bookmarkStart w:id="238" w:name="_Toc184313282"/>
      <w:bookmarkEnd w:id="238"/>
      <w:bookmarkStart w:id="239" w:name="_Toc184313263"/>
      <w:bookmarkEnd w:id="239"/>
      <w:bookmarkStart w:id="240" w:name="_Toc184310294"/>
      <w:bookmarkEnd w:id="240"/>
      <w:bookmarkStart w:id="241" w:name="_Toc184313264"/>
      <w:bookmarkEnd w:id="241"/>
      <w:bookmarkStart w:id="242" w:name="_Toc184310301"/>
      <w:bookmarkEnd w:id="242"/>
      <w:bookmarkStart w:id="243" w:name="_Toc184312100"/>
      <w:bookmarkEnd w:id="243"/>
      <w:bookmarkStart w:id="244" w:name="_Toc184312107"/>
      <w:bookmarkEnd w:id="244"/>
      <w:bookmarkStart w:id="245" w:name="_Toc184312085"/>
      <w:bookmarkEnd w:id="245"/>
      <w:bookmarkStart w:id="246" w:name="_Toc184314458"/>
      <w:bookmarkEnd w:id="246"/>
      <w:bookmarkStart w:id="247" w:name="_Toc184313246"/>
      <w:bookmarkEnd w:id="247"/>
      <w:bookmarkStart w:id="248" w:name="_Toc184310279"/>
      <w:bookmarkEnd w:id="248"/>
      <w:bookmarkStart w:id="249" w:name="_Toc184312121"/>
      <w:bookmarkEnd w:id="249"/>
      <w:bookmarkStart w:id="250" w:name="_Toc184308096"/>
      <w:bookmarkEnd w:id="250"/>
      <w:bookmarkStart w:id="251" w:name="_Toc184308052"/>
      <w:bookmarkEnd w:id="251"/>
      <w:bookmarkStart w:id="252" w:name="_Toc184314418"/>
      <w:bookmarkEnd w:id="252"/>
      <w:bookmarkStart w:id="253" w:name="_Toc184313293"/>
      <w:bookmarkEnd w:id="253"/>
      <w:bookmarkStart w:id="254" w:name="_Toc184314453"/>
      <w:bookmarkEnd w:id="254"/>
      <w:bookmarkStart w:id="255" w:name="_Toc184313279"/>
      <w:bookmarkEnd w:id="255"/>
      <w:bookmarkStart w:id="256" w:name="_Toc184308085"/>
      <w:bookmarkEnd w:id="256"/>
      <w:bookmarkStart w:id="257" w:name="_Toc184313272"/>
      <w:bookmarkEnd w:id="257"/>
      <w:bookmarkStart w:id="258" w:name="_Toc184312116"/>
      <w:bookmarkEnd w:id="258"/>
      <w:bookmarkStart w:id="259" w:name="_Toc184313273"/>
      <w:bookmarkEnd w:id="259"/>
      <w:bookmarkStart w:id="260" w:name="_Toc184313238"/>
      <w:bookmarkEnd w:id="260"/>
      <w:bookmarkStart w:id="261" w:name="_Toc184313255"/>
      <w:bookmarkEnd w:id="261"/>
      <w:bookmarkStart w:id="262" w:name="_Toc184310321"/>
      <w:bookmarkEnd w:id="262"/>
      <w:bookmarkStart w:id="263" w:name="_Toc184313244"/>
      <w:bookmarkEnd w:id="263"/>
      <w:bookmarkStart w:id="264" w:name="_Toc184312128"/>
      <w:bookmarkEnd w:id="264"/>
      <w:bookmarkStart w:id="265" w:name="_Toc184314436"/>
      <w:bookmarkEnd w:id="265"/>
      <w:bookmarkStart w:id="266" w:name="_Toc184312097"/>
      <w:bookmarkEnd w:id="266"/>
      <w:bookmarkStart w:id="267" w:name="_Toc184308081"/>
      <w:bookmarkEnd w:id="267"/>
      <w:bookmarkStart w:id="268" w:name="_Toc184310310"/>
      <w:bookmarkEnd w:id="268"/>
      <w:bookmarkStart w:id="269" w:name="_Toc184310284"/>
      <w:bookmarkEnd w:id="269"/>
      <w:bookmarkStart w:id="270" w:name="_Toc184308067"/>
      <w:bookmarkEnd w:id="270"/>
      <w:bookmarkStart w:id="271" w:name="_Toc184313257"/>
      <w:bookmarkEnd w:id="271"/>
      <w:bookmarkStart w:id="272" w:name="_Toc184308059"/>
      <w:bookmarkEnd w:id="272"/>
      <w:bookmarkStart w:id="273" w:name="_Toc184310308"/>
      <w:bookmarkEnd w:id="273"/>
      <w:bookmarkStart w:id="274" w:name="_Toc184312138"/>
      <w:bookmarkEnd w:id="274"/>
      <w:bookmarkStart w:id="275" w:name="_Toc184314439"/>
      <w:bookmarkEnd w:id="275"/>
      <w:bookmarkStart w:id="276" w:name="_Toc184312122"/>
      <w:bookmarkEnd w:id="276"/>
      <w:bookmarkStart w:id="277" w:name="_Toc184314430"/>
      <w:bookmarkEnd w:id="277"/>
      <w:bookmarkStart w:id="278" w:name="_Toc184313276"/>
      <w:bookmarkEnd w:id="278"/>
      <w:bookmarkStart w:id="279" w:name="_Toc184312113"/>
      <w:bookmarkEnd w:id="279"/>
      <w:bookmarkStart w:id="280" w:name="_Toc184312101"/>
      <w:bookmarkEnd w:id="280"/>
      <w:bookmarkStart w:id="281" w:name="_Toc184314429"/>
      <w:bookmarkEnd w:id="281"/>
      <w:bookmarkStart w:id="282" w:name="_Toc184310287"/>
      <w:bookmarkEnd w:id="282"/>
      <w:bookmarkStart w:id="283" w:name="_Toc184310326"/>
      <w:bookmarkEnd w:id="283"/>
      <w:bookmarkStart w:id="284" w:name="_Toc184312127"/>
      <w:bookmarkEnd w:id="284"/>
      <w:bookmarkStart w:id="285" w:name="_Toc184314414"/>
      <w:bookmarkEnd w:id="285"/>
      <w:bookmarkStart w:id="286" w:name="_Toc184310328"/>
      <w:bookmarkEnd w:id="286"/>
      <w:bookmarkStart w:id="287" w:name="_Toc184314456"/>
      <w:bookmarkEnd w:id="287"/>
      <w:bookmarkStart w:id="288" w:name="_Toc184312089"/>
      <w:bookmarkEnd w:id="288"/>
      <w:bookmarkStart w:id="289" w:name="_Toc184312091"/>
      <w:bookmarkEnd w:id="289"/>
      <w:bookmarkStart w:id="290" w:name="_Toc184310318"/>
      <w:bookmarkEnd w:id="290"/>
      <w:bookmarkStart w:id="291" w:name="_Toc184314437"/>
      <w:bookmarkEnd w:id="291"/>
      <w:bookmarkStart w:id="292" w:name="_Toc184308069"/>
      <w:bookmarkEnd w:id="292"/>
      <w:bookmarkStart w:id="293" w:name="_Toc184312070"/>
      <w:bookmarkEnd w:id="293"/>
      <w:bookmarkStart w:id="294" w:name="_Toc184313299"/>
      <w:bookmarkEnd w:id="294"/>
      <w:bookmarkStart w:id="295" w:name="_Toc184310333"/>
      <w:bookmarkEnd w:id="295"/>
      <w:bookmarkStart w:id="296" w:name="_Toc184310336"/>
      <w:bookmarkEnd w:id="296"/>
      <w:bookmarkStart w:id="297" w:name="_Toc184313300"/>
      <w:bookmarkEnd w:id="297"/>
      <w:bookmarkStart w:id="298" w:name="_Toc184310329"/>
      <w:bookmarkEnd w:id="298"/>
      <w:bookmarkStart w:id="299" w:name="_Toc184314464"/>
      <w:bookmarkEnd w:id="299"/>
      <w:bookmarkStart w:id="300" w:name="_Toc184313258"/>
      <w:bookmarkEnd w:id="300"/>
      <w:bookmarkStart w:id="301" w:name="_Toc184308082"/>
      <w:bookmarkEnd w:id="301"/>
      <w:bookmarkStart w:id="302" w:name="_Toc184314467"/>
      <w:bookmarkEnd w:id="302"/>
      <w:bookmarkStart w:id="303" w:name="_Toc184313303"/>
      <w:bookmarkEnd w:id="303"/>
      <w:bookmarkStart w:id="304" w:name="_Toc184314461"/>
      <w:bookmarkEnd w:id="304"/>
      <w:bookmarkStart w:id="305" w:name="_Toc184313286"/>
      <w:bookmarkEnd w:id="305"/>
      <w:bookmarkStart w:id="306" w:name="_Toc184308073"/>
      <w:bookmarkEnd w:id="306"/>
      <w:bookmarkStart w:id="307" w:name="_Toc184312069"/>
      <w:bookmarkEnd w:id="307"/>
      <w:bookmarkStart w:id="308" w:name="_Toc184313280"/>
      <w:bookmarkEnd w:id="308"/>
      <w:bookmarkStart w:id="309" w:name="_Toc184310280"/>
      <w:bookmarkEnd w:id="309"/>
      <w:bookmarkStart w:id="310" w:name="_Toc184308060"/>
      <w:bookmarkEnd w:id="310"/>
      <w:bookmarkStart w:id="311" w:name="_Toc184313261"/>
      <w:bookmarkEnd w:id="311"/>
      <w:bookmarkStart w:id="312" w:name="_Toc184312117"/>
      <w:bookmarkEnd w:id="312"/>
      <w:bookmarkStart w:id="313" w:name="_Toc184310313"/>
      <w:bookmarkEnd w:id="313"/>
      <w:bookmarkStart w:id="314" w:name="_Toc184310314"/>
      <w:bookmarkEnd w:id="314"/>
      <w:bookmarkStart w:id="315" w:name="_Toc184312110"/>
      <w:bookmarkEnd w:id="315"/>
      <w:bookmarkStart w:id="316" w:name="_Toc184310344"/>
      <w:bookmarkEnd w:id="316"/>
      <w:bookmarkStart w:id="317" w:name="_Toc184314482"/>
      <w:bookmarkEnd w:id="317"/>
      <w:bookmarkStart w:id="318" w:name="_Toc184308040"/>
      <w:bookmarkEnd w:id="318"/>
      <w:bookmarkStart w:id="319" w:name="_Toc184308101"/>
      <w:bookmarkEnd w:id="319"/>
      <w:bookmarkStart w:id="320" w:name="_Toc184310322"/>
      <w:bookmarkEnd w:id="320"/>
      <w:bookmarkStart w:id="321" w:name="_Toc184310291"/>
      <w:bookmarkEnd w:id="321"/>
      <w:bookmarkStart w:id="322" w:name="_Toc184310298"/>
      <w:bookmarkEnd w:id="322"/>
      <w:bookmarkStart w:id="323" w:name="_Toc184312103"/>
      <w:bookmarkEnd w:id="323"/>
      <w:bookmarkStart w:id="324" w:name="_Toc184314426"/>
      <w:bookmarkEnd w:id="324"/>
      <w:bookmarkStart w:id="325" w:name="_Toc184313243"/>
      <w:bookmarkEnd w:id="325"/>
      <w:bookmarkStart w:id="326" w:name="_Toc184314447"/>
      <w:bookmarkEnd w:id="326"/>
      <w:bookmarkStart w:id="327" w:name="_Toc184314460"/>
      <w:bookmarkEnd w:id="327"/>
      <w:bookmarkStart w:id="328" w:name="_Toc184312106"/>
      <w:bookmarkEnd w:id="328"/>
      <w:bookmarkStart w:id="329" w:name="_Toc184312119"/>
      <w:bookmarkEnd w:id="329"/>
      <w:bookmarkStart w:id="330" w:name="_Toc184313274"/>
      <w:bookmarkEnd w:id="330"/>
      <w:bookmarkStart w:id="331" w:name="_Toc184313306"/>
      <w:bookmarkEnd w:id="331"/>
      <w:bookmarkStart w:id="332" w:name="_Toc184312112"/>
      <w:bookmarkEnd w:id="332"/>
      <w:bookmarkStart w:id="333" w:name="_Toc184308054"/>
      <w:bookmarkEnd w:id="333"/>
      <w:bookmarkStart w:id="334" w:name="_Toc184308104"/>
      <w:bookmarkEnd w:id="334"/>
      <w:bookmarkStart w:id="335" w:name="_Toc184314474"/>
      <w:bookmarkEnd w:id="335"/>
      <w:bookmarkStart w:id="336" w:name="_Toc184314481"/>
      <w:bookmarkEnd w:id="336"/>
      <w:bookmarkStart w:id="337" w:name="_Toc184314428"/>
      <w:bookmarkEnd w:id="337"/>
      <w:bookmarkStart w:id="338" w:name="_Toc184314443"/>
      <w:bookmarkEnd w:id="338"/>
      <w:bookmarkStart w:id="339" w:name="_Toc184312126"/>
      <w:bookmarkEnd w:id="339"/>
      <w:bookmarkStart w:id="340" w:name="_Toc184308036"/>
      <w:bookmarkEnd w:id="340"/>
      <w:bookmarkStart w:id="341" w:name="_Toc184313249"/>
      <w:bookmarkEnd w:id="341"/>
      <w:bookmarkStart w:id="342" w:name="_Toc184313292"/>
      <w:bookmarkEnd w:id="342"/>
      <w:bookmarkStart w:id="343" w:name="_Toc184310300"/>
      <w:bookmarkEnd w:id="343"/>
      <w:bookmarkStart w:id="344" w:name="_Toc184313283"/>
      <w:bookmarkEnd w:id="344"/>
      <w:bookmarkStart w:id="345" w:name="_Toc184312078"/>
      <w:bookmarkEnd w:id="345"/>
      <w:bookmarkStart w:id="346" w:name="_Toc184313298"/>
      <w:bookmarkEnd w:id="346"/>
      <w:bookmarkStart w:id="347" w:name="_Toc184313253"/>
      <w:bookmarkEnd w:id="347"/>
      <w:bookmarkStart w:id="348" w:name="_Toc184310285"/>
      <w:bookmarkEnd w:id="348"/>
      <w:bookmarkStart w:id="349" w:name="_Toc184313270"/>
      <w:bookmarkEnd w:id="349"/>
      <w:bookmarkStart w:id="350" w:name="_Toc184310278"/>
      <w:bookmarkEnd w:id="350"/>
      <w:bookmarkStart w:id="351" w:name="_Toc184308066"/>
      <w:bookmarkEnd w:id="351"/>
      <w:bookmarkStart w:id="352" w:name="_Toc184313259"/>
      <w:bookmarkEnd w:id="352"/>
      <w:bookmarkStart w:id="353" w:name="_Toc184310307"/>
      <w:bookmarkEnd w:id="353"/>
      <w:bookmarkStart w:id="354" w:name="_Toc184310288"/>
      <w:bookmarkEnd w:id="354"/>
      <w:bookmarkStart w:id="355" w:name="_Toc184310274"/>
      <w:bookmarkEnd w:id="355"/>
      <w:bookmarkStart w:id="356" w:name="_Toc184308090"/>
      <w:bookmarkEnd w:id="356"/>
      <w:bookmarkStart w:id="357" w:name="_Toc184313309"/>
      <w:bookmarkEnd w:id="357"/>
      <w:bookmarkStart w:id="358" w:name="_Toc184308065"/>
      <w:bookmarkEnd w:id="358"/>
      <w:bookmarkStart w:id="359" w:name="_Toc184312090"/>
      <w:bookmarkEnd w:id="359"/>
      <w:bookmarkStart w:id="360" w:name="_Toc184310315"/>
      <w:bookmarkEnd w:id="360"/>
      <w:bookmarkStart w:id="361" w:name="_Toc184312082"/>
      <w:bookmarkEnd w:id="361"/>
      <w:bookmarkStart w:id="362" w:name="_Toc184313301"/>
      <w:bookmarkEnd w:id="362"/>
      <w:bookmarkStart w:id="363" w:name="_Toc184308075"/>
      <w:bookmarkEnd w:id="363"/>
      <w:bookmarkStart w:id="364" w:name="_Toc184308087"/>
      <w:bookmarkEnd w:id="364"/>
      <w:bookmarkStart w:id="365" w:name="_Toc184308092"/>
      <w:bookmarkEnd w:id="365"/>
      <w:bookmarkStart w:id="366" w:name="_Toc184310330"/>
      <w:bookmarkEnd w:id="366"/>
      <w:bookmarkStart w:id="367" w:name="_Toc184308064"/>
      <w:bookmarkEnd w:id="367"/>
      <w:bookmarkStart w:id="368" w:name="_Toc184312080"/>
      <w:bookmarkEnd w:id="368"/>
      <w:bookmarkStart w:id="369" w:name="_Toc184313240"/>
      <w:bookmarkEnd w:id="369"/>
      <w:bookmarkStart w:id="370" w:name="_Toc184312131"/>
      <w:bookmarkEnd w:id="370"/>
      <w:bookmarkStart w:id="371" w:name="_Toc184310312"/>
      <w:bookmarkEnd w:id="371"/>
      <w:bookmarkStart w:id="372" w:name="_Toc184312111"/>
      <w:bookmarkEnd w:id="372"/>
      <w:bookmarkStart w:id="373" w:name="_Toc184314477"/>
      <w:bookmarkEnd w:id="373"/>
      <w:bookmarkStart w:id="374" w:name="_Toc184310306"/>
      <w:bookmarkEnd w:id="374"/>
      <w:bookmarkStart w:id="375" w:name="_Toc184312133"/>
      <w:bookmarkEnd w:id="375"/>
      <w:bookmarkStart w:id="376" w:name="_Toc184308047"/>
      <w:bookmarkEnd w:id="376"/>
      <w:bookmarkStart w:id="377" w:name="_Toc184313308"/>
      <w:bookmarkEnd w:id="377"/>
      <w:bookmarkStart w:id="378" w:name="_Toc184313254"/>
      <w:bookmarkEnd w:id="378"/>
      <w:bookmarkStart w:id="379" w:name="_Toc184313267"/>
      <w:bookmarkEnd w:id="379"/>
      <w:bookmarkStart w:id="380" w:name="_Toc184314476"/>
      <w:bookmarkEnd w:id="380"/>
      <w:bookmarkStart w:id="381" w:name="_Toc184308056"/>
      <w:bookmarkEnd w:id="381"/>
      <w:bookmarkStart w:id="382" w:name="_Toc184308078"/>
      <w:bookmarkEnd w:id="382"/>
      <w:bookmarkStart w:id="383" w:name="_Toc184313307"/>
      <w:bookmarkEnd w:id="383"/>
      <w:bookmarkStart w:id="384" w:name="_Toc184314413"/>
      <w:bookmarkEnd w:id="384"/>
      <w:bookmarkStart w:id="385" w:name="_Toc184310275"/>
      <w:bookmarkEnd w:id="385"/>
      <w:bookmarkStart w:id="386" w:name="_Toc184310343"/>
      <w:bookmarkEnd w:id="386"/>
      <w:bookmarkStart w:id="387" w:name="_Toc184308097"/>
      <w:bookmarkEnd w:id="387"/>
      <w:bookmarkStart w:id="388" w:name="_Toc184310277"/>
      <w:bookmarkEnd w:id="388"/>
      <w:bookmarkStart w:id="389" w:name="_Toc184308058"/>
      <w:bookmarkEnd w:id="389"/>
      <w:bookmarkStart w:id="390" w:name="_Toc184313290"/>
      <w:bookmarkEnd w:id="390"/>
      <w:bookmarkStart w:id="391" w:name="_Toc184313297"/>
      <w:bookmarkEnd w:id="391"/>
      <w:bookmarkStart w:id="392" w:name="_Toc184310341"/>
      <w:bookmarkEnd w:id="392"/>
      <w:bookmarkStart w:id="393" w:name="_Toc184314466"/>
      <w:bookmarkEnd w:id="393"/>
      <w:bookmarkStart w:id="394" w:name="_Toc184312079"/>
      <w:bookmarkEnd w:id="394"/>
      <w:bookmarkStart w:id="395" w:name="_Toc184313262"/>
      <w:bookmarkEnd w:id="395"/>
      <w:bookmarkStart w:id="396" w:name="_Toc184312073"/>
      <w:bookmarkEnd w:id="396"/>
      <w:bookmarkStart w:id="397" w:name="_Toc184313266"/>
      <w:bookmarkEnd w:id="397"/>
      <w:bookmarkStart w:id="398" w:name="_Toc184308095"/>
      <w:bookmarkEnd w:id="398"/>
      <w:bookmarkStart w:id="399" w:name="_Toc184308037"/>
      <w:bookmarkEnd w:id="399"/>
      <w:bookmarkStart w:id="400" w:name="_Toc184308049"/>
      <w:bookmarkEnd w:id="400"/>
      <w:bookmarkStart w:id="401" w:name="_Toc184314440"/>
      <w:bookmarkEnd w:id="401"/>
      <w:bookmarkStart w:id="402" w:name="_Toc184312132"/>
      <w:bookmarkEnd w:id="402"/>
      <w:bookmarkStart w:id="403" w:name="_Toc184310316"/>
      <w:bookmarkEnd w:id="403"/>
      <w:bookmarkStart w:id="404" w:name="_Toc184312075"/>
      <w:bookmarkEnd w:id="404"/>
      <w:bookmarkStart w:id="405" w:name="_Toc184314422"/>
      <w:bookmarkEnd w:id="405"/>
      <w:bookmarkStart w:id="406" w:name="_Toc184312134"/>
      <w:bookmarkEnd w:id="406"/>
      <w:bookmarkStart w:id="407" w:name="_Toc184313294"/>
      <w:bookmarkEnd w:id="407"/>
      <w:bookmarkStart w:id="408" w:name="_Toc184310281"/>
      <w:bookmarkEnd w:id="408"/>
      <w:bookmarkStart w:id="409" w:name="_Toc184313296"/>
      <w:bookmarkEnd w:id="409"/>
      <w:bookmarkStart w:id="410" w:name="_Toc184308057"/>
      <w:bookmarkEnd w:id="410"/>
      <w:bookmarkStart w:id="411" w:name="_Toc184308106"/>
      <w:bookmarkEnd w:id="411"/>
      <w:bookmarkStart w:id="412" w:name="_Toc184310327"/>
      <w:bookmarkEnd w:id="412"/>
      <w:bookmarkStart w:id="413" w:name="_Toc184312093"/>
      <w:bookmarkEnd w:id="413"/>
      <w:bookmarkStart w:id="414" w:name="_Toc184312114"/>
      <w:bookmarkEnd w:id="414"/>
      <w:bookmarkStart w:id="415" w:name="_Toc184310319"/>
      <w:bookmarkEnd w:id="415"/>
      <w:bookmarkStart w:id="416" w:name="_Toc184310292"/>
      <w:bookmarkEnd w:id="416"/>
      <w:bookmarkStart w:id="417" w:name="_Toc184308094"/>
      <w:bookmarkEnd w:id="417"/>
      <w:bookmarkStart w:id="418" w:name="_Toc184314420"/>
      <w:bookmarkEnd w:id="418"/>
      <w:bookmarkStart w:id="419" w:name="_Toc184313239"/>
      <w:bookmarkEnd w:id="419"/>
      <w:bookmarkStart w:id="420" w:name="_Toc184314468"/>
      <w:bookmarkEnd w:id="420"/>
      <w:bookmarkStart w:id="421" w:name="_Toc184314444"/>
      <w:bookmarkEnd w:id="421"/>
      <w:bookmarkStart w:id="422" w:name="_Toc184308038"/>
      <w:bookmarkEnd w:id="422"/>
      <w:bookmarkStart w:id="423" w:name="_Toc184310305"/>
      <w:bookmarkEnd w:id="423"/>
      <w:bookmarkStart w:id="424" w:name="_Toc184313242"/>
      <w:bookmarkEnd w:id="424"/>
      <w:bookmarkStart w:id="425" w:name="_Toc184310297"/>
      <w:bookmarkEnd w:id="425"/>
      <w:bookmarkStart w:id="426" w:name="_Toc184314411"/>
      <w:bookmarkEnd w:id="426"/>
      <w:bookmarkStart w:id="427" w:name="_Toc184314432"/>
      <w:bookmarkEnd w:id="427"/>
      <w:bookmarkStart w:id="428" w:name="_Toc184310337"/>
      <w:bookmarkEnd w:id="428"/>
      <w:bookmarkStart w:id="429" w:name="_Toc184313284"/>
      <w:bookmarkEnd w:id="429"/>
      <w:bookmarkStart w:id="430" w:name="_Toc184314417"/>
      <w:bookmarkEnd w:id="430"/>
      <w:bookmarkStart w:id="431" w:name="_Toc184308039"/>
      <w:bookmarkEnd w:id="431"/>
      <w:bookmarkStart w:id="432" w:name="_Toc184310303"/>
      <w:bookmarkEnd w:id="432"/>
      <w:bookmarkStart w:id="433" w:name="_Toc184314465"/>
      <w:bookmarkEnd w:id="433"/>
      <w:bookmarkStart w:id="434" w:name="_Toc184308071"/>
      <w:bookmarkEnd w:id="434"/>
      <w:r>
        <w:rPr>
          <w:rFonts w:hint="eastAsia" w:ascii="宋体" w:hAnsi="宋体" w:cs="宋体"/>
          <w:b/>
          <w:color w:val="auto"/>
          <w:sz w:val="36"/>
          <w:szCs w:val="36"/>
          <w:highlight w:val="none"/>
        </w:rPr>
        <w:t>评标办法</w:t>
      </w:r>
      <w:bookmarkEnd w:id="62"/>
      <w:bookmarkEnd w:id="63"/>
    </w:p>
    <w:p w14:paraId="3E4872F0">
      <w:pPr>
        <w:snapToGrid w:val="0"/>
        <w:spacing w:line="360" w:lineRule="auto"/>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rPr>
        <w:t>评标办法前附表</w:t>
      </w:r>
    </w:p>
    <w:tbl>
      <w:tblPr>
        <w:tblStyle w:val="64"/>
        <w:tblW w:w="10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523"/>
        <w:gridCol w:w="6160"/>
        <w:gridCol w:w="764"/>
        <w:gridCol w:w="1155"/>
      </w:tblGrid>
      <w:tr w14:paraId="443C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blHeader/>
          <w:jc w:val="center"/>
        </w:trPr>
        <w:tc>
          <w:tcPr>
            <w:tcW w:w="8578" w:type="dxa"/>
            <w:gridSpan w:val="3"/>
            <w:vAlign w:val="center"/>
          </w:tcPr>
          <w:p w14:paraId="2158F1A9">
            <w:pPr>
              <w:jc w:val="center"/>
              <w:rPr>
                <w:rFonts w:ascii="宋体"/>
                <w:color w:val="auto"/>
                <w:sz w:val="24"/>
                <w:szCs w:val="24"/>
                <w:highlight w:val="none"/>
                <w:lang w:val="ru-RU"/>
              </w:rPr>
            </w:pPr>
            <w:r>
              <w:rPr>
                <w:rFonts w:hint="eastAsia" w:ascii="宋体" w:hAnsi="宋体" w:cs="宋体"/>
                <w:b/>
                <w:color w:val="auto"/>
                <w:sz w:val="24"/>
                <w:szCs w:val="24"/>
                <w:highlight w:val="none"/>
              </w:rPr>
              <w:br w:type="page"/>
            </w:r>
            <w:r>
              <w:rPr>
                <w:rFonts w:hint="eastAsia" w:ascii="宋体" w:hAnsi="宋体" w:eastAsia="宋体" w:cs="宋体"/>
                <w:b/>
                <w:bCs/>
                <w:color w:val="auto"/>
                <w:sz w:val="24"/>
                <w:szCs w:val="24"/>
                <w:highlight w:val="none"/>
              </w:rPr>
              <w:t>评分项及分值</w:t>
            </w:r>
          </w:p>
        </w:tc>
        <w:tc>
          <w:tcPr>
            <w:tcW w:w="764" w:type="dxa"/>
            <w:vAlign w:val="center"/>
          </w:tcPr>
          <w:p w14:paraId="0E4B9A4E">
            <w:pPr>
              <w:spacing w:line="360" w:lineRule="exact"/>
              <w:jc w:val="center"/>
              <w:rPr>
                <w:rFonts w:ascii="宋体"/>
                <w:color w:val="auto"/>
                <w:sz w:val="24"/>
                <w:szCs w:val="24"/>
                <w:highlight w:val="none"/>
                <w:lang w:val="ru-RU"/>
              </w:rPr>
            </w:pPr>
            <w:r>
              <w:rPr>
                <w:rFonts w:hint="eastAsia" w:ascii="宋体" w:hAnsi="宋体" w:cs="宋体"/>
                <w:b/>
                <w:bCs/>
                <w:color w:val="auto"/>
                <w:sz w:val="24"/>
                <w:szCs w:val="24"/>
                <w:highlight w:val="none"/>
                <w:lang w:val="en-US" w:eastAsia="zh-CN"/>
              </w:rPr>
              <w:t>分值</w:t>
            </w:r>
          </w:p>
        </w:tc>
        <w:tc>
          <w:tcPr>
            <w:tcW w:w="1155" w:type="dxa"/>
            <w:vAlign w:val="center"/>
          </w:tcPr>
          <w:p w14:paraId="471BA607">
            <w:pPr>
              <w:spacing w:line="36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w:t>
            </w:r>
          </w:p>
          <w:p w14:paraId="1BC0C766">
            <w:pPr>
              <w:spacing w:line="36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类型</w:t>
            </w:r>
          </w:p>
        </w:tc>
      </w:tr>
      <w:tr w14:paraId="6355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5" w:type="dxa"/>
            <w:vMerge w:val="restart"/>
            <w:vAlign w:val="center"/>
          </w:tcPr>
          <w:p w14:paraId="54D52886">
            <w:pPr>
              <w:spacing w:line="360" w:lineRule="exact"/>
              <w:jc w:val="center"/>
              <w:rPr>
                <w:rFonts w:ascii="宋体"/>
                <w:color w:val="auto"/>
                <w:sz w:val="24"/>
                <w:szCs w:val="24"/>
                <w:highlight w:val="none"/>
              </w:rPr>
            </w:pPr>
            <w:r>
              <w:rPr>
                <w:rFonts w:hint="eastAsia" w:ascii="宋体" w:hAnsi="宋体"/>
                <w:b/>
                <w:bCs/>
                <w:color w:val="auto"/>
                <w:sz w:val="24"/>
                <w:szCs w:val="24"/>
                <w:highlight w:val="none"/>
              </w:rPr>
              <w:t>技术商务分</w:t>
            </w:r>
            <w:r>
              <w:rPr>
                <w:rFonts w:hint="eastAsia" w:ascii="宋体" w:hAnsi="宋体"/>
                <w:b/>
                <w:bCs/>
                <w:color w:val="auto"/>
                <w:sz w:val="24"/>
                <w:szCs w:val="24"/>
                <w:highlight w:val="none"/>
                <w:lang w:val="en-US" w:eastAsia="zh-CN"/>
              </w:rPr>
              <w:t>70</w:t>
            </w:r>
            <w:r>
              <w:rPr>
                <w:rFonts w:hint="eastAsia" w:ascii="宋体" w:hAnsi="宋体"/>
                <w:b/>
                <w:bCs/>
                <w:color w:val="auto"/>
                <w:sz w:val="24"/>
                <w:szCs w:val="24"/>
                <w:highlight w:val="none"/>
              </w:rPr>
              <w:t>分</w:t>
            </w:r>
          </w:p>
        </w:tc>
        <w:tc>
          <w:tcPr>
            <w:tcW w:w="1523" w:type="dxa"/>
            <w:vAlign w:val="center"/>
          </w:tcPr>
          <w:p w14:paraId="3085DB7F">
            <w:pPr>
              <w:spacing w:line="360" w:lineRule="exact"/>
              <w:jc w:val="center"/>
              <w:rPr>
                <w:rFonts w:hint="default" w:ascii="宋体" w:hAnsi="Times New Roman" w:eastAsia="宋体" w:cs="宋体"/>
                <w:b/>
                <w:bCs/>
                <w:color w:val="auto"/>
                <w:sz w:val="24"/>
                <w:szCs w:val="24"/>
                <w:highlight w:val="none"/>
                <w:lang w:val="en-US" w:eastAsia="zh-CN"/>
              </w:rPr>
            </w:pPr>
            <w:r>
              <w:rPr>
                <w:rFonts w:hint="eastAsia" w:ascii="宋体" w:hAnsi="Times New Roman" w:eastAsia="宋体" w:cs="宋体"/>
                <w:b/>
                <w:bCs/>
                <w:color w:val="auto"/>
                <w:sz w:val="24"/>
                <w:szCs w:val="24"/>
                <w:highlight w:val="none"/>
                <w:lang w:val="en-US" w:eastAsia="zh-CN"/>
              </w:rPr>
              <w:t>技术参数响应情况</w:t>
            </w:r>
          </w:p>
        </w:tc>
        <w:tc>
          <w:tcPr>
            <w:tcW w:w="6160" w:type="dxa"/>
            <w:shd w:val="clear" w:color="auto" w:fill="auto"/>
            <w:vAlign w:val="center"/>
          </w:tcPr>
          <w:p w14:paraId="4FD7A541">
            <w:pPr>
              <w:numPr>
                <w:ilvl w:val="0"/>
                <w:numId w:val="0"/>
              </w:num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对第三部分《采购需求》</w:t>
            </w:r>
            <w:r>
              <w:rPr>
                <w:rFonts w:hint="eastAsia" w:ascii="宋体" w:hAnsi="宋体" w:eastAsia="宋体" w:cs="宋体"/>
                <w:bCs/>
                <w:color w:val="auto"/>
                <w:sz w:val="24"/>
                <w:szCs w:val="24"/>
                <w:highlight w:val="none"/>
              </w:rPr>
              <w:t>中</w:t>
            </w:r>
            <w:r>
              <w:rPr>
                <w:rFonts w:hint="eastAsia" w:ascii="宋体" w:hAnsi="宋体" w:cs="宋体"/>
                <w:bCs/>
                <w:color w:val="auto"/>
                <w:sz w:val="24"/>
                <w:szCs w:val="24"/>
                <w:highlight w:val="none"/>
                <w:lang w:val="en-US" w:eastAsia="zh-CN"/>
              </w:rPr>
              <w:t>“四、采购清单”</w:t>
            </w:r>
            <w:r>
              <w:rPr>
                <w:rFonts w:hint="eastAsia" w:ascii="宋体" w:hAnsi="宋体" w:eastAsia="宋体" w:cs="宋体"/>
                <w:bCs/>
                <w:color w:val="auto"/>
                <w:sz w:val="24"/>
                <w:szCs w:val="24"/>
                <w:highlight w:val="none"/>
                <w:lang w:val="en-US" w:eastAsia="zh-CN"/>
              </w:rPr>
              <w:t>的响应性：</w:t>
            </w:r>
          </w:p>
          <w:p w14:paraId="6DB4FF6D">
            <w:pPr>
              <w:numPr>
                <w:ilvl w:val="0"/>
                <w:numId w:val="0"/>
              </w:num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1）完全响应招标文件“一、技术需求”所有指标的得26分。</w:t>
            </w:r>
          </w:p>
          <w:p w14:paraId="323F24EE">
            <w:pPr>
              <w:numPr>
                <w:ilvl w:val="0"/>
                <w:numId w:val="0"/>
              </w:num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2）标“</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lang w:val="en-US" w:eastAsia="zh-CN"/>
              </w:rPr>
              <w:t>”指标</w:t>
            </w:r>
            <w:r>
              <w:rPr>
                <w:rFonts w:hint="eastAsia" w:ascii="宋体" w:hAnsi="宋体" w:cs="宋体"/>
                <w:bCs/>
                <w:color w:val="auto"/>
                <w:sz w:val="24"/>
                <w:szCs w:val="24"/>
                <w:highlight w:val="none"/>
                <w:lang w:val="en-US" w:eastAsia="zh-CN"/>
              </w:rPr>
              <w:t>有</w:t>
            </w:r>
            <w:r>
              <w:rPr>
                <w:rFonts w:hint="eastAsia" w:ascii="宋体" w:hAnsi="宋体" w:eastAsia="宋体" w:cs="宋体"/>
                <w:bCs/>
                <w:color w:val="auto"/>
                <w:sz w:val="24"/>
                <w:szCs w:val="24"/>
                <w:highlight w:val="none"/>
                <w:lang w:val="en-US" w:eastAsia="zh-CN"/>
              </w:rPr>
              <w:t>负偏离</w:t>
            </w:r>
            <w:r>
              <w:rPr>
                <w:rFonts w:hint="eastAsia" w:ascii="宋体" w:hAnsi="宋体" w:cs="宋体"/>
                <w:bCs/>
                <w:color w:val="auto"/>
                <w:sz w:val="24"/>
                <w:szCs w:val="24"/>
                <w:highlight w:val="none"/>
                <w:lang w:val="en-US" w:eastAsia="zh-CN"/>
              </w:rPr>
              <w:t>的，</w:t>
            </w:r>
            <w:r>
              <w:rPr>
                <w:rFonts w:hint="eastAsia" w:ascii="宋体" w:hAnsi="宋体" w:eastAsia="宋体" w:cs="宋体"/>
                <w:bCs/>
                <w:color w:val="auto"/>
                <w:sz w:val="24"/>
                <w:szCs w:val="24"/>
                <w:highlight w:val="none"/>
                <w:lang w:val="en-US" w:eastAsia="zh-CN"/>
              </w:rPr>
              <w:t>其投标文件作无效标处理。</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）标“★”指标每负偏离一条扣2分。</w:t>
            </w:r>
          </w:p>
          <w:p w14:paraId="51037C4F">
            <w:pPr>
              <w:numPr>
                <w:ilvl w:val="0"/>
                <w:numId w:val="0"/>
              </w:numPr>
              <w:spacing w:line="360" w:lineRule="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）未标“★”</w:t>
            </w:r>
            <w:r>
              <w:rPr>
                <w:rFonts w:hint="eastAsia" w:ascii="宋体" w:hAnsi="宋体" w:cs="宋体"/>
                <w:bCs/>
                <w:color w:val="auto"/>
                <w:sz w:val="24"/>
                <w:szCs w:val="24"/>
                <w:highlight w:val="none"/>
                <w:lang w:val="en-US" w:eastAsia="zh-CN"/>
              </w:rPr>
              <w:t>和</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lang w:val="en-US" w:eastAsia="zh-CN"/>
              </w:rPr>
              <w:t>”指标每负偏离一条扣1分。</w:t>
            </w:r>
          </w:p>
          <w:p w14:paraId="20F18035">
            <w:pPr>
              <w:numPr>
                <w:ilvl w:val="0"/>
                <w:numId w:val="0"/>
              </w:num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4）当扣减至0分（或以下）时，该投标将被拒绝，其投标文件作无效标处理。</w:t>
            </w:r>
          </w:p>
          <w:p w14:paraId="11FD52E6">
            <w:pPr>
              <w:numPr>
                <w:ilvl w:val="0"/>
                <w:numId w:val="0"/>
              </w:numPr>
              <w:spacing w:line="360" w:lineRule="auto"/>
              <w:ind w:left="0" w:leftChars="0" w:firstLine="0" w:firstLineChars="0"/>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bCs/>
                <w:color w:val="auto"/>
                <w:sz w:val="24"/>
                <w:szCs w:val="24"/>
                <w:highlight w:val="none"/>
                <w:lang w:val="en-US" w:eastAsia="zh-CN"/>
              </w:rPr>
              <w:t>注：投标文件中如需根据要求提供相关证明材料的，未提供或未能满足要求视为负偏离。</w:t>
            </w:r>
          </w:p>
        </w:tc>
        <w:tc>
          <w:tcPr>
            <w:tcW w:w="764" w:type="dxa"/>
            <w:vAlign w:val="center"/>
          </w:tcPr>
          <w:p w14:paraId="12F19A62">
            <w:pPr>
              <w:spacing w:line="360" w:lineRule="exact"/>
              <w:jc w:val="center"/>
              <w:rPr>
                <w:rFonts w:hint="default" w:ascii="宋体" w:eastAsia="宋体" w:cs="宋体"/>
                <w:color w:val="auto"/>
                <w:sz w:val="24"/>
                <w:szCs w:val="24"/>
                <w:highlight w:val="none"/>
                <w:lang w:val="en-US" w:eastAsia="zh-CN"/>
              </w:rPr>
            </w:pPr>
            <w:r>
              <w:rPr>
                <w:rFonts w:hint="eastAsia" w:ascii="宋体" w:cs="宋体"/>
                <w:color w:val="auto"/>
                <w:sz w:val="24"/>
                <w:szCs w:val="24"/>
                <w:highlight w:val="none"/>
                <w:lang w:val="en-US" w:eastAsia="zh-CN"/>
              </w:rPr>
              <w:t>26</w:t>
            </w:r>
          </w:p>
        </w:tc>
        <w:tc>
          <w:tcPr>
            <w:tcW w:w="1155" w:type="dxa"/>
            <w:vAlign w:val="center"/>
          </w:tcPr>
          <w:p w14:paraId="250179B3">
            <w:pPr>
              <w:spacing w:line="360" w:lineRule="exact"/>
              <w:jc w:val="center"/>
              <w:rPr>
                <w:rFonts w:hint="eastAsia" w:ascii="宋体" w:cs="宋体"/>
                <w:color w:val="auto"/>
                <w:sz w:val="24"/>
                <w:szCs w:val="24"/>
                <w:highlight w:val="none"/>
                <w:lang w:val="en-US" w:eastAsia="zh-CN"/>
              </w:rPr>
            </w:pPr>
            <w:r>
              <w:rPr>
                <w:rFonts w:hint="eastAsia" w:ascii="宋体" w:cs="宋体"/>
                <w:color w:val="auto"/>
                <w:sz w:val="24"/>
                <w:szCs w:val="24"/>
                <w:highlight w:val="none"/>
                <w:lang w:val="en-US" w:eastAsia="zh-CN"/>
              </w:rPr>
              <w:t>客观分</w:t>
            </w:r>
          </w:p>
        </w:tc>
      </w:tr>
      <w:tr w14:paraId="38D0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5" w:type="dxa"/>
            <w:vMerge w:val="continue"/>
            <w:vAlign w:val="center"/>
          </w:tcPr>
          <w:p w14:paraId="718D0700">
            <w:pPr>
              <w:spacing w:line="360" w:lineRule="exact"/>
              <w:jc w:val="center"/>
              <w:rPr>
                <w:rFonts w:hint="eastAsia" w:ascii="宋体" w:hAnsi="宋体"/>
                <w:b/>
                <w:bCs/>
                <w:color w:val="auto"/>
                <w:sz w:val="24"/>
                <w:szCs w:val="24"/>
                <w:highlight w:val="none"/>
              </w:rPr>
            </w:pPr>
          </w:p>
        </w:tc>
        <w:tc>
          <w:tcPr>
            <w:tcW w:w="1523" w:type="dxa"/>
            <w:vAlign w:val="center"/>
          </w:tcPr>
          <w:p w14:paraId="0B2CBD54">
            <w:pPr>
              <w:spacing w:line="360" w:lineRule="exact"/>
              <w:jc w:val="center"/>
              <w:rPr>
                <w:rFonts w:hint="default" w:ascii="宋体" w:hAnsi="Times New Roman" w:eastAsia="宋体" w:cs="宋体"/>
                <w:b/>
                <w:bCs/>
                <w:color w:val="auto"/>
                <w:sz w:val="24"/>
                <w:szCs w:val="24"/>
                <w:highlight w:val="none"/>
                <w:lang w:val="en-US" w:eastAsia="zh-CN"/>
              </w:rPr>
            </w:pPr>
            <w:r>
              <w:rPr>
                <w:rFonts w:hint="eastAsia" w:ascii="宋体" w:cs="宋体"/>
                <w:b/>
                <w:bCs/>
                <w:color w:val="auto"/>
                <w:sz w:val="24"/>
                <w:szCs w:val="24"/>
                <w:highlight w:val="none"/>
                <w:lang w:val="en-US" w:eastAsia="zh-CN"/>
              </w:rPr>
              <w:t>技术方案</w:t>
            </w:r>
          </w:p>
        </w:tc>
        <w:tc>
          <w:tcPr>
            <w:tcW w:w="6160" w:type="dxa"/>
            <w:shd w:val="clear" w:color="auto" w:fill="auto"/>
            <w:vAlign w:val="center"/>
          </w:tcPr>
          <w:p w14:paraId="71556B75">
            <w:pPr>
              <w:numPr>
                <w:ilvl w:val="0"/>
                <w:numId w:val="0"/>
              </w:numPr>
              <w:spacing w:line="360" w:lineRule="auto"/>
              <w:ind w:left="0" w:leftChars="0"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根据投标人</w:t>
            </w:r>
            <w:r>
              <w:rPr>
                <w:rFonts w:hint="eastAsia" w:ascii="宋体" w:hAnsi="宋体" w:cs="宋体"/>
                <w:bCs/>
                <w:color w:val="auto"/>
                <w:sz w:val="24"/>
                <w:szCs w:val="24"/>
                <w:highlight w:val="none"/>
                <w:lang w:val="en-US" w:eastAsia="zh-CN"/>
              </w:rPr>
              <w:t>提供的技术方案（</w:t>
            </w:r>
            <w:r>
              <w:rPr>
                <w:rFonts w:hint="eastAsia" w:ascii="宋体" w:hAnsi="宋体" w:eastAsia="宋体" w:cs="宋体"/>
                <w:bCs/>
                <w:color w:val="auto"/>
                <w:sz w:val="24"/>
                <w:szCs w:val="24"/>
                <w:highlight w:val="none"/>
                <w:lang w:val="en-US" w:eastAsia="zh-CN"/>
              </w:rPr>
              <w:t>项目</w:t>
            </w:r>
            <w:r>
              <w:rPr>
                <w:rFonts w:hint="eastAsia" w:ascii="宋体" w:hAnsi="宋体" w:cs="宋体"/>
                <w:bCs/>
                <w:color w:val="auto"/>
                <w:sz w:val="24"/>
                <w:szCs w:val="24"/>
                <w:highlight w:val="none"/>
                <w:lang w:val="en-US" w:eastAsia="zh-CN"/>
              </w:rPr>
              <w:t>业务</w:t>
            </w:r>
            <w:r>
              <w:rPr>
                <w:rFonts w:hint="eastAsia" w:ascii="宋体" w:hAnsi="宋体" w:eastAsia="宋体" w:cs="宋体"/>
                <w:bCs/>
                <w:color w:val="auto"/>
                <w:sz w:val="24"/>
                <w:szCs w:val="24"/>
                <w:highlight w:val="none"/>
                <w:lang w:val="en-US" w:eastAsia="zh-CN"/>
              </w:rPr>
              <w:t>分析、项目总体设计、项目各建设内容设计、信息安全等</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进行</w:t>
            </w:r>
            <w:r>
              <w:rPr>
                <w:rFonts w:hint="eastAsia" w:ascii="宋体" w:hAnsi="宋体" w:cs="宋体"/>
                <w:bCs/>
                <w:color w:val="auto"/>
                <w:sz w:val="24"/>
                <w:szCs w:val="24"/>
                <w:highlight w:val="none"/>
                <w:lang w:val="en-US" w:eastAsia="zh-CN"/>
              </w:rPr>
              <w:t>评议：</w:t>
            </w:r>
          </w:p>
          <w:p w14:paraId="7373DA8F">
            <w:pPr>
              <w:numPr>
                <w:ilvl w:val="0"/>
                <w:numId w:val="0"/>
              </w:numPr>
              <w:spacing w:line="360" w:lineRule="auto"/>
              <w:ind w:left="0" w:leftChars="0"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1）技术方案内容考虑全面且具体详细，与服务需求相符的得5分；</w:t>
            </w:r>
          </w:p>
          <w:p w14:paraId="4D13A863">
            <w:pPr>
              <w:numPr>
                <w:ilvl w:val="0"/>
                <w:numId w:val="0"/>
              </w:numPr>
              <w:spacing w:line="360" w:lineRule="auto"/>
              <w:ind w:left="0" w:leftChars="0"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2）技术方案内容考虑全面但是不够具体详细</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存在不足有待改进</w:t>
            </w:r>
            <w:r>
              <w:rPr>
                <w:rFonts w:hint="eastAsia" w:ascii="宋体" w:hAnsi="宋体" w:cs="宋体"/>
                <w:bCs/>
                <w:color w:val="auto"/>
                <w:sz w:val="24"/>
                <w:szCs w:val="24"/>
                <w:highlight w:val="none"/>
                <w:lang w:val="en-US" w:eastAsia="zh-CN"/>
              </w:rPr>
              <w:t>，基本符合本项目服务需求的</w:t>
            </w:r>
            <w:r>
              <w:rPr>
                <w:rFonts w:hint="eastAsia" w:ascii="宋体" w:hAnsi="宋体" w:eastAsia="宋体" w:cs="宋体"/>
                <w:bCs/>
                <w:color w:val="auto"/>
                <w:sz w:val="24"/>
                <w:szCs w:val="24"/>
                <w:highlight w:val="none"/>
                <w:lang w:val="en-US" w:eastAsia="zh-CN"/>
              </w:rPr>
              <w:t>得3分；</w:t>
            </w:r>
          </w:p>
          <w:p w14:paraId="414AEB9B">
            <w:pPr>
              <w:numPr>
                <w:ilvl w:val="0"/>
                <w:numId w:val="0"/>
              </w:numPr>
              <w:spacing w:line="360" w:lineRule="auto"/>
              <w:ind w:left="0" w:leftChars="0"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3）技术方案内容</w:t>
            </w:r>
            <w:r>
              <w:rPr>
                <w:rFonts w:hint="eastAsia" w:ascii="宋体" w:hAnsi="宋体" w:cs="宋体"/>
                <w:bCs/>
                <w:color w:val="auto"/>
                <w:sz w:val="24"/>
                <w:szCs w:val="24"/>
                <w:highlight w:val="none"/>
                <w:lang w:val="en-US" w:eastAsia="zh-CN"/>
              </w:rPr>
              <w:t>笼统，</w:t>
            </w:r>
            <w:r>
              <w:rPr>
                <w:rFonts w:hint="eastAsia" w:ascii="宋体" w:hAnsi="宋体" w:eastAsia="宋体" w:cs="宋体"/>
                <w:bCs/>
                <w:color w:val="auto"/>
                <w:sz w:val="24"/>
                <w:szCs w:val="24"/>
                <w:highlight w:val="none"/>
                <w:lang w:val="en-US" w:eastAsia="zh-CN"/>
              </w:rPr>
              <w:t>存在较大偏差</w:t>
            </w:r>
            <w:r>
              <w:rPr>
                <w:rFonts w:hint="eastAsia" w:ascii="宋体" w:hAnsi="宋体" w:cs="宋体"/>
                <w:bCs/>
                <w:color w:val="auto"/>
                <w:sz w:val="24"/>
                <w:szCs w:val="24"/>
                <w:highlight w:val="none"/>
                <w:lang w:val="en-US" w:eastAsia="zh-CN"/>
              </w:rPr>
              <w:t>，未针对本项目服务需求</w:t>
            </w:r>
            <w:r>
              <w:rPr>
                <w:rFonts w:hint="eastAsia" w:ascii="宋体" w:hAnsi="宋体" w:eastAsia="宋体" w:cs="宋体"/>
                <w:bCs/>
                <w:color w:val="auto"/>
                <w:sz w:val="24"/>
                <w:szCs w:val="24"/>
                <w:highlight w:val="none"/>
                <w:lang w:val="en-US" w:eastAsia="zh-CN"/>
              </w:rPr>
              <w:t>的得1分；</w:t>
            </w:r>
          </w:p>
          <w:p w14:paraId="07AD45DF">
            <w:pPr>
              <w:numPr>
                <w:ilvl w:val="0"/>
                <w:numId w:val="0"/>
              </w:numPr>
              <w:spacing w:line="360" w:lineRule="auto"/>
              <w:ind w:left="0" w:leftChars="0"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r>
              <w:rPr>
                <w:rFonts w:hint="default" w:ascii="宋体" w:hAnsi="宋体" w:eastAsia="宋体" w:cs="宋体"/>
                <w:bCs/>
                <w:color w:val="auto"/>
                <w:sz w:val="24"/>
                <w:szCs w:val="24"/>
                <w:highlight w:val="none"/>
                <w:lang w:val="en-US" w:eastAsia="zh-CN"/>
              </w:rPr>
              <w:t>未提供相关内容的不得分。</w:t>
            </w:r>
          </w:p>
        </w:tc>
        <w:tc>
          <w:tcPr>
            <w:tcW w:w="764" w:type="dxa"/>
            <w:vAlign w:val="center"/>
          </w:tcPr>
          <w:p w14:paraId="510E3415">
            <w:pPr>
              <w:spacing w:line="360" w:lineRule="exact"/>
              <w:jc w:val="center"/>
              <w:rPr>
                <w:rFonts w:hint="eastAsia" w:ascii="宋体" w:hAnsi="Times New Roman" w:eastAsia="宋体" w:cs="宋体"/>
                <w:color w:val="auto"/>
                <w:sz w:val="24"/>
                <w:szCs w:val="24"/>
                <w:highlight w:val="none"/>
                <w:lang w:val="en-US" w:eastAsia="zh-CN"/>
              </w:rPr>
            </w:pPr>
            <w:r>
              <w:rPr>
                <w:rFonts w:hint="eastAsia" w:ascii="宋体" w:hAnsi="Times New Roman" w:eastAsia="宋体" w:cs="宋体"/>
                <w:color w:val="auto"/>
                <w:sz w:val="24"/>
                <w:szCs w:val="24"/>
                <w:highlight w:val="none"/>
                <w:lang w:val="en-US" w:eastAsia="zh-CN"/>
              </w:rPr>
              <w:t>5</w:t>
            </w:r>
          </w:p>
        </w:tc>
        <w:tc>
          <w:tcPr>
            <w:tcW w:w="1155" w:type="dxa"/>
            <w:vAlign w:val="center"/>
          </w:tcPr>
          <w:p w14:paraId="705039E2">
            <w:pPr>
              <w:adjustRightInd/>
              <w:spacing w:line="360" w:lineRule="exact"/>
              <w:jc w:val="center"/>
              <w:rPr>
                <w:rFonts w:hint="eastAsia" w:ascii="宋体" w:hAnsi="Times New Roman" w:eastAsia="宋体" w:cs="宋体"/>
                <w:color w:val="auto"/>
                <w:sz w:val="24"/>
                <w:szCs w:val="24"/>
                <w:highlight w:val="none"/>
                <w:lang w:val="en-US" w:eastAsia="zh-CN"/>
              </w:rPr>
            </w:pPr>
            <w:r>
              <w:rPr>
                <w:rFonts w:hint="eastAsia" w:ascii="宋体" w:hAnsi="宋体" w:cs="宋体"/>
                <w:color w:val="auto"/>
                <w:szCs w:val="21"/>
                <w:highlight w:val="none"/>
              </w:rPr>
              <w:t>主观</w:t>
            </w:r>
            <w:r>
              <w:rPr>
                <w:rFonts w:hint="eastAsia" w:ascii="宋体" w:hAnsi="宋体" w:cs="宋体"/>
                <w:color w:val="auto"/>
                <w:szCs w:val="21"/>
                <w:highlight w:val="none"/>
                <w:lang w:val="en-US" w:eastAsia="zh-CN"/>
              </w:rPr>
              <w:t>分</w:t>
            </w:r>
          </w:p>
        </w:tc>
      </w:tr>
      <w:tr w14:paraId="35BB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5" w:type="dxa"/>
            <w:vMerge w:val="continue"/>
            <w:vAlign w:val="center"/>
          </w:tcPr>
          <w:p w14:paraId="70E7BFA6">
            <w:pPr>
              <w:spacing w:line="360" w:lineRule="exact"/>
              <w:jc w:val="center"/>
              <w:rPr>
                <w:rFonts w:hint="eastAsia" w:ascii="宋体" w:hAnsi="宋体"/>
                <w:b/>
                <w:bCs/>
                <w:color w:val="auto"/>
                <w:sz w:val="24"/>
                <w:szCs w:val="24"/>
                <w:highlight w:val="none"/>
              </w:rPr>
            </w:pPr>
          </w:p>
        </w:tc>
        <w:tc>
          <w:tcPr>
            <w:tcW w:w="1523" w:type="dxa"/>
            <w:vAlign w:val="center"/>
          </w:tcPr>
          <w:p w14:paraId="0592E361">
            <w:pPr>
              <w:spacing w:line="360" w:lineRule="exact"/>
              <w:jc w:val="center"/>
              <w:rPr>
                <w:rFonts w:hint="default" w:ascii="宋体" w:hAnsi="Times New Roman" w:eastAsia="宋体" w:cs="宋体"/>
                <w:b/>
                <w:bCs/>
                <w:color w:val="auto"/>
                <w:sz w:val="24"/>
                <w:szCs w:val="24"/>
                <w:highlight w:val="none"/>
                <w:lang w:val="en-US" w:eastAsia="zh-CN"/>
              </w:rPr>
            </w:pPr>
            <w:r>
              <w:rPr>
                <w:rFonts w:hint="eastAsia" w:ascii="宋体" w:hAnsi="Times New Roman" w:eastAsia="宋体" w:cs="宋体"/>
                <w:b/>
                <w:bCs/>
                <w:color w:val="auto"/>
                <w:sz w:val="24"/>
                <w:szCs w:val="24"/>
                <w:highlight w:val="none"/>
                <w:lang w:val="en-US" w:eastAsia="zh-CN"/>
              </w:rPr>
              <w:t>供货方案</w:t>
            </w:r>
          </w:p>
        </w:tc>
        <w:tc>
          <w:tcPr>
            <w:tcW w:w="6160" w:type="dxa"/>
            <w:vAlign w:val="center"/>
          </w:tcPr>
          <w:p w14:paraId="71CE2F2F">
            <w:pPr>
              <w:numPr>
                <w:ilvl w:val="0"/>
                <w:numId w:val="0"/>
              </w:numPr>
              <w:spacing w:line="360" w:lineRule="auto"/>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根据投标人提供的供货方案</w:t>
            </w:r>
            <w:r>
              <w:rPr>
                <w:rFonts w:hint="eastAsia" w:ascii="宋体" w:hAnsi="宋体" w:eastAsia="宋体" w:cs="宋体"/>
                <w:bCs/>
                <w:color w:val="auto"/>
                <w:sz w:val="24"/>
                <w:szCs w:val="24"/>
                <w:highlight w:val="none"/>
                <w:lang w:val="en-US" w:eastAsia="zh-CN"/>
              </w:rPr>
              <w:t>（</w:t>
            </w:r>
            <w:r>
              <w:rPr>
                <w:rFonts w:hint="default" w:ascii="宋体" w:hAnsi="宋体" w:eastAsia="宋体" w:cs="宋体"/>
                <w:bCs/>
                <w:color w:val="auto"/>
                <w:sz w:val="24"/>
                <w:szCs w:val="24"/>
                <w:highlight w:val="none"/>
                <w:lang w:val="en-US" w:eastAsia="zh-CN"/>
              </w:rPr>
              <w:t>供货期限</w:t>
            </w:r>
            <w:r>
              <w:rPr>
                <w:rFonts w:hint="eastAsia" w:ascii="宋体" w:hAnsi="宋体" w:eastAsia="宋体" w:cs="宋体"/>
                <w:bCs/>
                <w:color w:val="auto"/>
                <w:sz w:val="24"/>
                <w:szCs w:val="24"/>
                <w:highlight w:val="none"/>
                <w:lang w:val="en-US" w:eastAsia="zh-CN"/>
              </w:rPr>
              <w:t>、</w:t>
            </w:r>
            <w:r>
              <w:rPr>
                <w:rFonts w:hint="default" w:ascii="宋体" w:hAnsi="宋体" w:eastAsia="宋体" w:cs="宋体"/>
                <w:bCs/>
                <w:color w:val="auto"/>
                <w:sz w:val="24"/>
                <w:szCs w:val="24"/>
                <w:highlight w:val="none"/>
                <w:lang w:val="en-US" w:eastAsia="zh-CN"/>
              </w:rPr>
              <w:t>交货方式</w:t>
            </w:r>
            <w:r>
              <w:rPr>
                <w:rFonts w:hint="eastAsia" w:ascii="宋体" w:hAnsi="宋体" w:eastAsia="宋体" w:cs="宋体"/>
                <w:bCs/>
                <w:color w:val="auto"/>
                <w:sz w:val="24"/>
                <w:szCs w:val="24"/>
                <w:highlight w:val="none"/>
                <w:lang w:val="en-US" w:eastAsia="zh-CN"/>
              </w:rPr>
              <w:t>、</w:t>
            </w:r>
            <w:r>
              <w:rPr>
                <w:rFonts w:hint="default" w:ascii="宋体" w:hAnsi="宋体" w:eastAsia="宋体" w:cs="宋体"/>
                <w:bCs/>
                <w:color w:val="auto"/>
                <w:sz w:val="24"/>
                <w:szCs w:val="24"/>
                <w:highlight w:val="none"/>
                <w:lang w:val="en-US" w:eastAsia="zh-CN"/>
              </w:rPr>
              <w:t>供货保障流程</w:t>
            </w:r>
            <w:r>
              <w:rPr>
                <w:rFonts w:hint="eastAsia" w:ascii="宋体" w:hAnsi="宋体" w:eastAsia="宋体" w:cs="宋体"/>
                <w:bCs/>
                <w:color w:val="auto"/>
                <w:sz w:val="24"/>
                <w:szCs w:val="24"/>
                <w:highlight w:val="none"/>
                <w:lang w:val="en-US" w:eastAsia="zh-CN"/>
              </w:rPr>
              <w:t>、</w:t>
            </w:r>
            <w:r>
              <w:rPr>
                <w:rFonts w:hint="default" w:ascii="宋体" w:hAnsi="宋体" w:eastAsia="宋体" w:cs="宋体"/>
                <w:bCs/>
                <w:color w:val="auto"/>
                <w:sz w:val="24"/>
                <w:szCs w:val="24"/>
                <w:highlight w:val="none"/>
                <w:lang w:val="en-US" w:eastAsia="zh-CN"/>
              </w:rPr>
              <w:t>供货流程要点</w:t>
            </w:r>
            <w:r>
              <w:rPr>
                <w:rFonts w:hint="eastAsia" w:ascii="宋体" w:hAnsi="宋体" w:eastAsia="宋体" w:cs="宋体"/>
                <w:bCs/>
                <w:color w:val="auto"/>
                <w:sz w:val="24"/>
                <w:szCs w:val="24"/>
                <w:highlight w:val="none"/>
                <w:lang w:val="en-US" w:eastAsia="zh-CN"/>
              </w:rPr>
              <w:t>、</w:t>
            </w:r>
            <w:r>
              <w:rPr>
                <w:rFonts w:hint="default" w:ascii="宋体" w:hAnsi="宋体" w:eastAsia="宋体" w:cs="宋体"/>
                <w:bCs/>
                <w:color w:val="auto"/>
                <w:sz w:val="24"/>
                <w:szCs w:val="24"/>
                <w:highlight w:val="none"/>
                <w:lang w:val="en-US" w:eastAsia="zh-CN"/>
              </w:rPr>
              <w:t>供货实施步骤</w:t>
            </w:r>
            <w:r>
              <w:rPr>
                <w:rFonts w:hint="eastAsia" w:ascii="宋体" w:hAnsi="宋体" w:eastAsia="宋体" w:cs="宋体"/>
                <w:bCs/>
                <w:color w:val="auto"/>
                <w:sz w:val="24"/>
                <w:szCs w:val="24"/>
                <w:highlight w:val="none"/>
                <w:lang w:val="en-US" w:eastAsia="zh-CN"/>
              </w:rPr>
              <w:t>等）</w:t>
            </w:r>
            <w:r>
              <w:rPr>
                <w:rFonts w:hint="default" w:ascii="宋体" w:hAnsi="宋体" w:eastAsia="宋体" w:cs="宋体"/>
                <w:bCs/>
                <w:color w:val="auto"/>
                <w:sz w:val="24"/>
                <w:szCs w:val="24"/>
                <w:highlight w:val="none"/>
                <w:lang w:val="en-US" w:eastAsia="zh-CN"/>
              </w:rPr>
              <w:t>进行评议：</w:t>
            </w:r>
          </w:p>
          <w:p w14:paraId="0EE31E3A">
            <w:pPr>
              <w:numPr>
                <w:ilvl w:val="0"/>
                <w:numId w:val="0"/>
              </w:numPr>
              <w:spacing w:line="360" w:lineRule="auto"/>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1）供货期完全满足招标文件要求，交货方式切合实际，供货流程合理且供货流程要点明确，供货实施步骤清晰，能提供比较有针对性的服务措施的得5分；</w:t>
            </w:r>
          </w:p>
          <w:p w14:paraId="5C815692">
            <w:pPr>
              <w:numPr>
                <w:ilvl w:val="0"/>
                <w:numId w:val="0"/>
              </w:numPr>
              <w:spacing w:line="360" w:lineRule="auto"/>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2）方案内容基本符合本项目的供货要求，但是实行上略有欠缺的得3分；</w:t>
            </w:r>
          </w:p>
          <w:p w14:paraId="78EA5F9F">
            <w:pPr>
              <w:numPr>
                <w:ilvl w:val="0"/>
                <w:numId w:val="0"/>
              </w:numPr>
              <w:spacing w:line="360" w:lineRule="auto"/>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3）方案内容不完整，内容不充分，与本项目货物供应要求有差距的得1分；</w:t>
            </w:r>
          </w:p>
          <w:p w14:paraId="581CB6B1">
            <w:pPr>
              <w:numPr>
                <w:ilvl w:val="0"/>
                <w:numId w:val="0"/>
              </w:numPr>
              <w:spacing w:line="360" w:lineRule="auto"/>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4）未提供相关内容的不得分。</w:t>
            </w:r>
          </w:p>
        </w:tc>
        <w:tc>
          <w:tcPr>
            <w:tcW w:w="764" w:type="dxa"/>
            <w:vAlign w:val="center"/>
          </w:tcPr>
          <w:p w14:paraId="52AF5E73">
            <w:pPr>
              <w:spacing w:line="360" w:lineRule="exact"/>
              <w:jc w:val="center"/>
              <w:rPr>
                <w:rFonts w:hint="default" w:ascii="宋体" w:eastAsia="宋体" w:cs="宋体"/>
                <w:color w:val="auto"/>
                <w:sz w:val="24"/>
                <w:szCs w:val="24"/>
                <w:highlight w:val="none"/>
                <w:lang w:val="en-US" w:eastAsia="zh-CN"/>
              </w:rPr>
            </w:pPr>
            <w:r>
              <w:rPr>
                <w:rFonts w:hint="eastAsia" w:ascii="宋体" w:cs="宋体"/>
                <w:color w:val="auto"/>
                <w:sz w:val="24"/>
                <w:szCs w:val="24"/>
                <w:highlight w:val="none"/>
                <w:lang w:val="en-US" w:eastAsia="zh-CN"/>
              </w:rPr>
              <w:t>5</w:t>
            </w:r>
          </w:p>
        </w:tc>
        <w:tc>
          <w:tcPr>
            <w:tcW w:w="1155" w:type="dxa"/>
            <w:vAlign w:val="center"/>
          </w:tcPr>
          <w:p w14:paraId="2EDCE21F">
            <w:pPr>
              <w:spacing w:line="360" w:lineRule="exact"/>
              <w:jc w:val="center"/>
              <w:rPr>
                <w:rFonts w:hint="default" w:ascii="宋体" w:eastAsia="宋体" w:cs="宋体"/>
                <w:color w:val="auto"/>
                <w:sz w:val="24"/>
                <w:szCs w:val="24"/>
                <w:highlight w:val="none"/>
                <w:lang w:val="en-US" w:eastAsia="zh-CN"/>
              </w:rPr>
            </w:pPr>
            <w:r>
              <w:rPr>
                <w:rFonts w:hint="eastAsia" w:ascii="宋体" w:hAnsi="宋体" w:cs="宋体"/>
                <w:color w:val="auto"/>
                <w:szCs w:val="21"/>
                <w:highlight w:val="none"/>
              </w:rPr>
              <w:t>主观</w:t>
            </w:r>
            <w:r>
              <w:rPr>
                <w:rFonts w:hint="eastAsia" w:ascii="宋体" w:hAnsi="宋体" w:cs="宋体"/>
                <w:color w:val="auto"/>
                <w:szCs w:val="21"/>
                <w:highlight w:val="none"/>
                <w:lang w:val="en-US" w:eastAsia="zh-CN"/>
              </w:rPr>
              <w:t>分</w:t>
            </w:r>
          </w:p>
        </w:tc>
      </w:tr>
      <w:tr w14:paraId="0382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5" w:type="dxa"/>
            <w:vMerge w:val="continue"/>
            <w:vAlign w:val="center"/>
          </w:tcPr>
          <w:p w14:paraId="1901F7A2">
            <w:pPr>
              <w:spacing w:line="360" w:lineRule="exact"/>
              <w:jc w:val="center"/>
              <w:rPr>
                <w:rFonts w:hint="eastAsia" w:ascii="宋体" w:hAnsi="宋体"/>
                <w:b/>
                <w:bCs/>
                <w:color w:val="auto"/>
                <w:sz w:val="24"/>
                <w:szCs w:val="24"/>
                <w:highlight w:val="none"/>
              </w:rPr>
            </w:pPr>
          </w:p>
        </w:tc>
        <w:tc>
          <w:tcPr>
            <w:tcW w:w="1523" w:type="dxa"/>
            <w:vAlign w:val="center"/>
          </w:tcPr>
          <w:p w14:paraId="5E952FB1">
            <w:pPr>
              <w:spacing w:line="360" w:lineRule="exact"/>
              <w:jc w:val="center"/>
              <w:rPr>
                <w:rFonts w:hint="eastAsia" w:ascii="宋体" w:hAnsi="Times New Roman" w:eastAsia="宋体" w:cs="宋体"/>
                <w:b/>
                <w:bCs/>
                <w:color w:val="auto"/>
                <w:sz w:val="24"/>
                <w:szCs w:val="24"/>
                <w:highlight w:val="none"/>
                <w:lang w:val="en-US" w:eastAsia="zh-CN"/>
              </w:rPr>
            </w:pPr>
            <w:r>
              <w:rPr>
                <w:rFonts w:hint="eastAsia" w:ascii="宋体" w:hAnsi="Times New Roman" w:eastAsia="宋体" w:cs="宋体"/>
                <w:b/>
                <w:bCs/>
                <w:color w:val="auto"/>
                <w:sz w:val="24"/>
                <w:szCs w:val="24"/>
                <w:highlight w:val="none"/>
                <w:lang w:val="en-US" w:eastAsia="zh-CN"/>
              </w:rPr>
              <w:t>安装与调试方案</w:t>
            </w:r>
          </w:p>
        </w:tc>
        <w:tc>
          <w:tcPr>
            <w:tcW w:w="6160" w:type="dxa"/>
            <w:vAlign w:val="center"/>
          </w:tcPr>
          <w:p w14:paraId="5433902E">
            <w:pPr>
              <w:numPr>
                <w:ilvl w:val="0"/>
                <w:numId w:val="0"/>
              </w:num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根据投标人提供的安装调试与验收方案（安装方案、安装人员配置、调试方案、测试方式等）进行评议：</w:t>
            </w:r>
          </w:p>
          <w:p w14:paraId="2AF75941">
            <w:pPr>
              <w:numPr>
                <w:ilvl w:val="0"/>
                <w:numId w:val="0"/>
              </w:numPr>
              <w:spacing w:line="360" w:lineRule="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安装方案得当，安装人员配置贴合实际需求，调试要求明确，且开箱测试方式科学的得5分；</w:t>
            </w:r>
          </w:p>
          <w:p w14:paraId="6300EA84">
            <w:pPr>
              <w:numPr>
                <w:ilvl w:val="0"/>
                <w:numId w:val="0"/>
              </w:num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2)安装方案及安装人员配置基本贴合实际需求，调试要求基本明确，开箱测试方式基本合理可行的得3分；</w:t>
            </w:r>
          </w:p>
          <w:p w14:paraId="2D026B56">
            <w:pPr>
              <w:numPr>
                <w:ilvl w:val="0"/>
                <w:numId w:val="0"/>
              </w:numPr>
              <w:spacing w:line="360" w:lineRule="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3）安装与调试方案不够符合项目实际要求，且存在一定缺项的得1分；</w:t>
            </w:r>
            <w:r>
              <w:rPr>
                <w:rFonts w:hint="eastAsia" w:ascii="宋体" w:hAnsi="宋体" w:eastAsia="宋体" w:cs="宋体"/>
                <w:bCs/>
                <w:color w:val="auto"/>
                <w:sz w:val="24"/>
                <w:szCs w:val="24"/>
                <w:highlight w:val="none"/>
                <w:lang w:val="en-US" w:eastAsia="zh-CN"/>
              </w:rPr>
              <w:br w:type="textWrapping"/>
            </w:r>
            <w:r>
              <w:rPr>
                <w:rFonts w:hint="eastAsia" w:ascii="宋体" w:hAnsi="宋体" w:eastAsia="宋体" w:cs="宋体"/>
                <w:bCs/>
                <w:color w:val="auto"/>
                <w:sz w:val="24"/>
                <w:szCs w:val="24"/>
                <w:highlight w:val="none"/>
                <w:lang w:val="en-US" w:eastAsia="zh-CN"/>
              </w:rPr>
              <w:t>4）未提供相关内容的不得分。</w:t>
            </w:r>
          </w:p>
        </w:tc>
        <w:tc>
          <w:tcPr>
            <w:tcW w:w="764" w:type="dxa"/>
            <w:vAlign w:val="center"/>
          </w:tcPr>
          <w:p w14:paraId="38C18CF8">
            <w:pPr>
              <w:spacing w:line="360" w:lineRule="exact"/>
              <w:jc w:val="center"/>
              <w:rPr>
                <w:rFonts w:hint="default" w:ascii="宋体" w:hAnsi="Times New Roman" w:eastAsia="宋体" w:cs="宋体"/>
                <w:color w:val="auto"/>
                <w:sz w:val="24"/>
                <w:szCs w:val="24"/>
                <w:highlight w:val="none"/>
                <w:lang w:val="en-US" w:eastAsia="zh-CN"/>
              </w:rPr>
            </w:pPr>
            <w:r>
              <w:rPr>
                <w:rFonts w:hint="eastAsia" w:ascii="宋体" w:hAnsi="Times New Roman" w:eastAsia="宋体" w:cs="宋体"/>
                <w:color w:val="auto"/>
                <w:sz w:val="24"/>
                <w:szCs w:val="24"/>
                <w:highlight w:val="none"/>
                <w:lang w:val="en-US" w:eastAsia="zh-CN"/>
              </w:rPr>
              <w:t>5</w:t>
            </w:r>
          </w:p>
        </w:tc>
        <w:tc>
          <w:tcPr>
            <w:tcW w:w="1155" w:type="dxa"/>
            <w:vAlign w:val="center"/>
          </w:tcPr>
          <w:p w14:paraId="45942881">
            <w:pPr>
              <w:adjustRightInd/>
              <w:spacing w:line="300" w:lineRule="exact"/>
              <w:jc w:val="center"/>
              <w:rPr>
                <w:rFonts w:hint="eastAsia" w:ascii="宋体" w:eastAsia="宋体" w:cs="宋体"/>
                <w:color w:val="auto"/>
                <w:sz w:val="24"/>
                <w:szCs w:val="24"/>
                <w:highlight w:val="none"/>
                <w:lang w:val="en-US" w:eastAsia="zh-CN"/>
              </w:rPr>
            </w:pPr>
            <w:r>
              <w:rPr>
                <w:rFonts w:hint="eastAsia" w:ascii="宋体" w:hAnsi="宋体" w:cs="宋体"/>
                <w:color w:val="auto"/>
                <w:szCs w:val="21"/>
                <w:highlight w:val="none"/>
              </w:rPr>
              <w:t>主观</w:t>
            </w:r>
            <w:r>
              <w:rPr>
                <w:rFonts w:hint="eastAsia" w:ascii="宋体" w:hAnsi="宋体" w:cs="宋体"/>
                <w:color w:val="auto"/>
                <w:szCs w:val="21"/>
                <w:highlight w:val="none"/>
                <w:lang w:val="en-US" w:eastAsia="zh-CN"/>
              </w:rPr>
              <w:t>分</w:t>
            </w:r>
          </w:p>
        </w:tc>
      </w:tr>
      <w:tr w14:paraId="3663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5" w:type="dxa"/>
            <w:vMerge w:val="continue"/>
            <w:vAlign w:val="center"/>
          </w:tcPr>
          <w:p w14:paraId="5A28FF79">
            <w:pPr>
              <w:spacing w:line="360" w:lineRule="exact"/>
              <w:jc w:val="center"/>
              <w:rPr>
                <w:rFonts w:hint="eastAsia" w:ascii="宋体" w:hAnsi="宋体"/>
                <w:b/>
                <w:bCs/>
                <w:color w:val="auto"/>
                <w:sz w:val="24"/>
                <w:szCs w:val="24"/>
                <w:highlight w:val="none"/>
              </w:rPr>
            </w:pPr>
          </w:p>
        </w:tc>
        <w:tc>
          <w:tcPr>
            <w:tcW w:w="1523" w:type="dxa"/>
            <w:shd w:val="clear" w:color="auto" w:fill="auto"/>
            <w:vAlign w:val="center"/>
          </w:tcPr>
          <w:p w14:paraId="1B72BF86">
            <w:pPr>
              <w:spacing w:line="360" w:lineRule="exact"/>
              <w:jc w:val="center"/>
              <w:rPr>
                <w:rFonts w:hint="eastAsia" w:ascii="宋体" w:hAnsi="Times New Roman" w:eastAsia="宋体" w:cs="宋体"/>
                <w:b/>
                <w:bCs/>
                <w:color w:val="auto"/>
                <w:sz w:val="24"/>
                <w:szCs w:val="24"/>
                <w:highlight w:val="none"/>
                <w:lang w:val="en-US" w:eastAsia="zh-CN"/>
              </w:rPr>
            </w:pPr>
            <w:r>
              <w:rPr>
                <w:rFonts w:hint="eastAsia" w:ascii="宋体" w:hAnsi="Times New Roman" w:eastAsia="宋体" w:cs="宋体"/>
                <w:b/>
                <w:bCs/>
                <w:color w:val="auto"/>
                <w:sz w:val="24"/>
                <w:szCs w:val="24"/>
                <w:highlight w:val="none"/>
                <w:lang w:val="en-US" w:eastAsia="zh-CN"/>
              </w:rPr>
              <w:t>售后服务方案</w:t>
            </w:r>
          </w:p>
        </w:tc>
        <w:tc>
          <w:tcPr>
            <w:tcW w:w="6160" w:type="dxa"/>
            <w:shd w:val="clear" w:color="auto" w:fill="auto"/>
            <w:vAlign w:val="center"/>
          </w:tcPr>
          <w:p w14:paraId="7BF98E82">
            <w:pPr>
              <w:numPr>
                <w:ilvl w:val="0"/>
                <w:numId w:val="0"/>
              </w:num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根据投标人针对本项目制定的售后服务方案（售后服务内容、售后服务体系、服务便捷性、响应及时性等）进行评议：</w:t>
            </w:r>
          </w:p>
          <w:p w14:paraId="6F374105">
            <w:pPr>
              <w:numPr>
                <w:ilvl w:val="0"/>
                <w:numId w:val="0"/>
              </w:num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1）售后服务体系完善</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售后服务方案内容全面、售后服务便捷</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响应及时的得5分；</w:t>
            </w:r>
          </w:p>
          <w:p w14:paraId="65EA7CC4">
            <w:pPr>
              <w:numPr>
                <w:ilvl w:val="0"/>
                <w:numId w:val="0"/>
              </w:num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2）售后服务体系较完善</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售后服务方案内容较全面</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售后服务较便捷</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响应较及时的得3分；</w:t>
            </w:r>
          </w:p>
          <w:p w14:paraId="2853348A">
            <w:pPr>
              <w:numPr>
                <w:ilvl w:val="0"/>
                <w:numId w:val="0"/>
              </w:num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3）售后服务体系欠完善</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售后服务方案内容欠全面</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售后服务欠便捷</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响应欠及时的得1分；</w:t>
            </w:r>
          </w:p>
          <w:p w14:paraId="49CE94BF">
            <w:pPr>
              <w:numPr>
                <w:ilvl w:val="0"/>
                <w:numId w:val="0"/>
              </w:num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4）未提供相关内容的不得分。</w:t>
            </w:r>
          </w:p>
        </w:tc>
        <w:tc>
          <w:tcPr>
            <w:tcW w:w="764" w:type="dxa"/>
            <w:shd w:val="clear" w:color="auto" w:fill="auto"/>
            <w:vAlign w:val="center"/>
          </w:tcPr>
          <w:p w14:paraId="27EFCF40">
            <w:pPr>
              <w:spacing w:line="360" w:lineRule="exact"/>
              <w:jc w:val="center"/>
              <w:rPr>
                <w:rFonts w:hint="default" w:ascii="宋体" w:hAnsi="Times New Roman" w:eastAsia="宋体" w:cs="宋体"/>
                <w:color w:val="auto"/>
                <w:sz w:val="24"/>
                <w:szCs w:val="24"/>
                <w:highlight w:val="none"/>
                <w:lang w:val="en-US" w:eastAsia="zh-CN"/>
              </w:rPr>
            </w:pPr>
            <w:r>
              <w:rPr>
                <w:rFonts w:hint="eastAsia" w:ascii="宋体" w:hAnsi="Times New Roman" w:eastAsia="宋体" w:cs="宋体"/>
                <w:color w:val="auto"/>
                <w:sz w:val="24"/>
                <w:szCs w:val="24"/>
                <w:highlight w:val="none"/>
                <w:lang w:val="en-US" w:eastAsia="zh-CN"/>
              </w:rPr>
              <w:t>5</w:t>
            </w:r>
          </w:p>
        </w:tc>
        <w:tc>
          <w:tcPr>
            <w:tcW w:w="1155" w:type="dxa"/>
            <w:shd w:val="clear" w:color="auto" w:fill="auto"/>
            <w:vAlign w:val="center"/>
          </w:tcPr>
          <w:p w14:paraId="64861708">
            <w:pPr>
              <w:spacing w:line="360" w:lineRule="exact"/>
              <w:jc w:val="center"/>
              <w:rPr>
                <w:rFonts w:hint="eastAsia" w:ascii="宋体" w:cs="宋体"/>
                <w:color w:val="auto"/>
                <w:sz w:val="24"/>
                <w:szCs w:val="24"/>
                <w:highlight w:val="none"/>
                <w:lang w:val="en-US" w:eastAsia="zh-CN"/>
              </w:rPr>
            </w:pPr>
            <w:r>
              <w:rPr>
                <w:rFonts w:hint="eastAsia" w:ascii="宋体" w:cs="宋体"/>
                <w:color w:val="auto"/>
                <w:sz w:val="24"/>
                <w:szCs w:val="24"/>
                <w:highlight w:val="none"/>
                <w:lang w:val="en-US" w:eastAsia="zh-CN"/>
              </w:rPr>
              <w:t>客观分</w:t>
            </w:r>
          </w:p>
        </w:tc>
      </w:tr>
      <w:tr w14:paraId="7993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5" w:type="dxa"/>
            <w:vMerge w:val="continue"/>
            <w:vAlign w:val="center"/>
          </w:tcPr>
          <w:p w14:paraId="565B1138">
            <w:pPr>
              <w:spacing w:line="360" w:lineRule="exact"/>
              <w:jc w:val="center"/>
              <w:rPr>
                <w:rFonts w:hint="eastAsia" w:ascii="宋体" w:hAnsi="宋体"/>
                <w:b/>
                <w:bCs/>
                <w:color w:val="auto"/>
                <w:sz w:val="24"/>
                <w:szCs w:val="24"/>
                <w:highlight w:val="none"/>
              </w:rPr>
            </w:pPr>
          </w:p>
        </w:tc>
        <w:tc>
          <w:tcPr>
            <w:tcW w:w="1523" w:type="dxa"/>
            <w:shd w:val="clear" w:color="auto" w:fill="auto"/>
            <w:vAlign w:val="center"/>
          </w:tcPr>
          <w:p w14:paraId="61796049">
            <w:pPr>
              <w:spacing w:line="360" w:lineRule="exact"/>
              <w:jc w:val="center"/>
              <w:rPr>
                <w:rFonts w:hint="default" w:ascii="宋体" w:hAnsi="Times New Roman" w:eastAsia="宋体" w:cs="宋体"/>
                <w:b/>
                <w:bCs/>
                <w:color w:val="auto"/>
                <w:sz w:val="24"/>
                <w:szCs w:val="24"/>
                <w:highlight w:val="none"/>
                <w:lang w:val="en-US" w:eastAsia="zh-CN"/>
              </w:rPr>
            </w:pPr>
            <w:r>
              <w:rPr>
                <w:rFonts w:hint="eastAsia" w:ascii="宋体" w:hAnsi="Times New Roman" w:eastAsia="宋体" w:cs="宋体"/>
                <w:b/>
                <w:bCs/>
                <w:color w:val="auto"/>
                <w:sz w:val="24"/>
                <w:szCs w:val="24"/>
                <w:highlight w:val="none"/>
                <w:lang w:val="en-US" w:eastAsia="zh-CN"/>
              </w:rPr>
              <w:t>应急方案</w:t>
            </w:r>
          </w:p>
        </w:tc>
        <w:tc>
          <w:tcPr>
            <w:tcW w:w="6160" w:type="dxa"/>
            <w:shd w:val="clear" w:color="auto" w:fill="auto"/>
            <w:vAlign w:val="center"/>
          </w:tcPr>
          <w:p w14:paraId="1D337D52">
            <w:pPr>
              <w:numPr>
                <w:ilvl w:val="0"/>
                <w:numId w:val="0"/>
              </w:num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根据投标人提供的应急方案（总体应急方案、预防措施、应急事件类型划分及针对性措施等）进行评议：</w:t>
            </w:r>
          </w:p>
          <w:p w14:paraId="1455ED38">
            <w:pPr>
              <w:numPr>
                <w:ilvl w:val="0"/>
                <w:numId w:val="3"/>
              </w:num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应急方案描述详细完善</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能结合自身经验提供针对性的应急措施，确保有效解决可预见性问题，有规范处理流程和行之有效的处理办法，并在日常做好防范的措施的得5分；</w:t>
            </w:r>
          </w:p>
          <w:p w14:paraId="273A57CA">
            <w:pPr>
              <w:numPr>
                <w:ilvl w:val="0"/>
                <w:numId w:val="3"/>
              </w:numPr>
              <w:spacing w:line="360" w:lineRule="auto"/>
              <w:ind w:left="0" w:leftChars="0"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应急方案描述较为完善、应急措施基本合理可行的得3分；</w:t>
            </w:r>
          </w:p>
          <w:p w14:paraId="682B60EF">
            <w:pPr>
              <w:numPr>
                <w:ilvl w:val="0"/>
                <w:numId w:val="0"/>
              </w:numPr>
              <w:spacing w:line="360" w:lineRule="auto"/>
              <w:ind w:left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3）应急方案内容笼统、有明显不合理之处的得1分；</w:t>
            </w:r>
          </w:p>
          <w:p w14:paraId="086AA3E1">
            <w:pPr>
              <w:numPr>
                <w:ilvl w:val="0"/>
                <w:numId w:val="0"/>
              </w:num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4）未提供相关内容的不得分。</w:t>
            </w:r>
          </w:p>
        </w:tc>
        <w:tc>
          <w:tcPr>
            <w:tcW w:w="764" w:type="dxa"/>
            <w:shd w:val="clear" w:color="auto" w:fill="auto"/>
            <w:vAlign w:val="center"/>
          </w:tcPr>
          <w:p w14:paraId="5D6CFE58">
            <w:pPr>
              <w:spacing w:line="360" w:lineRule="exact"/>
              <w:jc w:val="center"/>
              <w:rPr>
                <w:rFonts w:hint="eastAsia" w:ascii="宋体" w:hAnsi="Times New Roman" w:eastAsia="宋体" w:cs="宋体"/>
                <w:color w:val="auto"/>
                <w:sz w:val="24"/>
                <w:szCs w:val="24"/>
                <w:highlight w:val="none"/>
                <w:lang w:val="en-US" w:eastAsia="zh-CN"/>
              </w:rPr>
            </w:pPr>
            <w:r>
              <w:rPr>
                <w:rFonts w:hint="eastAsia" w:ascii="宋体" w:hAnsi="Times New Roman" w:eastAsia="宋体" w:cs="宋体"/>
                <w:color w:val="auto"/>
                <w:sz w:val="24"/>
                <w:szCs w:val="24"/>
                <w:highlight w:val="none"/>
                <w:lang w:val="en-US" w:eastAsia="zh-CN"/>
              </w:rPr>
              <w:t>5</w:t>
            </w:r>
          </w:p>
        </w:tc>
        <w:tc>
          <w:tcPr>
            <w:tcW w:w="1155" w:type="dxa"/>
            <w:shd w:val="clear" w:color="auto" w:fill="auto"/>
            <w:vAlign w:val="center"/>
          </w:tcPr>
          <w:p w14:paraId="55E51E6B">
            <w:pPr>
              <w:spacing w:line="360" w:lineRule="exact"/>
              <w:jc w:val="center"/>
              <w:rPr>
                <w:rFonts w:hint="eastAsia" w:ascii="宋体" w:cs="宋体"/>
                <w:color w:val="auto"/>
                <w:sz w:val="24"/>
                <w:szCs w:val="24"/>
                <w:highlight w:val="none"/>
                <w:lang w:val="en-US" w:eastAsia="zh-CN"/>
              </w:rPr>
            </w:pPr>
            <w:r>
              <w:rPr>
                <w:rFonts w:hint="eastAsia" w:ascii="宋体" w:cs="宋体"/>
                <w:color w:val="auto"/>
                <w:sz w:val="24"/>
                <w:szCs w:val="24"/>
                <w:highlight w:val="none"/>
                <w:lang w:val="en-US" w:eastAsia="zh-CN"/>
              </w:rPr>
              <w:t>客观分</w:t>
            </w:r>
          </w:p>
        </w:tc>
      </w:tr>
      <w:tr w14:paraId="7F6E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5" w:type="dxa"/>
            <w:vMerge w:val="continue"/>
            <w:vAlign w:val="center"/>
          </w:tcPr>
          <w:p w14:paraId="0E220668">
            <w:pPr>
              <w:spacing w:line="360" w:lineRule="exact"/>
              <w:jc w:val="center"/>
              <w:rPr>
                <w:rFonts w:hint="eastAsia" w:ascii="宋体" w:hAnsi="宋体"/>
                <w:b/>
                <w:bCs/>
                <w:color w:val="auto"/>
                <w:sz w:val="24"/>
                <w:szCs w:val="24"/>
                <w:highlight w:val="none"/>
              </w:rPr>
            </w:pPr>
          </w:p>
        </w:tc>
        <w:tc>
          <w:tcPr>
            <w:tcW w:w="1523" w:type="dxa"/>
            <w:shd w:val="clear" w:color="auto" w:fill="auto"/>
            <w:vAlign w:val="center"/>
          </w:tcPr>
          <w:p w14:paraId="6D5DBB42">
            <w:pPr>
              <w:spacing w:line="360" w:lineRule="exact"/>
              <w:jc w:val="center"/>
              <w:rPr>
                <w:rFonts w:hint="default" w:ascii="宋体" w:hAnsi="Times New Roman" w:eastAsia="宋体" w:cs="宋体"/>
                <w:b/>
                <w:bCs/>
                <w:color w:val="auto"/>
                <w:sz w:val="24"/>
                <w:szCs w:val="24"/>
                <w:highlight w:val="none"/>
                <w:lang w:val="en-US" w:eastAsia="zh-CN"/>
              </w:rPr>
            </w:pPr>
            <w:r>
              <w:rPr>
                <w:rFonts w:hint="eastAsia" w:ascii="宋体" w:hAnsi="Times New Roman" w:eastAsia="宋体" w:cs="宋体"/>
                <w:b/>
                <w:bCs/>
                <w:color w:val="auto"/>
                <w:sz w:val="24"/>
                <w:szCs w:val="24"/>
                <w:highlight w:val="none"/>
                <w:lang w:val="en-US" w:eastAsia="zh-CN"/>
              </w:rPr>
              <w:t>培训方案</w:t>
            </w:r>
          </w:p>
        </w:tc>
        <w:tc>
          <w:tcPr>
            <w:tcW w:w="6160" w:type="dxa"/>
            <w:shd w:val="clear" w:color="auto" w:fill="auto"/>
            <w:vAlign w:val="center"/>
          </w:tcPr>
          <w:p w14:paraId="4F9F6FDE">
            <w:pPr>
              <w:numPr>
                <w:ilvl w:val="0"/>
                <w:numId w:val="0"/>
              </w:num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根据投标人提供的对采购人的培训方案（培训时间安排、培训内容、培训次数、培训场地等）进行评议：</w:t>
            </w:r>
          </w:p>
          <w:p w14:paraId="2DC693F2">
            <w:pPr>
              <w:numPr>
                <w:ilvl w:val="0"/>
                <w:numId w:val="0"/>
              </w:num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1）人员培训方案与采购人实际相结合，培训时间安排合理，培训内容符合货物使用要求，培训次数能确保设备实际使用人灵活使用且场地安排合理的得5分；</w:t>
            </w:r>
          </w:p>
          <w:p w14:paraId="4CD51651">
            <w:pPr>
              <w:numPr>
                <w:ilvl w:val="0"/>
                <w:numId w:val="0"/>
              </w:num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2）人员培训方案不够符合采购需求，培训内容缺少针对性内容的得3分；</w:t>
            </w:r>
          </w:p>
          <w:p w14:paraId="599382AF">
            <w:pPr>
              <w:numPr>
                <w:ilvl w:val="0"/>
                <w:numId w:val="0"/>
              </w:num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3）人员培训方案没有结合采购需求，培训内容敷衍，没有相应培训场地且培训时间不合理的得1分；</w:t>
            </w:r>
          </w:p>
          <w:p w14:paraId="52DE4907">
            <w:pPr>
              <w:numPr>
                <w:ilvl w:val="0"/>
                <w:numId w:val="0"/>
              </w:num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4)未提供相关内容的不得分。</w:t>
            </w:r>
          </w:p>
        </w:tc>
        <w:tc>
          <w:tcPr>
            <w:tcW w:w="764" w:type="dxa"/>
            <w:shd w:val="clear" w:color="auto" w:fill="auto"/>
            <w:vAlign w:val="center"/>
          </w:tcPr>
          <w:p w14:paraId="18D771E9">
            <w:pPr>
              <w:spacing w:line="360" w:lineRule="exact"/>
              <w:jc w:val="center"/>
              <w:rPr>
                <w:rFonts w:hint="eastAsia" w:ascii="宋体" w:hAnsi="Times New Roman" w:eastAsia="宋体" w:cs="宋体"/>
                <w:color w:val="auto"/>
                <w:sz w:val="24"/>
                <w:szCs w:val="24"/>
                <w:highlight w:val="none"/>
                <w:lang w:val="en-US" w:eastAsia="zh-CN"/>
              </w:rPr>
            </w:pPr>
            <w:r>
              <w:rPr>
                <w:rFonts w:hint="eastAsia" w:ascii="宋体" w:hAnsi="Times New Roman" w:eastAsia="宋体" w:cs="宋体"/>
                <w:color w:val="auto"/>
                <w:sz w:val="24"/>
                <w:szCs w:val="24"/>
                <w:highlight w:val="none"/>
                <w:lang w:val="en-US" w:eastAsia="zh-CN"/>
              </w:rPr>
              <w:t>5</w:t>
            </w:r>
          </w:p>
        </w:tc>
        <w:tc>
          <w:tcPr>
            <w:tcW w:w="1155" w:type="dxa"/>
            <w:shd w:val="clear" w:color="auto" w:fill="auto"/>
            <w:vAlign w:val="center"/>
          </w:tcPr>
          <w:p w14:paraId="57F4DC6D">
            <w:pPr>
              <w:adjustRightInd/>
              <w:spacing w:line="300" w:lineRule="exact"/>
              <w:jc w:val="center"/>
              <w:rPr>
                <w:rFonts w:hint="eastAsia" w:ascii="宋体" w:cs="宋体"/>
                <w:color w:val="auto"/>
                <w:sz w:val="24"/>
                <w:szCs w:val="24"/>
                <w:highlight w:val="none"/>
                <w:lang w:val="en-US" w:eastAsia="zh-CN"/>
              </w:rPr>
            </w:pPr>
            <w:r>
              <w:rPr>
                <w:rFonts w:hint="eastAsia" w:ascii="宋体" w:hAnsi="宋体" w:cs="宋体"/>
                <w:color w:val="auto"/>
                <w:szCs w:val="21"/>
                <w:highlight w:val="none"/>
              </w:rPr>
              <w:t>主观评审</w:t>
            </w:r>
          </w:p>
        </w:tc>
      </w:tr>
      <w:tr w14:paraId="7CF5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5" w:type="dxa"/>
            <w:vMerge w:val="continue"/>
            <w:vAlign w:val="center"/>
          </w:tcPr>
          <w:p w14:paraId="382A1B03">
            <w:pPr>
              <w:spacing w:line="360" w:lineRule="exact"/>
              <w:jc w:val="center"/>
              <w:rPr>
                <w:rFonts w:hint="eastAsia" w:ascii="宋体" w:hAnsi="宋体"/>
                <w:b/>
                <w:bCs/>
                <w:color w:val="auto"/>
                <w:sz w:val="24"/>
                <w:szCs w:val="24"/>
                <w:highlight w:val="none"/>
              </w:rPr>
            </w:pPr>
          </w:p>
        </w:tc>
        <w:tc>
          <w:tcPr>
            <w:tcW w:w="1523" w:type="dxa"/>
            <w:vMerge w:val="restart"/>
            <w:shd w:val="clear" w:color="auto" w:fill="auto"/>
            <w:vAlign w:val="center"/>
          </w:tcPr>
          <w:p w14:paraId="1C55F169">
            <w:pPr>
              <w:spacing w:line="360" w:lineRule="exact"/>
              <w:jc w:val="center"/>
              <w:rPr>
                <w:rFonts w:hint="eastAsia" w:ascii="宋体" w:hAnsi="Times New Roman" w:eastAsia="宋体" w:cs="宋体"/>
                <w:b/>
                <w:bCs/>
                <w:color w:val="auto"/>
                <w:sz w:val="24"/>
                <w:szCs w:val="24"/>
                <w:highlight w:val="none"/>
                <w:lang w:val="en-US" w:eastAsia="zh-CN"/>
              </w:rPr>
            </w:pPr>
            <w:r>
              <w:rPr>
                <w:rFonts w:hint="eastAsia" w:ascii="宋体" w:hAnsi="Times New Roman" w:eastAsia="宋体" w:cs="宋体"/>
                <w:b/>
                <w:bCs/>
                <w:color w:val="auto"/>
                <w:sz w:val="24"/>
                <w:szCs w:val="24"/>
                <w:highlight w:val="none"/>
                <w:lang w:val="en-US" w:eastAsia="zh-CN"/>
              </w:rPr>
              <w:t>人员配备</w:t>
            </w:r>
          </w:p>
        </w:tc>
        <w:tc>
          <w:tcPr>
            <w:tcW w:w="6160" w:type="dxa"/>
            <w:shd w:val="clear" w:color="auto" w:fill="auto"/>
            <w:vAlign w:val="center"/>
          </w:tcPr>
          <w:p w14:paraId="12C72635">
            <w:pPr>
              <w:spacing w:line="360" w:lineRule="auto"/>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1、投标人拟投入项目负责人具有同时具信息系统项目管理师证书和高级工程师职称证书的得2分；</w:t>
            </w:r>
          </w:p>
          <w:p w14:paraId="71034B13">
            <w:pPr>
              <w:numPr>
                <w:ilvl w:val="0"/>
                <w:numId w:val="0"/>
              </w:numPr>
              <w:spacing w:line="360" w:lineRule="auto"/>
              <w:ind w:left="0" w:leftChars="0" w:firstLine="0" w:firstLineChars="0"/>
              <w:rPr>
                <w:rFonts w:hint="eastAsia" w:ascii="宋体" w:hAnsi="宋体" w:eastAsia="宋体" w:cs="宋体"/>
                <w:bCs/>
                <w:color w:val="auto"/>
                <w:sz w:val="24"/>
                <w:szCs w:val="24"/>
                <w:highlight w:val="none"/>
                <w:lang w:val="en-US" w:eastAsia="zh-CN"/>
              </w:rPr>
            </w:pPr>
            <w:r>
              <w:rPr>
                <w:rFonts w:hint="eastAsia" w:ascii="宋体" w:hAnsi="宋体"/>
                <w:b w:val="0"/>
                <w:bCs w:val="0"/>
                <w:color w:val="auto"/>
                <w:sz w:val="24"/>
                <w:szCs w:val="24"/>
                <w:highlight w:val="none"/>
                <w:lang w:val="en-US" w:eastAsia="zh-CN"/>
              </w:rPr>
              <w:t>注：投标文件中提供证书扫描件以及投标截止时间前三个月中任一个月的社保缴纳证明材料。</w:t>
            </w:r>
          </w:p>
        </w:tc>
        <w:tc>
          <w:tcPr>
            <w:tcW w:w="764" w:type="dxa"/>
            <w:shd w:val="clear" w:color="auto" w:fill="auto"/>
            <w:vAlign w:val="center"/>
          </w:tcPr>
          <w:p w14:paraId="5C2EC388">
            <w:pPr>
              <w:spacing w:line="360" w:lineRule="exact"/>
              <w:jc w:val="center"/>
              <w:rPr>
                <w:rFonts w:hint="default" w:ascii="宋体" w:cs="宋体"/>
                <w:color w:val="auto"/>
                <w:sz w:val="24"/>
                <w:szCs w:val="24"/>
                <w:highlight w:val="none"/>
                <w:lang w:val="en-US" w:eastAsia="zh-CN"/>
              </w:rPr>
            </w:pPr>
            <w:r>
              <w:rPr>
                <w:rFonts w:hint="eastAsia" w:ascii="宋体" w:cs="宋体"/>
                <w:color w:val="auto"/>
                <w:sz w:val="24"/>
                <w:szCs w:val="24"/>
                <w:highlight w:val="none"/>
                <w:lang w:val="en-US" w:eastAsia="zh-CN"/>
              </w:rPr>
              <w:t>2</w:t>
            </w:r>
          </w:p>
        </w:tc>
        <w:tc>
          <w:tcPr>
            <w:tcW w:w="1155" w:type="dxa"/>
            <w:shd w:val="clear" w:color="auto" w:fill="auto"/>
            <w:vAlign w:val="center"/>
          </w:tcPr>
          <w:p w14:paraId="31616567">
            <w:pPr>
              <w:spacing w:line="360" w:lineRule="exact"/>
              <w:jc w:val="center"/>
              <w:rPr>
                <w:rFonts w:hint="eastAsia" w:ascii="宋体" w:cs="宋体"/>
                <w:color w:val="auto"/>
                <w:sz w:val="24"/>
                <w:szCs w:val="24"/>
                <w:highlight w:val="none"/>
                <w:lang w:val="en-US" w:eastAsia="zh-CN"/>
              </w:rPr>
            </w:pPr>
            <w:r>
              <w:rPr>
                <w:rFonts w:hint="eastAsia" w:ascii="宋体" w:cs="宋体"/>
                <w:color w:val="auto"/>
                <w:sz w:val="24"/>
                <w:szCs w:val="24"/>
                <w:highlight w:val="none"/>
                <w:lang w:val="en-US" w:eastAsia="zh-CN"/>
              </w:rPr>
              <w:t>客观分</w:t>
            </w:r>
          </w:p>
        </w:tc>
      </w:tr>
      <w:tr w14:paraId="3A7C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5" w:type="dxa"/>
            <w:vMerge w:val="continue"/>
            <w:vAlign w:val="center"/>
          </w:tcPr>
          <w:p w14:paraId="32AA19B0">
            <w:pPr>
              <w:spacing w:line="360" w:lineRule="exact"/>
              <w:jc w:val="center"/>
              <w:rPr>
                <w:rFonts w:hint="eastAsia" w:ascii="宋体" w:hAnsi="宋体"/>
                <w:b/>
                <w:bCs/>
                <w:color w:val="auto"/>
                <w:sz w:val="24"/>
                <w:szCs w:val="24"/>
                <w:highlight w:val="none"/>
              </w:rPr>
            </w:pPr>
          </w:p>
        </w:tc>
        <w:tc>
          <w:tcPr>
            <w:tcW w:w="1523" w:type="dxa"/>
            <w:vMerge w:val="continue"/>
            <w:shd w:val="clear" w:color="auto" w:fill="auto"/>
            <w:vAlign w:val="center"/>
          </w:tcPr>
          <w:p w14:paraId="7812239F">
            <w:pPr>
              <w:spacing w:line="360" w:lineRule="exact"/>
              <w:jc w:val="center"/>
              <w:rPr>
                <w:rFonts w:hint="eastAsia" w:ascii="宋体" w:hAnsi="Times New Roman" w:eastAsia="宋体" w:cs="宋体"/>
                <w:color w:val="auto"/>
                <w:sz w:val="24"/>
                <w:szCs w:val="24"/>
                <w:highlight w:val="none"/>
                <w:lang w:val="en-US" w:eastAsia="zh-CN"/>
              </w:rPr>
            </w:pPr>
          </w:p>
        </w:tc>
        <w:tc>
          <w:tcPr>
            <w:tcW w:w="6160" w:type="dxa"/>
            <w:shd w:val="clear" w:color="auto" w:fill="auto"/>
            <w:vAlign w:val="center"/>
          </w:tcPr>
          <w:p w14:paraId="6B119316">
            <w:pPr>
              <w:spacing w:line="360" w:lineRule="auto"/>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2、投标人拟派项目技术负责人（不含项目负责人）同时具有建筑电气相关专业的高级职称证书和信息系统项目管理师证书的得2分，其他不得分。</w:t>
            </w:r>
          </w:p>
          <w:p w14:paraId="68062D82">
            <w:pPr>
              <w:numPr>
                <w:ilvl w:val="0"/>
                <w:numId w:val="0"/>
              </w:numPr>
              <w:spacing w:line="360" w:lineRule="auto"/>
              <w:ind w:left="0" w:leftChars="0" w:firstLine="0" w:firstLineChars="0"/>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注：投标文件中提供证书扫描件以及投标截止时间前三个月中任一个月的社保缴纳证明材料。</w:t>
            </w:r>
          </w:p>
        </w:tc>
        <w:tc>
          <w:tcPr>
            <w:tcW w:w="764" w:type="dxa"/>
            <w:shd w:val="clear" w:color="auto" w:fill="auto"/>
            <w:vAlign w:val="center"/>
          </w:tcPr>
          <w:p w14:paraId="4B552625">
            <w:pPr>
              <w:spacing w:line="360" w:lineRule="exact"/>
              <w:jc w:val="center"/>
              <w:rPr>
                <w:rFonts w:hint="default" w:ascii="宋体" w:cs="宋体"/>
                <w:color w:val="auto"/>
                <w:sz w:val="24"/>
                <w:szCs w:val="24"/>
                <w:highlight w:val="none"/>
                <w:lang w:val="en-US" w:eastAsia="zh-CN"/>
              </w:rPr>
            </w:pPr>
            <w:r>
              <w:rPr>
                <w:rFonts w:hint="eastAsia" w:ascii="宋体" w:cs="宋体"/>
                <w:color w:val="auto"/>
                <w:sz w:val="24"/>
                <w:szCs w:val="24"/>
                <w:highlight w:val="none"/>
                <w:lang w:val="en-US" w:eastAsia="zh-CN"/>
              </w:rPr>
              <w:t>2</w:t>
            </w:r>
          </w:p>
        </w:tc>
        <w:tc>
          <w:tcPr>
            <w:tcW w:w="1155" w:type="dxa"/>
            <w:shd w:val="clear" w:color="auto" w:fill="auto"/>
            <w:vAlign w:val="center"/>
          </w:tcPr>
          <w:p w14:paraId="3C4FF93C">
            <w:pPr>
              <w:spacing w:line="360" w:lineRule="exact"/>
              <w:jc w:val="center"/>
              <w:rPr>
                <w:rFonts w:hint="eastAsia" w:ascii="宋体" w:cs="宋体"/>
                <w:color w:val="auto"/>
                <w:sz w:val="24"/>
                <w:szCs w:val="24"/>
                <w:highlight w:val="none"/>
                <w:lang w:val="en-US" w:eastAsia="zh-CN"/>
              </w:rPr>
            </w:pPr>
            <w:r>
              <w:rPr>
                <w:rFonts w:hint="eastAsia" w:ascii="宋体" w:cs="宋体"/>
                <w:color w:val="auto"/>
                <w:sz w:val="24"/>
                <w:szCs w:val="24"/>
                <w:highlight w:val="none"/>
                <w:lang w:val="en-US" w:eastAsia="zh-CN"/>
              </w:rPr>
              <w:t>客观分</w:t>
            </w:r>
          </w:p>
        </w:tc>
      </w:tr>
      <w:tr w14:paraId="5497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5" w:type="dxa"/>
            <w:vMerge w:val="continue"/>
            <w:vAlign w:val="center"/>
          </w:tcPr>
          <w:p w14:paraId="075DA3DC">
            <w:pPr>
              <w:spacing w:line="360" w:lineRule="exact"/>
              <w:jc w:val="center"/>
              <w:rPr>
                <w:rFonts w:hint="eastAsia" w:ascii="宋体" w:hAnsi="宋体"/>
                <w:b/>
                <w:bCs/>
                <w:color w:val="auto"/>
                <w:sz w:val="24"/>
                <w:szCs w:val="24"/>
                <w:highlight w:val="none"/>
              </w:rPr>
            </w:pPr>
          </w:p>
        </w:tc>
        <w:tc>
          <w:tcPr>
            <w:tcW w:w="1523" w:type="dxa"/>
            <w:shd w:val="clear" w:color="auto" w:fill="auto"/>
            <w:vAlign w:val="center"/>
          </w:tcPr>
          <w:p w14:paraId="2DBFF2DB">
            <w:pPr>
              <w:spacing w:line="360" w:lineRule="exact"/>
              <w:jc w:val="center"/>
              <w:rPr>
                <w:rFonts w:hint="eastAsia" w:ascii="宋体" w:hAnsi="Times New Roman" w:eastAsia="宋体" w:cs="宋体"/>
                <w:b/>
                <w:bCs/>
                <w:color w:val="auto"/>
                <w:sz w:val="24"/>
                <w:szCs w:val="24"/>
                <w:highlight w:val="none"/>
                <w:lang w:val="en-US" w:eastAsia="zh-CN"/>
              </w:rPr>
            </w:pPr>
            <w:r>
              <w:rPr>
                <w:rFonts w:hint="eastAsia" w:ascii="宋体" w:hAnsi="Times New Roman" w:eastAsia="宋体" w:cs="宋体"/>
                <w:b/>
                <w:bCs/>
                <w:color w:val="auto"/>
                <w:sz w:val="24"/>
                <w:szCs w:val="24"/>
                <w:highlight w:val="none"/>
                <w:lang w:val="en-US" w:eastAsia="zh-CN"/>
              </w:rPr>
              <w:t>系统演示</w:t>
            </w:r>
          </w:p>
        </w:tc>
        <w:tc>
          <w:tcPr>
            <w:tcW w:w="6160" w:type="dxa"/>
            <w:shd w:val="clear" w:color="auto" w:fill="auto"/>
            <w:vAlign w:val="center"/>
          </w:tcPr>
          <w:p w14:paraId="5CBB6158">
            <w:pPr>
              <w:numPr>
                <w:ilvl w:val="0"/>
                <w:numId w:val="0"/>
              </w:numPr>
              <w:spacing w:line="360" w:lineRule="auto"/>
              <w:ind w:left="0" w:leftChars="0" w:firstLine="0" w:firstLineChars="0"/>
              <w:rPr>
                <w:rFonts w:hint="eastAsia" w:ascii="宋体" w:hAnsi="宋体" w:eastAsia="宋体" w:cs="Times New Roman"/>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投标人针对以下模块的功能点进行讲解演示，根据讲解演示内容的完整性进行评审，每提供一项演示内</w:t>
            </w:r>
            <w:r>
              <w:rPr>
                <w:rFonts w:hint="eastAsia" w:ascii="宋体" w:hAnsi="宋体" w:eastAsia="宋体" w:cs="Times New Roman"/>
                <w:b w:val="0"/>
                <w:bCs w:val="0"/>
                <w:color w:val="auto"/>
                <w:sz w:val="24"/>
                <w:szCs w:val="24"/>
                <w:highlight w:val="none"/>
                <w:lang w:val="en-US" w:eastAsia="zh-CN"/>
              </w:rPr>
              <w:t>容且演示内容完整、清晰的得3分，每提供一项演示内容但演示内容不够完整、不够清晰的得1分：</w:t>
            </w:r>
          </w:p>
          <w:p w14:paraId="4FE9C39F">
            <w:pPr>
              <w:numPr>
                <w:ilvl w:val="0"/>
                <w:numId w:val="0"/>
              </w:numPr>
              <w:spacing w:line="360" w:lineRule="auto"/>
              <w:ind w:left="0" w:leftChars="0" w:firstLine="0" w:firstLineChars="0"/>
              <w:rPr>
                <w:rFonts w:hint="eastAsia" w:ascii="宋体" w:hAnsi="宋体" w:eastAsia="宋体" w:cs="Times New Roman"/>
                <w:b w:val="0"/>
                <w:bCs w:val="0"/>
                <w:color w:val="auto"/>
                <w:sz w:val="24"/>
                <w:szCs w:val="24"/>
                <w:highlight w:val="none"/>
                <w:lang w:val="en-US" w:eastAsia="zh-CN"/>
              </w:rPr>
            </w:pPr>
            <w:r>
              <w:rPr>
                <w:rFonts w:hint="eastAsia" w:ascii="宋体" w:hAnsi="宋体" w:eastAsia="宋体" w:cs="Times New Roman"/>
                <w:b w:val="0"/>
                <w:bCs w:val="0"/>
                <w:color w:val="auto"/>
                <w:sz w:val="24"/>
                <w:szCs w:val="24"/>
                <w:highlight w:val="none"/>
                <w:lang w:val="en-US" w:eastAsia="zh-CN"/>
              </w:rPr>
              <w:t>1、监室相机点位功能配置：后台服务器分析软件支持配置相机点位功能以及查看已配置的功能信息。</w:t>
            </w:r>
          </w:p>
          <w:p w14:paraId="158E5E19">
            <w:pPr>
              <w:numPr>
                <w:ilvl w:val="0"/>
                <w:numId w:val="0"/>
              </w:numPr>
              <w:spacing w:line="360" w:lineRule="auto"/>
              <w:ind w:left="0" w:leftChars="0" w:firstLine="0" w:firstLineChars="0"/>
              <w:rPr>
                <w:rFonts w:hint="eastAsia" w:ascii="宋体" w:hAnsi="宋体" w:eastAsia="宋体" w:cs="Times New Roman"/>
                <w:b w:val="0"/>
                <w:bCs w:val="0"/>
                <w:color w:val="auto"/>
                <w:sz w:val="24"/>
                <w:szCs w:val="24"/>
                <w:highlight w:val="none"/>
                <w:lang w:val="en-US" w:eastAsia="zh-CN"/>
              </w:rPr>
            </w:pPr>
            <w:r>
              <w:rPr>
                <w:rFonts w:hint="eastAsia" w:ascii="宋体" w:hAnsi="宋体" w:eastAsia="宋体" w:cs="Times New Roman"/>
                <w:b w:val="0"/>
                <w:bCs w:val="0"/>
                <w:color w:val="auto"/>
                <w:sz w:val="24"/>
                <w:szCs w:val="24"/>
                <w:highlight w:val="none"/>
                <w:lang w:val="en-US" w:eastAsia="zh-CN"/>
              </w:rPr>
              <w:t>2、监室AI检测功能（模拟环境）：单人滞留、攀高检测、安全轮值、民警进监、夜间进监、戒具滞留等。</w:t>
            </w:r>
          </w:p>
          <w:p w14:paraId="11F23C60">
            <w:pPr>
              <w:numPr>
                <w:ilvl w:val="0"/>
                <w:numId w:val="0"/>
              </w:numPr>
              <w:spacing w:line="360" w:lineRule="auto"/>
              <w:ind w:left="0" w:leftChars="0" w:firstLine="0" w:firstLineChars="0"/>
              <w:rPr>
                <w:rFonts w:hint="eastAsia" w:ascii="宋体" w:hAnsi="宋体" w:eastAsia="宋体" w:cs="Times New Roman"/>
                <w:b w:val="0"/>
                <w:bCs w:val="0"/>
                <w:color w:val="auto"/>
                <w:sz w:val="24"/>
                <w:szCs w:val="24"/>
                <w:highlight w:val="none"/>
                <w:lang w:val="en-US" w:eastAsia="zh-CN"/>
              </w:rPr>
            </w:pPr>
            <w:r>
              <w:rPr>
                <w:rFonts w:hint="eastAsia" w:ascii="宋体" w:hAnsi="宋体" w:eastAsia="宋体" w:cs="Times New Roman"/>
                <w:b w:val="0"/>
                <w:bCs w:val="0"/>
                <w:color w:val="auto"/>
                <w:sz w:val="24"/>
                <w:szCs w:val="24"/>
                <w:highlight w:val="none"/>
                <w:lang w:val="en-US" w:eastAsia="zh-CN"/>
              </w:rPr>
              <w:t>3、报警信息显示与查询：网页平台包含看板页面，显示当日预警信息和本月预警信息，可以根据关键词查询对应的报警信息。报警信息包含报警类型、时间以及图片信息。注：（1）在评标时安排每个投标人进行方案讲解演示。每个投标人演示时间不超过15分钟，演示次序以投标文件解密时间先后次序为准，未进行演示的不得分。</w:t>
            </w:r>
          </w:p>
          <w:p w14:paraId="44960BAE">
            <w:pPr>
              <w:numPr>
                <w:ilvl w:val="0"/>
                <w:numId w:val="0"/>
              </w:numPr>
              <w:spacing w:line="360" w:lineRule="auto"/>
              <w:ind w:left="0" w:leftChars="0" w:firstLine="0" w:firstLineChars="0"/>
              <w:rPr>
                <w:rFonts w:hint="eastAsia" w:ascii="宋体" w:hAnsi="宋体" w:eastAsia="宋体" w:cs="Times New Roman"/>
                <w:b w:val="0"/>
                <w:bCs w:val="0"/>
                <w:color w:val="auto"/>
                <w:sz w:val="24"/>
                <w:szCs w:val="24"/>
                <w:highlight w:val="none"/>
                <w:lang w:val="en-US" w:eastAsia="zh-CN"/>
              </w:rPr>
            </w:pPr>
            <w:r>
              <w:rPr>
                <w:rFonts w:hint="eastAsia" w:ascii="宋体" w:hAnsi="宋体" w:eastAsia="宋体" w:cs="Times New Roman"/>
                <w:b w:val="0"/>
                <w:bCs w:val="0"/>
                <w:color w:val="auto"/>
                <w:sz w:val="24"/>
                <w:szCs w:val="24"/>
                <w:highlight w:val="none"/>
                <w:lang w:val="en-US" w:eastAsia="zh-CN"/>
              </w:rPr>
              <w:t>（2）方案讲解演示方式：</w:t>
            </w:r>
          </w:p>
          <w:p w14:paraId="352AB9FD">
            <w:pPr>
              <w:numPr>
                <w:ilvl w:val="0"/>
                <w:numId w:val="0"/>
              </w:numPr>
              <w:spacing w:line="360" w:lineRule="auto"/>
              <w:ind w:left="0" w:leftChars="0" w:firstLine="0" w:firstLineChars="0"/>
              <w:rPr>
                <w:rFonts w:hint="eastAsia" w:ascii="宋体" w:hAnsi="宋体"/>
                <w:b w:val="0"/>
                <w:bCs w:val="0"/>
                <w:color w:val="auto"/>
                <w:sz w:val="24"/>
                <w:szCs w:val="24"/>
                <w:highlight w:val="none"/>
                <w:lang w:val="en-US" w:eastAsia="zh-CN"/>
              </w:rPr>
            </w:pPr>
            <w:r>
              <w:rPr>
                <w:rFonts w:hint="eastAsia" w:ascii="宋体" w:hAnsi="宋体" w:eastAsia="宋体" w:cs="Times New Roman"/>
                <w:b w:val="0"/>
                <w:bCs w:val="0"/>
                <w:color w:val="auto"/>
                <w:sz w:val="24"/>
                <w:szCs w:val="24"/>
                <w:highlight w:val="none"/>
                <w:lang w:val="en-US" w:eastAsia="zh-CN"/>
              </w:rPr>
              <w:t>录制演示内容。录制的演示内容需以U盘形式单独密封包装，送达时间及地址同备份投标文件送达时间和地点。</w:t>
            </w:r>
          </w:p>
        </w:tc>
        <w:tc>
          <w:tcPr>
            <w:tcW w:w="764" w:type="dxa"/>
            <w:shd w:val="clear" w:color="auto" w:fill="auto"/>
            <w:vAlign w:val="center"/>
          </w:tcPr>
          <w:p w14:paraId="532DC3BE">
            <w:pPr>
              <w:spacing w:line="360" w:lineRule="exact"/>
              <w:jc w:val="center"/>
              <w:rPr>
                <w:rFonts w:hint="default" w:ascii="宋体" w:cs="宋体"/>
                <w:color w:val="auto"/>
                <w:sz w:val="24"/>
                <w:szCs w:val="24"/>
                <w:highlight w:val="none"/>
                <w:lang w:val="en-US" w:eastAsia="zh-CN"/>
              </w:rPr>
            </w:pPr>
            <w:r>
              <w:rPr>
                <w:rFonts w:hint="eastAsia" w:ascii="宋体" w:cs="宋体"/>
                <w:color w:val="auto"/>
                <w:sz w:val="24"/>
                <w:szCs w:val="24"/>
                <w:highlight w:val="none"/>
                <w:lang w:val="en-US" w:eastAsia="zh-CN"/>
              </w:rPr>
              <w:t>9</w:t>
            </w:r>
          </w:p>
        </w:tc>
        <w:tc>
          <w:tcPr>
            <w:tcW w:w="1155" w:type="dxa"/>
            <w:shd w:val="clear" w:color="auto" w:fill="auto"/>
            <w:vAlign w:val="center"/>
          </w:tcPr>
          <w:p w14:paraId="453F641A">
            <w:pPr>
              <w:spacing w:line="360" w:lineRule="exact"/>
              <w:jc w:val="center"/>
              <w:rPr>
                <w:rFonts w:hint="default" w:ascii="宋体" w:cs="宋体"/>
                <w:color w:val="auto"/>
                <w:sz w:val="24"/>
                <w:szCs w:val="24"/>
                <w:highlight w:val="none"/>
                <w:lang w:val="en-US" w:eastAsia="zh-CN"/>
              </w:rPr>
            </w:pPr>
            <w:r>
              <w:rPr>
                <w:rFonts w:hint="eastAsia" w:ascii="宋体" w:cs="宋体"/>
                <w:color w:val="auto"/>
                <w:sz w:val="24"/>
                <w:szCs w:val="24"/>
                <w:highlight w:val="none"/>
                <w:lang w:val="en-US" w:eastAsia="zh-CN"/>
              </w:rPr>
              <w:t>主观分</w:t>
            </w:r>
          </w:p>
        </w:tc>
      </w:tr>
      <w:tr w14:paraId="2D5B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5" w:type="dxa"/>
            <w:vMerge w:val="continue"/>
            <w:vAlign w:val="center"/>
          </w:tcPr>
          <w:p w14:paraId="70E32B80">
            <w:pPr>
              <w:spacing w:line="360" w:lineRule="exact"/>
              <w:jc w:val="center"/>
              <w:rPr>
                <w:rFonts w:hint="eastAsia" w:ascii="宋体" w:hAnsi="宋体"/>
                <w:b/>
                <w:bCs/>
                <w:color w:val="auto"/>
                <w:sz w:val="24"/>
                <w:szCs w:val="24"/>
                <w:highlight w:val="none"/>
              </w:rPr>
            </w:pPr>
          </w:p>
        </w:tc>
        <w:tc>
          <w:tcPr>
            <w:tcW w:w="1523" w:type="dxa"/>
            <w:shd w:val="clear" w:color="auto" w:fill="auto"/>
            <w:vAlign w:val="center"/>
          </w:tcPr>
          <w:p w14:paraId="5485271F">
            <w:pPr>
              <w:spacing w:line="360" w:lineRule="exact"/>
              <w:jc w:val="center"/>
              <w:rPr>
                <w:rFonts w:hint="eastAsia" w:ascii="宋体" w:hAnsi="Times New Roman" w:eastAsia="宋体" w:cs="宋体"/>
                <w:b/>
                <w:bCs/>
                <w:color w:val="auto"/>
                <w:sz w:val="24"/>
                <w:szCs w:val="24"/>
                <w:highlight w:val="none"/>
                <w:lang w:val="en-US" w:eastAsia="zh-CN"/>
              </w:rPr>
            </w:pPr>
            <w:r>
              <w:rPr>
                <w:rFonts w:hint="eastAsia" w:ascii="宋体" w:hAnsi="Times New Roman" w:eastAsia="宋体" w:cs="宋体"/>
                <w:b/>
                <w:bCs/>
                <w:color w:val="auto"/>
                <w:sz w:val="24"/>
                <w:szCs w:val="24"/>
                <w:highlight w:val="none"/>
                <w:lang w:val="en-US" w:eastAsia="zh-CN"/>
              </w:rPr>
              <w:t>政府采购政策加分</w:t>
            </w:r>
          </w:p>
        </w:tc>
        <w:tc>
          <w:tcPr>
            <w:tcW w:w="6160" w:type="dxa"/>
            <w:shd w:val="clear" w:color="auto" w:fill="auto"/>
            <w:vAlign w:val="center"/>
          </w:tcPr>
          <w:p w14:paraId="6F5FFAB2">
            <w:pPr>
              <w:spacing w:line="360" w:lineRule="auto"/>
              <w:rPr>
                <w:rFonts w:hint="eastAsia" w:ascii="宋体" w:cs="宋体"/>
                <w:b w:val="0"/>
                <w:bCs w:val="0"/>
                <w:color w:val="auto"/>
                <w:sz w:val="24"/>
                <w:szCs w:val="24"/>
                <w:highlight w:val="none"/>
                <w:lang w:val="en-US" w:eastAsia="zh-CN"/>
              </w:rPr>
            </w:pPr>
            <w:r>
              <w:rPr>
                <w:rFonts w:hint="eastAsia" w:ascii="宋体" w:cs="宋体"/>
                <w:b w:val="0"/>
                <w:bCs w:val="0"/>
                <w:color w:val="auto"/>
                <w:sz w:val="24"/>
                <w:szCs w:val="24"/>
                <w:highlight w:val="none"/>
                <w:lang w:val="en-US" w:eastAsia="zh-CN"/>
              </w:rPr>
              <w:t>投标产品属于《节能产品政府采购品目清单》范围的且具有国家确定的认证机构出具的、处于有效期之内的节能产品认证证书的得0.5分；投标产品属于《环境标志产品政府采购品目清单》范围的且具有国家确定的认证机构出具的、处于有效期之内的环境标志产品认证证书的得0.5分。</w:t>
            </w:r>
          </w:p>
          <w:p w14:paraId="6A9D440D">
            <w:pPr>
              <w:spacing w:line="360" w:lineRule="auto"/>
              <w:rPr>
                <w:rFonts w:hint="eastAsia" w:ascii="宋体" w:hAnsi="Times New Roman" w:eastAsia="宋体" w:cs="宋体"/>
                <w:b w:val="0"/>
                <w:bCs w:val="0"/>
                <w:color w:val="auto"/>
                <w:kern w:val="2"/>
                <w:sz w:val="24"/>
                <w:szCs w:val="24"/>
                <w:highlight w:val="none"/>
                <w:lang w:val="en-US" w:eastAsia="zh-CN" w:bidi="ar-SA"/>
              </w:rPr>
            </w:pPr>
            <w:r>
              <w:rPr>
                <w:rFonts w:hint="eastAsia" w:ascii="宋体" w:cs="宋体"/>
                <w:b w:val="0"/>
                <w:bCs w:val="0"/>
                <w:color w:val="auto"/>
                <w:sz w:val="24"/>
                <w:szCs w:val="24"/>
                <w:highlight w:val="none"/>
                <w:lang w:val="en-US" w:eastAsia="zh-CN"/>
              </w:rPr>
              <w:t>注：投标文件中必须同时提供以下资料：①提供政府采购品目清单相关内容页（并对相关内容作圈记），采购品目清单详见《关于印发环境标志产品政府采购品目清单的通知》（财库〔2019〕18号）和《关于印发节能产品政府采购品目清单的通知》（财库〔2019〕19号）。②《市场监管总局关于发布参与实施政府采购节能产品、环境标志产品认证机构名录的公告》中的认证机构出具的、处于有效期之内的节能产品/环境标志产品认证证书复印件并加盖公章。</w:t>
            </w:r>
          </w:p>
        </w:tc>
        <w:tc>
          <w:tcPr>
            <w:tcW w:w="764" w:type="dxa"/>
            <w:shd w:val="clear" w:color="auto" w:fill="auto"/>
            <w:vAlign w:val="center"/>
          </w:tcPr>
          <w:p w14:paraId="141D41E2">
            <w:pPr>
              <w:spacing w:line="360" w:lineRule="exact"/>
              <w:jc w:val="center"/>
              <w:rPr>
                <w:rFonts w:hint="default" w:ascii="宋体" w:cs="宋体"/>
                <w:color w:val="auto"/>
                <w:sz w:val="24"/>
                <w:szCs w:val="24"/>
                <w:highlight w:val="none"/>
                <w:lang w:val="en-US" w:eastAsia="zh-CN"/>
              </w:rPr>
            </w:pPr>
            <w:r>
              <w:rPr>
                <w:rFonts w:hint="eastAsia" w:ascii="宋体" w:cs="宋体"/>
                <w:color w:val="auto"/>
                <w:sz w:val="24"/>
                <w:szCs w:val="24"/>
                <w:highlight w:val="none"/>
                <w:lang w:val="en-US" w:eastAsia="zh-CN"/>
              </w:rPr>
              <w:t>1</w:t>
            </w:r>
          </w:p>
        </w:tc>
        <w:tc>
          <w:tcPr>
            <w:tcW w:w="1155" w:type="dxa"/>
            <w:shd w:val="clear" w:color="auto" w:fill="auto"/>
            <w:vAlign w:val="center"/>
          </w:tcPr>
          <w:p w14:paraId="5DB33A29">
            <w:pPr>
              <w:spacing w:line="360" w:lineRule="exact"/>
              <w:jc w:val="center"/>
              <w:rPr>
                <w:rFonts w:hint="eastAsia" w:ascii="宋体" w:cs="宋体"/>
                <w:color w:val="auto"/>
                <w:sz w:val="24"/>
                <w:szCs w:val="24"/>
                <w:highlight w:val="none"/>
                <w:lang w:val="en-US" w:eastAsia="zh-CN"/>
              </w:rPr>
            </w:pPr>
            <w:r>
              <w:rPr>
                <w:rFonts w:hint="eastAsia" w:ascii="宋体" w:cs="宋体"/>
                <w:color w:val="auto"/>
                <w:sz w:val="24"/>
                <w:szCs w:val="24"/>
                <w:highlight w:val="none"/>
                <w:lang w:val="en-US" w:eastAsia="zh-CN"/>
              </w:rPr>
              <w:t>客观分</w:t>
            </w:r>
          </w:p>
        </w:tc>
      </w:tr>
      <w:tr w14:paraId="0430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5" w:type="dxa"/>
            <w:vAlign w:val="center"/>
          </w:tcPr>
          <w:p w14:paraId="03F6EC6E">
            <w:pPr>
              <w:spacing w:line="36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价格分</w:t>
            </w:r>
          </w:p>
          <w:p w14:paraId="6811B36B">
            <w:pPr>
              <w:spacing w:line="360" w:lineRule="exact"/>
              <w:jc w:val="center"/>
              <w:rPr>
                <w:rFonts w:ascii="宋体" w:cs="宋体"/>
                <w:color w:val="auto"/>
                <w:sz w:val="24"/>
                <w:szCs w:val="24"/>
                <w:highlight w:val="none"/>
              </w:rPr>
            </w:pPr>
            <w:r>
              <w:rPr>
                <w:rFonts w:hint="eastAsia" w:ascii="宋体" w:hAnsi="宋体" w:cs="宋体"/>
                <w:b/>
                <w:bCs/>
                <w:color w:val="auto"/>
                <w:sz w:val="24"/>
                <w:szCs w:val="24"/>
                <w:highlight w:val="none"/>
                <w:lang w:val="en-US" w:eastAsia="zh-CN"/>
              </w:rPr>
              <w:t>30</w:t>
            </w:r>
            <w:r>
              <w:rPr>
                <w:rFonts w:hint="eastAsia" w:ascii="宋体" w:hAnsi="宋体" w:cs="宋体"/>
                <w:b/>
                <w:bCs/>
                <w:color w:val="auto"/>
                <w:sz w:val="24"/>
                <w:szCs w:val="24"/>
                <w:highlight w:val="none"/>
              </w:rPr>
              <w:t>分</w:t>
            </w:r>
          </w:p>
        </w:tc>
        <w:tc>
          <w:tcPr>
            <w:tcW w:w="7683" w:type="dxa"/>
            <w:gridSpan w:val="2"/>
            <w:vAlign w:val="center"/>
          </w:tcPr>
          <w:p w14:paraId="1D4B4484">
            <w:pPr>
              <w:tabs>
                <w:tab w:val="left" w:pos="0"/>
              </w:tabs>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评标基准价指的是满足招标文件要求且最低的参与评审的价格。</w:t>
            </w:r>
          </w:p>
          <w:p w14:paraId="1EEC5574">
            <w:pPr>
              <w:tabs>
                <w:tab w:val="left" w:pos="0"/>
              </w:tabs>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参与评审的价格=投标报价-小微企业价格扣除优惠值（如有）</w:t>
            </w:r>
          </w:p>
          <w:p w14:paraId="79239D77">
            <w:pPr>
              <w:tabs>
                <w:tab w:val="left" w:pos="0"/>
              </w:tabs>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参与评审的价格为评标基准价的其价格得分得满分</w:t>
            </w:r>
            <w:r>
              <w:rPr>
                <w:rFonts w:hint="eastAsia" w:ascii="宋体"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分。</w:t>
            </w:r>
          </w:p>
          <w:p w14:paraId="0B08AFA2">
            <w:pPr>
              <w:tabs>
                <w:tab w:val="left" w:pos="0"/>
              </w:tabs>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其他投标人价格得分按照下列公式计算：</w:t>
            </w:r>
          </w:p>
          <w:p w14:paraId="3D333111">
            <w:pPr>
              <w:tabs>
                <w:tab w:val="left" w:pos="0"/>
              </w:tabs>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价格得分=（评标基准价/各投标人参与评审的价格）×</w:t>
            </w:r>
            <w:r>
              <w:rPr>
                <w:rFonts w:hint="eastAsia" w:ascii="宋体"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％×100。</w:t>
            </w:r>
          </w:p>
          <w:p w14:paraId="36422DD5">
            <w:pPr>
              <w:tabs>
                <w:tab w:val="left" w:pos="0"/>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投标报价超过对应</w:t>
            </w:r>
            <w:r>
              <w:rPr>
                <w:rFonts w:hint="eastAsia" w:ascii="宋体" w:hAnsi="宋体" w:cs="宋体"/>
                <w:b/>
                <w:bCs/>
                <w:color w:val="auto"/>
                <w:sz w:val="24"/>
                <w:szCs w:val="24"/>
                <w:highlight w:val="none"/>
                <w:lang w:val="en-US" w:eastAsia="zh-CN"/>
              </w:rPr>
              <w:t>采购预算金额</w:t>
            </w:r>
            <w:r>
              <w:rPr>
                <w:rFonts w:hint="eastAsia" w:ascii="宋体" w:hAnsi="宋体" w:eastAsia="宋体" w:cs="宋体"/>
                <w:b/>
                <w:bCs/>
                <w:color w:val="auto"/>
                <w:sz w:val="24"/>
                <w:szCs w:val="24"/>
                <w:highlight w:val="none"/>
              </w:rPr>
              <w:t>的作无效标处理。</w:t>
            </w:r>
          </w:p>
          <w:p w14:paraId="47F7AC4C">
            <w:pPr>
              <w:spacing w:line="360" w:lineRule="auto"/>
              <w:rPr>
                <w:rFonts w:ascii="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价格得分小数点后保留2位小数，第3位小数四舍五入。</w:t>
            </w:r>
          </w:p>
        </w:tc>
        <w:tc>
          <w:tcPr>
            <w:tcW w:w="764" w:type="dxa"/>
            <w:vAlign w:val="center"/>
          </w:tcPr>
          <w:p w14:paraId="1EDF2AC5">
            <w:pPr>
              <w:spacing w:line="360" w:lineRule="exact"/>
              <w:jc w:val="center"/>
              <w:rPr>
                <w:rFonts w:hint="default" w:ascii="宋体" w:eastAsia="宋体" w:cs="宋体"/>
                <w:bCs/>
                <w:color w:val="auto"/>
                <w:sz w:val="24"/>
                <w:szCs w:val="24"/>
                <w:highlight w:val="none"/>
                <w:lang w:val="en-US" w:eastAsia="zh-CN"/>
              </w:rPr>
            </w:pPr>
            <w:r>
              <w:rPr>
                <w:rFonts w:hint="eastAsia" w:ascii="宋体" w:cs="宋体"/>
                <w:bCs/>
                <w:color w:val="auto"/>
                <w:sz w:val="24"/>
                <w:szCs w:val="24"/>
                <w:highlight w:val="none"/>
                <w:lang w:val="en-US" w:eastAsia="zh-CN"/>
              </w:rPr>
              <w:t>30</w:t>
            </w:r>
          </w:p>
        </w:tc>
        <w:tc>
          <w:tcPr>
            <w:tcW w:w="1155" w:type="dxa"/>
            <w:vAlign w:val="center"/>
          </w:tcPr>
          <w:p w14:paraId="0A7B2500">
            <w:pPr>
              <w:spacing w:line="360" w:lineRule="exact"/>
              <w:jc w:val="center"/>
              <w:rPr>
                <w:rFonts w:hint="eastAsia" w:ascii="宋体"/>
                <w:color w:val="auto"/>
                <w:sz w:val="24"/>
                <w:szCs w:val="24"/>
                <w:highlight w:val="none"/>
                <w:lang w:val="en-US" w:eastAsia="zh-CN"/>
              </w:rPr>
            </w:pPr>
            <w:r>
              <w:rPr>
                <w:rFonts w:hint="eastAsia" w:ascii="宋体"/>
                <w:color w:val="auto"/>
                <w:sz w:val="24"/>
                <w:szCs w:val="24"/>
                <w:highlight w:val="none"/>
                <w:lang w:val="en-US" w:eastAsia="zh-CN"/>
              </w:rPr>
              <w:t>客观分</w:t>
            </w:r>
          </w:p>
        </w:tc>
      </w:tr>
      <w:tr w14:paraId="2AC1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8" w:type="dxa"/>
            <w:gridSpan w:val="3"/>
            <w:vAlign w:val="center"/>
          </w:tcPr>
          <w:p w14:paraId="0C3CAC3D">
            <w:pPr>
              <w:spacing w:line="360" w:lineRule="exact"/>
              <w:jc w:val="center"/>
              <w:rPr>
                <w:rFonts w:ascii="宋体"/>
                <w:b/>
                <w:color w:val="auto"/>
                <w:sz w:val="24"/>
                <w:szCs w:val="24"/>
                <w:highlight w:val="none"/>
              </w:rPr>
            </w:pPr>
            <w:r>
              <w:rPr>
                <w:rFonts w:hint="eastAsia" w:ascii="宋体" w:hAnsi="宋体"/>
                <w:b/>
                <w:snapToGrid w:val="0"/>
                <w:color w:val="auto"/>
                <w:sz w:val="24"/>
                <w:szCs w:val="24"/>
                <w:highlight w:val="none"/>
              </w:rPr>
              <w:t>综合得分（</w:t>
            </w:r>
            <w:r>
              <w:rPr>
                <w:rFonts w:ascii="宋体" w:hAnsi="宋体"/>
                <w:b/>
                <w:snapToGrid w:val="0"/>
                <w:color w:val="auto"/>
                <w:sz w:val="24"/>
                <w:szCs w:val="24"/>
                <w:highlight w:val="none"/>
              </w:rPr>
              <w:t>100</w:t>
            </w:r>
            <w:r>
              <w:rPr>
                <w:rFonts w:hint="eastAsia" w:ascii="宋体" w:hAnsi="宋体"/>
                <w:b/>
                <w:snapToGrid w:val="0"/>
                <w:color w:val="auto"/>
                <w:sz w:val="24"/>
                <w:szCs w:val="24"/>
                <w:highlight w:val="none"/>
              </w:rPr>
              <w:t>分）</w:t>
            </w:r>
          </w:p>
        </w:tc>
        <w:tc>
          <w:tcPr>
            <w:tcW w:w="764" w:type="dxa"/>
            <w:vAlign w:val="center"/>
          </w:tcPr>
          <w:p w14:paraId="03EAF55A">
            <w:pPr>
              <w:spacing w:line="360" w:lineRule="exact"/>
              <w:jc w:val="center"/>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100</w:t>
            </w:r>
          </w:p>
        </w:tc>
        <w:tc>
          <w:tcPr>
            <w:tcW w:w="1155" w:type="dxa"/>
            <w:vAlign w:val="center"/>
          </w:tcPr>
          <w:p w14:paraId="68CCA58D">
            <w:pPr>
              <w:spacing w:line="360" w:lineRule="exact"/>
              <w:jc w:val="center"/>
              <w:rPr>
                <w:rFonts w:ascii="宋体" w:hAnsi="宋体"/>
                <w:color w:val="auto"/>
                <w:sz w:val="24"/>
                <w:szCs w:val="24"/>
                <w:highlight w:val="none"/>
              </w:rPr>
            </w:pPr>
          </w:p>
        </w:tc>
      </w:tr>
    </w:tbl>
    <w:p w14:paraId="1FE1CBCF">
      <w:pPr>
        <w:snapToGrid w:val="0"/>
        <w:spacing w:line="240" w:lineRule="auto"/>
        <w:rPr>
          <w:rFonts w:hint="eastAsia" w:ascii="宋体" w:hAnsi="宋体" w:cs="宋体"/>
          <w:color w:val="auto"/>
          <w:sz w:val="21"/>
          <w:szCs w:val="21"/>
          <w:highlight w:val="none"/>
        </w:rPr>
      </w:pPr>
      <w:r>
        <w:rPr>
          <w:rFonts w:hint="eastAsia" w:ascii="宋体" w:hAnsi="宋体" w:cs="宋体"/>
          <w:b/>
          <w:bCs w:val="0"/>
          <w:color w:val="auto"/>
          <w:sz w:val="21"/>
          <w:szCs w:val="21"/>
          <w:highlight w:val="none"/>
        </w:rPr>
        <w:t>备注：</w:t>
      </w:r>
      <w:r>
        <w:rPr>
          <w:rFonts w:hint="eastAsia" w:ascii="宋体" w:hAnsi="宋体" w:cs="宋体"/>
          <w:b/>
          <w:bCs w:val="0"/>
          <w:color w:val="auto"/>
          <w:sz w:val="21"/>
          <w:szCs w:val="21"/>
          <w:highlight w:val="none"/>
          <w:lang w:eastAsia="zh-CN"/>
        </w:rPr>
        <w:t>（</w:t>
      </w:r>
      <w:r>
        <w:rPr>
          <w:rFonts w:hint="eastAsia" w:ascii="宋体" w:hAnsi="宋体" w:cs="宋体"/>
          <w:b/>
          <w:bCs w:val="0"/>
          <w:color w:val="auto"/>
          <w:sz w:val="21"/>
          <w:szCs w:val="21"/>
          <w:highlight w:val="none"/>
          <w:lang w:val="en-US" w:eastAsia="zh-CN"/>
        </w:rPr>
        <w:t>1）</w:t>
      </w:r>
      <w:r>
        <w:rPr>
          <w:rFonts w:hint="eastAsia" w:ascii="宋体" w:hAnsi="宋体" w:cs="宋体"/>
          <w:b/>
          <w:bCs w:val="0"/>
          <w:color w:val="auto"/>
          <w:sz w:val="21"/>
          <w:szCs w:val="21"/>
          <w:highlight w:val="none"/>
        </w:rPr>
        <w:t>投标人编制投标文件（商务技术文件部分）时，建议按此目录（序号和</w:t>
      </w:r>
      <w:r>
        <w:rPr>
          <w:rFonts w:hint="eastAsia" w:ascii="宋体" w:hAnsi="宋体" w:eastAsia="宋体" w:cs="宋体"/>
          <w:b/>
          <w:bCs w:val="0"/>
          <w:color w:val="auto"/>
          <w:sz w:val="21"/>
          <w:szCs w:val="21"/>
          <w:highlight w:val="none"/>
        </w:rPr>
        <w:t>内容）提供评标标准相应的商务技术资料。</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 xml:space="preserve">评委在上表设定的分值范围内打分(四舍五入保留两位小数)，平均分值计算四舍五入保留两位小数点。 </w:t>
      </w:r>
      <w:r>
        <w:rPr>
          <w:rFonts w:hint="eastAsia" w:ascii="宋体" w:hAnsi="宋体" w:cs="宋体"/>
          <w:color w:val="auto"/>
          <w:sz w:val="21"/>
          <w:szCs w:val="21"/>
          <w:highlight w:val="none"/>
        </w:rPr>
        <w:t> </w:t>
      </w:r>
    </w:p>
    <w:p w14:paraId="4F27032F">
      <w:pPr>
        <w:rPr>
          <w:rFonts w:hint="eastAsia" w:ascii="宋体" w:hAnsi="宋体" w:eastAsia="宋体" w:cs="宋体"/>
          <w:b/>
          <w:color w:val="auto"/>
          <w:sz w:val="24"/>
          <w:szCs w:val="24"/>
          <w:highlight w:val="none"/>
          <w:lang w:val="en-US" w:eastAsia="zh-CN"/>
        </w:rPr>
      </w:pPr>
      <w:bookmarkStart w:id="435" w:name="_Toc22860"/>
      <w:r>
        <w:rPr>
          <w:rFonts w:hint="eastAsia" w:ascii="宋体" w:hAnsi="宋体" w:eastAsia="宋体" w:cs="宋体"/>
          <w:b/>
          <w:color w:val="auto"/>
          <w:sz w:val="24"/>
          <w:szCs w:val="24"/>
          <w:highlight w:val="none"/>
          <w:lang w:val="en-US" w:eastAsia="zh-CN"/>
        </w:rPr>
        <w:br w:type="page"/>
      </w:r>
    </w:p>
    <w:p w14:paraId="436BC0DD">
      <w:pPr>
        <w:spacing w:line="360" w:lineRule="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一、评标方法</w:t>
      </w:r>
      <w:bookmarkEnd w:id="435"/>
    </w:p>
    <w:p w14:paraId="7AFA51D3">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CE95F0D">
      <w:pPr>
        <w:spacing w:line="360" w:lineRule="auto"/>
        <w:outlineLvl w:val="1"/>
        <w:rPr>
          <w:rFonts w:hint="eastAsia" w:ascii="宋体" w:hAnsi="宋体" w:eastAsia="宋体" w:cs="宋体"/>
          <w:b/>
          <w:color w:val="auto"/>
          <w:sz w:val="24"/>
          <w:szCs w:val="24"/>
          <w:highlight w:val="none"/>
          <w:lang w:val="en-US" w:eastAsia="zh-CN"/>
        </w:rPr>
      </w:pPr>
      <w:bookmarkStart w:id="436" w:name="_Toc29389"/>
      <w:r>
        <w:rPr>
          <w:rFonts w:hint="eastAsia" w:ascii="宋体" w:hAnsi="宋体" w:eastAsia="宋体" w:cs="宋体"/>
          <w:b/>
          <w:color w:val="auto"/>
          <w:sz w:val="24"/>
          <w:szCs w:val="24"/>
          <w:highlight w:val="none"/>
          <w:lang w:val="en-US" w:eastAsia="zh-CN"/>
        </w:rPr>
        <w:t>二、评标标准</w:t>
      </w:r>
      <w:bookmarkEnd w:id="436"/>
    </w:p>
    <w:p w14:paraId="717E4D60">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06B219C">
      <w:pPr>
        <w:spacing w:line="360" w:lineRule="auto"/>
        <w:outlineLvl w:val="1"/>
        <w:rPr>
          <w:rFonts w:hint="eastAsia" w:ascii="宋体" w:hAnsi="宋体" w:eastAsia="宋体" w:cs="宋体"/>
          <w:b/>
          <w:color w:val="auto"/>
          <w:sz w:val="24"/>
          <w:szCs w:val="24"/>
          <w:highlight w:val="none"/>
          <w:lang w:val="en-US" w:eastAsia="zh-CN"/>
        </w:rPr>
      </w:pPr>
      <w:bookmarkStart w:id="437" w:name="_Toc1306"/>
      <w:r>
        <w:rPr>
          <w:rFonts w:hint="eastAsia" w:ascii="宋体" w:hAnsi="宋体" w:eastAsia="宋体" w:cs="宋体"/>
          <w:b/>
          <w:color w:val="auto"/>
          <w:sz w:val="24"/>
          <w:szCs w:val="24"/>
          <w:highlight w:val="none"/>
          <w:lang w:val="en-US" w:eastAsia="zh-CN"/>
        </w:rPr>
        <w:t>三、评标程序</w:t>
      </w:r>
      <w:bookmarkEnd w:id="437"/>
    </w:p>
    <w:p w14:paraId="3BB01A2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DFBEB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5B58CC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406EAF3">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71C2AC4">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5D5D950">
      <w:pPr>
        <w:pStyle w:val="133"/>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14:paraId="5CC91DAB">
      <w:pPr>
        <w:pStyle w:val="133"/>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7E7810CC">
      <w:pPr>
        <w:pStyle w:val="133"/>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04EA552F">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E871CAD">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E64579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C94341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C23718A">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1EB57EFA">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AC4858E">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r>
        <w:rPr>
          <w:rFonts w:hint="eastAsia" w:ascii="宋体" w:hAnsi="宋体" w:cs="宋体"/>
          <w:b/>
          <w:bCs/>
          <w:color w:val="auto"/>
          <w:kern w:val="0"/>
          <w:sz w:val="24"/>
          <w:highlight w:val="none"/>
        </w:rPr>
        <w:t>中标候选人数量：</w:t>
      </w:r>
      <w:r>
        <w:rPr>
          <w:rFonts w:hint="eastAsia" w:ascii="宋体" w:hAnsi="宋体" w:cs="宋体"/>
          <w:color w:val="auto"/>
          <w:kern w:val="0"/>
          <w:sz w:val="24"/>
          <w:highlight w:val="none"/>
        </w:rPr>
        <w:t>有效投标供应商数量等于3家时，中标候选人数量为1家；有效投标供应商数量等于4家时，中标候选人数量为2家；有效投标供应商数量大于等于5家时，中标候选人数量为3家。</w:t>
      </w:r>
    </w:p>
    <w:p w14:paraId="15FC3748">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CC7AEF3">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28DB3A3">
      <w:pPr>
        <w:spacing w:line="360" w:lineRule="auto"/>
        <w:outlineLvl w:val="1"/>
        <w:rPr>
          <w:rFonts w:hint="eastAsia" w:ascii="宋体" w:hAnsi="宋体" w:eastAsia="宋体" w:cs="宋体"/>
          <w:b/>
          <w:color w:val="auto"/>
          <w:sz w:val="24"/>
          <w:szCs w:val="24"/>
          <w:highlight w:val="none"/>
        </w:rPr>
      </w:pPr>
      <w:bookmarkStart w:id="438" w:name="_Toc29108"/>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评标中的其他事项</w:t>
      </w:r>
      <w:bookmarkEnd w:id="438"/>
    </w:p>
    <w:p w14:paraId="2360EE6F">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w:t>
      </w:r>
      <w:r>
        <w:rPr>
          <w:rFonts w:hint="eastAsia" w:ascii="宋体" w:hAnsi="宋体" w:cs="宋体"/>
          <w:color w:val="auto"/>
          <w:kern w:val="0"/>
          <w:szCs w:val="24"/>
          <w:highlight w:val="none"/>
          <w:lang w:val="en-US" w:eastAsia="zh-CN"/>
        </w:rPr>
        <w:t>章</w:t>
      </w:r>
      <w:r>
        <w:rPr>
          <w:rFonts w:hint="eastAsia" w:ascii="宋体" w:hAnsi="宋体" w:cs="宋体"/>
          <w:color w:val="auto"/>
          <w:kern w:val="0"/>
          <w:szCs w:val="24"/>
          <w:highlight w:val="none"/>
        </w:rPr>
        <w:t>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D8A6D4E">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6D7189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03EC75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087E47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投标文件含有采购人不能接受的附加条件的；</w:t>
      </w:r>
    </w:p>
    <w:p w14:paraId="2B95903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投标文件中承诺的投标有效期少于招标文件中载明的投标有效期的；</w:t>
      </w:r>
    </w:p>
    <w:p w14:paraId="64739F30">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   4.2.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投标文件出现不是唯一的、有选择性投标报价的</w:t>
      </w:r>
      <w:r>
        <w:rPr>
          <w:rFonts w:hint="eastAsia" w:ascii="宋体" w:hAnsi="宋体" w:cs="宋体"/>
          <w:color w:val="auto"/>
          <w:kern w:val="0"/>
          <w:sz w:val="24"/>
          <w:highlight w:val="none"/>
          <w:lang w:eastAsia="zh-CN"/>
        </w:rPr>
        <w:t>；</w:t>
      </w:r>
    </w:p>
    <w:p w14:paraId="3E449BA1">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投标报价超过招标文件中规定的预算金额或者最高限价的</w:t>
      </w:r>
      <w:r>
        <w:rPr>
          <w:rFonts w:hint="eastAsia" w:ascii="宋体" w:hAnsi="宋体" w:cs="宋体"/>
          <w:color w:val="auto"/>
          <w:kern w:val="0"/>
          <w:sz w:val="24"/>
          <w:highlight w:val="none"/>
          <w:lang w:eastAsia="zh-CN"/>
        </w:rPr>
        <w:t>；</w:t>
      </w:r>
    </w:p>
    <w:p w14:paraId="451A89DE">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493306E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7C4F4B3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12822CB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4D365A4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投标人仅提交备份投标文件，未在电子交易平台传输递交投标文件的，投标无效；</w:t>
      </w:r>
    </w:p>
    <w:p w14:paraId="20D965B2">
      <w:pPr>
        <w:pStyle w:val="3"/>
        <w:ind w:left="862" w:leftChars="205"/>
        <w:rPr>
          <w:rFonts w:ascii="宋体" w:hAnsi="宋体" w:eastAsia="宋体" w:cs="宋体"/>
          <w:b w:val="0"/>
          <w:bCs w:val="0"/>
          <w:color w:val="auto"/>
          <w:kern w:val="0"/>
          <w:sz w:val="24"/>
          <w:szCs w:val="24"/>
          <w:highlight w:val="none"/>
          <w:lang w:val="en-US"/>
        </w:rPr>
      </w:pPr>
      <w:bookmarkStart w:id="439" w:name="_Toc16784"/>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rPr>
        <w:t>投标文件不满足招标文件的其它实质性要求的；</w:t>
      </w:r>
      <w:bookmarkEnd w:id="439"/>
    </w:p>
    <w:p w14:paraId="6533191F">
      <w:pPr>
        <w:spacing w:line="360" w:lineRule="auto"/>
        <w:ind w:firstLine="480" w:firstLineChars="200"/>
        <w:rPr>
          <w:rFonts w:hint="eastAsia" w:eastAsia="宋体"/>
          <w:color w:val="auto"/>
          <w:highlight w:val="none"/>
          <w:lang w:val="en-US" w:eastAsia="zh-CN"/>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不同投标人的投标文件出自同一终端设备或在相同Internet主机分配地址（相同IP地址）网上报名投标的作无效标处理</w:t>
      </w:r>
      <w:r>
        <w:rPr>
          <w:rFonts w:hint="eastAsia" w:ascii="宋体" w:hAnsi="宋体" w:cs="宋体"/>
          <w:color w:val="auto"/>
          <w:kern w:val="0"/>
          <w:sz w:val="24"/>
          <w:highlight w:val="none"/>
          <w:lang w:eastAsia="zh-CN"/>
        </w:rPr>
        <w:t>；</w:t>
      </w:r>
    </w:p>
    <w:p w14:paraId="12726CA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62B1EF5C">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8BB9C4D">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2CDAF6D">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5AB2905A">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FEABC26">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7B439A56">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61B534BE">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55C4D6EA">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328E683">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D975A55">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9B3A507">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009F7D4">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A1C8277">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61"/>
    <w:p w14:paraId="196458ED">
      <w:pPr>
        <w:rPr>
          <w:color w:val="auto"/>
          <w:highlight w:val="none"/>
        </w:rPr>
      </w:pPr>
      <w:bookmarkStart w:id="440" w:name="第五部分"/>
      <w:bookmarkStart w:id="441" w:name="_Toc86217003"/>
      <w:r>
        <w:rPr>
          <w:color w:val="auto"/>
          <w:highlight w:val="none"/>
        </w:rPr>
        <w:br w:type="page"/>
      </w:r>
    </w:p>
    <w:p w14:paraId="05617FC4">
      <w:pPr>
        <w:rPr>
          <w:color w:val="auto"/>
          <w:highlight w:val="none"/>
        </w:rPr>
      </w:pPr>
    </w:p>
    <w:p w14:paraId="4E0887F5">
      <w:pPr>
        <w:numPr>
          <w:ilvl w:val="0"/>
          <w:numId w:val="4"/>
        </w:numPr>
        <w:spacing w:line="360" w:lineRule="auto"/>
        <w:jc w:val="center"/>
        <w:outlineLvl w:val="0"/>
        <w:rPr>
          <w:rFonts w:hint="eastAsia" w:ascii="宋体" w:hAnsi="宋体" w:cs="宋体"/>
          <w:b/>
          <w:color w:val="auto"/>
          <w:sz w:val="36"/>
          <w:szCs w:val="36"/>
          <w:highlight w:val="none"/>
        </w:rPr>
      </w:pPr>
      <w:bookmarkStart w:id="442" w:name="_Toc20593"/>
      <w:bookmarkStart w:id="443" w:name="_Toc12957"/>
      <w:r>
        <w:rPr>
          <w:rFonts w:hint="eastAsia" w:ascii="宋体" w:hAnsi="宋体" w:cs="宋体"/>
          <w:b/>
          <w:color w:val="auto"/>
          <w:sz w:val="36"/>
          <w:szCs w:val="36"/>
          <w:highlight w:val="none"/>
        </w:rPr>
        <w:t>拟签订的合同文本</w:t>
      </w:r>
      <w:bookmarkEnd w:id="442"/>
      <w:bookmarkEnd w:id="443"/>
    </w:p>
    <w:p w14:paraId="0B9D2E7E">
      <w:pPr>
        <w:spacing w:line="420" w:lineRule="exact"/>
        <w:rPr>
          <w:rFonts w:hint="eastAsia" w:ascii="宋体" w:hAnsi="宋体" w:eastAsia="宋体" w:cs="宋体"/>
          <w:color w:val="auto"/>
          <w:sz w:val="24"/>
          <w:szCs w:val="24"/>
          <w:highlight w:val="none"/>
        </w:rPr>
      </w:pPr>
    </w:p>
    <w:p w14:paraId="3FFB16BD">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BBE93E6">
      <w:pPr>
        <w:spacing w:line="480" w:lineRule="auto"/>
        <w:jc w:val="center"/>
        <w:rPr>
          <w:rFonts w:ascii="宋体" w:hAnsi="宋体" w:cs="宋体"/>
          <w:b/>
          <w:color w:val="auto"/>
          <w:sz w:val="28"/>
          <w:szCs w:val="28"/>
          <w:highlight w:val="none"/>
        </w:rPr>
      </w:pPr>
    </w:p>
    <w:p w14:paraId="500C9941">
      <w:pPr>
        <w:spacing w:line="480" w:lineRule="auto"/>
        <w:jc w:val="center"/>
        <w:rPr>
          <w:rFonts w:ascii="宋体" w:hAnsi="宋体" w:cs="宋体"/>
          <w:b/>
          <w:color w:val="auto"/>
          <w:sz w:val="24"/>
          <w:highlight w:val="none"/>
        </w:rPr>
      </w:pPr>
    </w:p>
    <w:p w14:paraId="25C97904">
      <w:pPr>
        <w:spacing w:line="480" w:lineRule="auto"/>
        <w:jc w:val="center"/>
        <w:rPr>
          <w:rFonts w:ascii="宋体" w:hAnsi="宋体" w:cs="宋体"/>
          <w:b/>
          <w:color w:val="auto"/>
          <w:sz w:val="24"/>
          <w:highlight w:val="none"/>
        </w:rPr>
      </w:pPr>
    </w:p>
    <w:p w14:paraId="77A79F6C">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lang w:eastAsia="zh-CN"/>
        </w:rPr>
        <w:t>镇海区看守所智能化改造项目</w:t>
      </w:r>
      <w:r>
        <w:rPr>
          <w:rFonts w:hint="eastAsia" w:ascii="宋体" w:hAnsi="宋体" w:cs="宋体"/>
          <w:b/>
          <w:color w:val="auto"/>
          <w:sz w:val="36"/>
          <w:szCs w:val="36"/>
          <w:highlight w:val="none"/>
        </w:rPr>
        <w:t>合同</w:t>
      </w:r>
    </w:p>
    <w:p w14:paraId="27D218F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37EEB346">
      <w:pPr>
        <w:pStyle w:val="701"/>
        <w:rPr>
          <w:rFonts w:ascii="宋体" w:hAnsi="宋体" w:cs="宋体"/>
          <w:color w:val="auto"/>
          <w:szCs w:val="24"/>
          <w:highlight w:val="none"/>
        </w:rPr>
      </w:pPr>
    </w:p>
    <w:p w14:paraId="1F3E7A0F">
      <w:pPr>
        <w:pStyle w:val="701"/>
        <w:rPr>
          <w:rFonts w:ascii="宋体" w:hAnsi="宋体" w:cs="宋体"/>
          <w:color w:val="auto"/>
          <w:szCs w:val="24"/>
          <w:highlight w:val="none"/>
        </w:rPr>
      </w:pPr>
    </w:p>
    <w:p w14:paraId="0F5E7899">
      <w:pPr>
        <w:pStyle w:val="701"/>
        <w:jc w:val="center"/>
        <w:rPr>
          <w:rFonts w:ascii="宋体" w:hAnsi="宋体" w:cs="宋体"/>
          <w:color w:val="auto"/>
          <w:szCs w:val="24"/>
          <w:highlight w:val="none"/>
        </w:rPr>
      </w:pPr>
    </w:p>
    <w:p w14:paraId="1D477ABB">
      <w:pPr>
        <w:pStyle w:val="701"/>
        <w:rPr>
          <w:rFonts w:ascii="宋体" w:hAnsi="宋体" w:cs="宋体"/>
          <w:color w:val="auto"/>
          <w:szCs w:val="24"/>
          <w:highlight w:val="none"/>
        </w:rPr>
      </w:pPr>
    </w:p>
    <w:p w14:paraId="19A94E2B">
      <w:pPr>
        <w:pStyle w:val="598"/>
        <w:spacing w:before="120" w:line="22" w:lineRule="atLeast"/>
        <w:rPr>
          <w:rFonts w:ascii="宋体" w:hAnsi="宋体" w:eastAsia="宋体" w:cs="宋体"/>
          <w:color w:val="auto"/>
          <w:szCs w:val="24"/>
          <w:highlight w:val="none"/>
        </w:rPr>
      </w:pPr>
    </w:p>
    <w:p w14:paraId="1AC7B660">
      <w:pPr>
        <w:pStyle w:val="598"/>
        <w:spacing w:before="120" w:line="22" w:lineRule="atLeast"/>
        <w:rPr>
          <w:rFonts w:ascii="宋体" w:hAnsi="宋体" w:eastAsia="宋体" w:cs="宋体"/>
          <w:color w:val="auto"/>
          <w:szCs w:val="24"/>
          <w:highlight w:val="none"/>
        </w:rPr>
      </w:pPr>
    </w:p>
    <w:p w14:paraId="057108EC">
      <w:pPr>
        <w:rPr>
          <w:rFonts w:ascii="宋体" w:hAnsi="宋体" w:cs="宋体"/>
          <w:color w:val="auto"/>
          <w:sz w:val="24"/>
          <w:highlight w:val="none"/>
        </w:rPr>
      </w:pPr>
    </w:p>
    <w:p w14:paraId="50AA62D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1759C0D">
      <w:pPr>
        <w:spacing w:before="120" w:line="22" w:lineRule="atLeast"/>
        <w:rPr>
          <w:rFonts w:ascii="宋体" w:hAnsi="宋体" w:cs="宋体"/>
          <w:color w:val="auto"/>
          <w:sz w:val="24"/>
          <w:highlight w:val="none"/>
        </w:rPr>
      </w:pPr>
    </w:p>
    <w:p w14:paraId="2C70769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1A68F97">
      <w:pPr>
        <w:spacing w:before="120" w:line="22" w:lineRule="atLeast"/>
        <w:rPr>
          <w:rFonts w:ascii="宋体" w:hAnsi="宋体" w:cs="宋体"/>
          <w:color w:val="auto"/>
          <w:sz w:val="24"/>
          <w:highlight w:val="none"/>
        </w:rPr>
      </w:pPr>
    </w:p>
    <w:p w14:paraId="12112661">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6A5CBB84">
      <w:pPr>
        <w:spacing w:before="120" w:line="22" w:lineRule="atLeast"/>
        <w:rPr>
          <w:rFonts w:ascii="宋体" w:hAnsi="宋体" w:cs="宋体"/>
          <w:color w:val="auto"/>
          <w:sz w:val="24"/>
          <w:highlight w:val="none"/>
        </w:rPr>
      </w:pPr>
    </w:p>
    <w:p w14:paraId="4569886D">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9AA7185">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B91A4BB">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年</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日</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宁波市公安局镇海分局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w:t>
      </w:r>
      <w:r>
        <w:rPr>
          <w:rFonts w:hint="eastAsia" w:ascii="宋体" w:hAnsi="宋体" w:cs="宋体"/>
          <w:color w:val="auto"/>
          <w:szCs w:val="21"/>
          <w:highlight w:val="none"/>
          <w:u w:val="single"/>
        </w:rPr>
        <w:t xml:space="preserve">   公开招标  </w:t>
      </w:r>
      <w:r>
        <w:rPr>
          <w:rFonts w:hint="eastAsia" w:ascii="宋体" w:hAnsi="宋体" w:cs="宋体"/>
          <w:color w:val="auto"/>
          <w:szCs w:val="21"/>
          <w:highlight w:val="none"/>
        </w:rPr>
        <w:t>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镇海区看守所智能化改造项目</w:t>
      </w:r>
      <w:r>
        <w:rPr>
          <w:rFonts w:hint="eastAsia" w:ascii="宋体" w:hAnsi="宋体" w:cs="宋体"/>
          <w:color w:val="auto"/>
          <w:szCs w:val="21"/>
          <w:highlight w:val="none"/>
          <w:u w:val="single"/>
        </w:rPr>
        <w:t xml:space="preserve">（项目编号：        ） </w:t>
      </w:r>
      <w:r>
        <w:rPr>
          <w:rFonts w:hint="eastAsia" w:ascii="宋体" w:hAnsi="宋体" w:cs="宋体"/>
          <w:color w:val="auto"/>
          <w:szCs w:val="21"/>
          <w:highlight w:val="none"/>
        </w:rPr>
        <w:t>进行了采购。经</w:t>
      </w:r>
      <w:r>
        <w:rPr>
          <w:rFonts w:hint="eastAsia" w:ascii="宋体" w:hAnsi="宋体" w:cs="宋体"/>
          <w:color w:val="auto"/>
          <w:szCs w:val="21"/>
          <w:highlight w:val="none"/>
          <w:u w:val="single"/>
        </w:rPr>
        <w:t xml:space="preserve">   评审小组   </w:t>
      </w:r>
      <w:r>
        <w:rPr>
          <w:rFonts w:hint="eastAsia" w:ascii="宋体" w:hAnsi="宋体" w:cs="宋体"/>
          <w:color w:val="auto"/>
          <w:szCs w:val="21"/>
          <w:highlight w:val="none"/>
        </w:rPr>
        <w:t>评定，</w:t>
      </w:r>
      <w:r>
        <w:rPr>
          <w:rFonts w:hint="eastAsia" w:ascii="宋体" w:hAnsi="宋体" w:cs="宋体"/>
          <w:color w:val="auto"/>
          <w:szCs w:val="21"/>
          <w:highlight w:val="none"/>
          <w:u w:val="single"/>
        </w:rPr>
        <w:t xml:space="preserve">   （中标或者成交供应商名称）</w:t>
      </w:r>
      <w:r>
        <w:rPr>
          <w:rFonts w:hint="eastAsia" w:ascii="宋体" w:hAnsi="宋体" w:cs="宋体"/>
          <w:color w:val="auto"/>
          <w:szCs w:val="21"/>
          <w:highlight w:val="none"/>
        </w:rPr>
        <w:t>为该项目中标或者成交供应商。现于中标或者成交通知书发出之日起</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日内，按照采购文件等确定的事项签订本合同。</w:t>
      </w:r>
    </w:p>
    <w:p w14:paraId="7544341F">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Cs w:val="21"/>
          <w:highlight w:val="none"/>
          <w:u w:val="single"/>
        </w:rPr>
        <w:t xml:space="preserve">   （采购人）   </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lang w:val="zh-CN"/>
        </w:rPr>
        <w:t>以下简称：甲方）和</w:t>
      </w:r>
      <w:r>
        <w:rPr>
          <w:rFonts w:hint="eastAsia" w:ascii="宋体" w:hAnsi="宋体" w:cs="宋体"/>
          <w:color w:val="auto"/>
          <w:szCs w:val="21"/>
          <w:highlight w:val="none"/>
          <w:u w:val="single"/>
        </w:rPr>
        <w:t xml:space="preserve">   （中标或者成交供应商名称）   </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lang w:val="zh-CN"/>
        </w:rPr>
        <w:t>以下简称：乙方）协商一致，约定以下合同</w:t>
      </w:r>
      <w:r>
        <w:rPr>
          <w:rFonts w:hint="eastAsia" w:ascii="宋体" w:hAnsi="宋体" w:cs="宋体"/>
          <w:color w:val="auto"/>
          <w:szCs w:val="21"/>
          <w:highlight w:val="none"/>
        </w:rPr>
        <w:t>条款，以兹共同遵守、全面履行。</w:t>
      </w:r>
    </w:p>
    <w:p w14:paraId="29F58193">
      <w:pPr>
        <w:spacing w:line="360" w:lineRule="auto"/>
        <w:ind w:firstLine="422" w:firstLineChars="200"/>
        <w:outlineLvl w:val="0"/>
        <w:rPr>
          <w:rFonts w:ascii="宋体" w:hAnsi="宋体" w:cs="宋体"/>
          <w:b/>
          <w:color w:val="auto"/>
          <w:szCs w:val="21"/>
          <w:highlight w:val="none"/>
        </w:rPr>
      </w:pPr>
      <w:bookmarkStart w:id="444" w:name="_Toc20107"/>
      <w:bookmarkStart w:id="445" w:name="_Toc29761"/>
      <w:bookmarkStart w:id="446" w:name="_Toc2232"/>
      <w:bookmarkStart w:id="447" w:name="_Toc3029"/>
      <w:bookmarkStart w:id="448" w:name="_Toc24059"/>
      <w:r>
        <w:rPr>
          <w:rFonts w:hint="eastAsia" w:ascii="宋体" w:hAnsi="宋体" w:cs="宋体"/>
          <w:b/>
          <w:color w:val="auto"/>
          <w:szCs w:val="21"/>
          <w:highlight w:val="none"/>
        </w:rPr>
        <w:t>1 定义</w:t>
      </w:r>
      <w:bookmarkEnd w:id="444"/>
      <w:bookmarkEnd w:id="445"/>
    </w:p>
    <w:p w14:paraId="0688B5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本合同中的下列词语应按以下内容进行解释：</w:t>
      </w:r>
    </w:p>
    <w:p w14:paraId="179781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 “合同”系指采购人和中标供应商签订的载明双方当事人所达成的协议，并包括所有的附件、附录和构成合同的其他文件。</w:t>
      </w:r>
    </w:p>
    <w:p w14:paraId="3C0E8E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 “合同价”系指根据合同约定，中标供应商在完全履行合同义务后，采购人应支付给中标供应商的价格。</w:t>
      </w:r>
    </w:p>
    <w:p w14:paraId="5F88E1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 “货物”系指中标供应商根据合同约定应向采购人交付的一切各种形态和种类的物品，包括原材料、燃料、设备、机械、仪表、备件、计算机软件、产品等，并包括工具、手册等其他相关资料。</w:t>
      </w:r>
    </w:p>
    <w:p w14:paraId="0AB612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 “甲方”系指与中标供应商签署合同的采购人；采购人委托采购代理机构代表其与乙方签订合同的，采购人的授权委托书作为合同附件。</w:t>
      </w:r>
    </w:p>
    <w:p w14:paraId="24D75F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96C425B">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1.6 “现场”系指合同约定货物将要运至或者安装的地点。</w:t>
      </w:r>
    </w:p>
    <w:p w14:paraId="400E06D3">
      <w:pPr>
        <w:spacing w:line="360" w:lineRule="auto"/>
        <w:ind w:firstLine="422" w:firstLineChars="200"/>
        <w:outlineLvl w:val="0"/>
        <w:rPr>
          <w:rFonts w:ascii="宋体" w:hAnsi="宋体" w:cs="宋体"/>
          <w:b/>
          <w:color w:val="auto"/>
          <w:szCs w:val="21"/>
          <w:highlight w:val="none"/>
        </w:rPr>
      </w:pPr>
      <w:bookmarkStart w:id="449" w:name="_Toc3072"/>
      <w:bookmarkStart w:id="450" w:name="_Toc2372"/>
      <w:r>
        <w:rPr>
          <w:rFonts w:hint="eastAsia" w:ascii="宋体" w:hAnsi="宋体" w:cs="宋体"/>
          <w:b/>
          <w:color w:val="auto"/>
          <w:szCs w:val="21"/>
          <w:highlight w:val="none"/>
        </w:rPr>
        <w:t>2 合同组成部分</w:t>
      </w:r>
      <w:bookmarkEnd w:id="446"/>
      <w:bookmarkEnd w:id="447"/>
      <w:bookmarkEnd w:id="448"/>
      <w:bookmarkEnd w:id="449"/>
      <w:bookmarkEnd w:id="450"/>
    </w:p>
    <w:p w14:paraId="294FE9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52AFFA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本合同及其补充合同、变更协议；</w:t>
      </w:r>
    </w:p>
    <w:p w14:paraId="7F69D8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中标通知书；</w:t>
      </w:r>
    </w:p>
    <w:p w14:paraId="0A2C46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投标文件（含澄清或者说明文件）；</w:t>
      </w:r>
    </w:p>
    <w:p w14:paraId="43B43A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 招标文件（含澄清或者修改文件）；</w:t>
      </w:r>
    </w:p>
    <w:p w14:paraId="369F81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 其他相关采购文件。</w:t>
      </w:r>
    </w:p>
    <w:p w14:paraId="1A7E7709">
      <w:pPr>
        <w:spacing w:line="360" w:lineRule="auto"/>
        <w:ind w:firstLine="422" w:firstLineChars="200"/>
        <w:outlineLvl w:val="0"/>
        <w:rPr>
          <w:rFonts w:ascii="宋体" w:hAnsi="宋体" w:cs="宋体"/>
          <w:b/>
          <w:color w:val="auto"/>
          <w:szCs w:val="21"/>
          <w:highlight w:val="none"/>
        </w:rPr>
      </w:pPr>
      <w:bookmarkStart w:id="451" w:name="_Toc21295"/>
      <w:bookmarkStart w:id="452" w:name="_Toc24300"/>
      <w:bookmarkStart w:id="453" w:name="_Toc30210"/>
      <w:bookmarkStart w:id="454" w:name="_Toc29800"/>
      <w:bookmarkStart w:id="455" w:name="_Toc27126"/>
      <w:r>
        <w:rPr>
          <w:rFonts w:hint="eastAsia" w:ascii="宋体" w:hAnsi="宋体" w:cs="宋体"/>
          <w:b/>
          <w:color w:val="auto"/>
          <w:szCs w:val="21"/>
          <w:highlight w:val="none"/>
        </w:rPr>
        <w:t>3 货物</w:t>
      </w:r>
      <w:bookmarkEnd w:id="451"/>
      <w:bookmarkEnd w:id="452"/>
      <w:bookmarkEnd w:id="453"/>
      <w:bookmarkEnd w:id="454"/>
      <w:bookmarkEnd w:id="455"/>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620"/>
        <w:gridCol w:w="925"/>
        <w:gridCol w:w="1245"/>
        <w:gridCol w:w="3461"/>
        <w:gridCol w:w="1186"/>
      </w:tblGrid>
      <w:tr w14:paraId="776A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6A01FABC">
            <w:pPr>
              <w:pStyle w:val="321"/>
              <w:spacing w:line="360" w:lineRule="auto"/>
              <w:jc w:val="center"/>
              <w:rPr>
                <w:rFonts w:hAnsi="宋体" w:cs="宋体"/>
                <w:color w:val="auto"/>
                <w:sz w:val="21"/>
                <w:szCs w:val="21"/>
                <w:highlight w:val="none"/>
              </w:rPr>
            </w:pPr>
            <w:r>
              <w:rPr>
                <w:rFonts w:hint="eastAsia" w:hAnsi="宋体" w:cs="宋体"/>
                <w:color w:val="auto"/>
                <w:sz w:val="21"/>
                <w:szCs w:val="21"/>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48C21C0D">
            <w:pPr>
              <w:pStyle w:val="321"/>
              <w:spacing w:line="360" w:lineRule="auto"/>
              <w:jc w:val="center"/>
              <w:rPr>
                <w:rFonts w:hAnsi="宋体" w:cs="宋体"/>
                <w:color w:val="auto"/>
                <w:sz w:val="21"/>
                <w:szCs w:val="21"/>
                <w:highlight w:val="none"/>
              </w:rPr>
            </w:pPr>
            <w:r>
              <w:rPr>
                <w:rFonts w:hint="eastAsia" w:hAnsi="宋体" w:cs="宋体"/>
                <w:color w:val="auto"/>
                <w:sz w:val="21"/>
                <w:szCs w:val="21"/>
                <w:highlight w:val="none"/>
              </w:rPr>
              <w:t>货物名称</w:t>
            </w:r>
          </w:p>
        </w:tc>
        <w:tc>
          <w:tcPr>
            <w:tcW w:w="925" w:type="dxa"/>
            <w:tcBorders>
              <w:top w:val="single" w:color="auto" w:sz="4" w:space="0"/>
              <w:left w:val="single" w:color="auto" w:sz="4" w:space="0"/>
              <w:bottom w:val="single" w:color="auto" w:sz="4" w:space="0"/>
              <w:right w:val="single" w:color="auto" w:sz="4" w:space="0"/>
            </w:tcBorders>
            <w:vAlign w:val="center"/>
          </w:tcPr>
          <w:p w14:paraId="4AF3F0ED">
            <w:pPr>
              <w:pStyle w:val="321"/>
              <w:spacing w:line="360" w:lineRule="auto"/>
              <w:jc w:val="center"/>
              <w:rPr>
                <w:rFonts w:hAnsi="宋体" w:cs="宋体"/>
                <w:color w:val="auto"/>
                <w:sz w:val="21"/>
                <w:szCs w:val="21"/>
                <w:highlight w:val="none"/>
              </w:rPr>
            </w:pPr>
            <w:r>
              <w:rPr>
                <w:rFonts w:hint="eastAsia" w:hAnsi="宋体" w:cs="宋体"/>
                <w:color w:val="auto"/>
                <w:sz w:val="21"/>
                <w:szCs w:val="21"/>
                <w:highlight w:val="none"/>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10940275">
            <w:pPr>
              <w:pStyle w:val="321"/>
              <w:spacing w:line="360" w:lineRule="auto"/>
              <w:jc w:val="center"/>
              <w:rPr>
                <w:rFonts w:hAnsi="宋体" w:cs="宋体"/>
                <w:color w:val="auto"/>
                <w:sz w:val="21"/>
                <w:szCs w:val="21"/>
                <w:highlight w:val="none"/>
              </w:rPr>
            </w:pPr>
            <w:r>
              <w:rPr>
                <w:rFonts w:hint="eastAsia" w:hAnsi="宋体" w:cs="宋体"/>
                <w:color w:val="auto"/>
                <w:sz w:val="21"/>
                <w:szCs w:val="21"/>
                <w:highlight w:val="none"/>
              </w:rPr>
              <w:t>品牌名称</w:t>
            </w:r>
          </w:p>
        </w:tc>
        <w:tc>
          <w:tcPr>
            <w:tcW w:w="3461" w:type="dxa"/>
            <w:tcBorders>
              <w:top w:val="single" w:color="auto" w:sz="4" w:space="0"/>
              <w:left w:val="single" w:color="auto" w:sz="4" w:space="0"/>
              <w:bottom w:val="single" w:color="auto" w:sz="4" w:space="0"/>
              <w:right w:val="single" w:color="auto" w:sz="4" w:space="0"/>
            </w:tcBorders>
            <w:vAlign w:val="center"/>
          </w:tcPr>
          <w:p w14:paraId="0440B8E3">
            <w:pPr>
              <w:pStyle w:val="321"/>
              <w:spacing w:line="360" w:lineRule="auto"/>
              <w:rPr>
                <w:rFonts w:hAnsi="宋体" w:cs="宋体"/>
                <w:color w:val="auto"/>
                <w:sz w:val="21"/>
                <w:szCs w:val="21"/>
                <w:highlight w:val="none"/>
              </w:rPr>
            </w:pPr>
            <w:r>
              <w:rPr>
                <w:rFonts w:hint="eastAsia" w:hAnsi="宋体" w:cs="宋体"/>
                <w:color w:val="auto"/>
                <w:sz w:val="21"/>
                <w:szCs w:val="21"/>
                <w:highlight w:val="none"/>
              </w:rPr>
              <w:t>规格型号/技术要求/质量要求</w:t>
            </w:r>
          </w:p>
        </w:tc>
        <w:tc>
          <w:tcPr>
            <w:tcW w:w="1186" w:type="dxa"/>
            <w:tcBorders>
              <w:top w:val="single" w:color="auto" w:sz="4" w:space="0"/>
              <w:left w:val="single" w:color="auto" w:sz="4" w:space="0"/>
              <w:bottom w:val="single" w:color="auto" w:sz="4" w:space="0"/>
              <w:right w:val="single" w:color="auto" w:sz="4" w:space="0"/>
            </w:tcBorders>
            <w:vAlign w:val="center"/>
          </w:tcPr>
          <w:p w14:paraId="7C615F87">
            <w:pPr>
              <w:pStyle w:val="321"/>
              <w:spacing w:line="360" w:lineRule="auto"/>
              <w:jc w:val="center"/>
              <w:rPr>
                <w:rFonts w:hAnsi="宋体" w:cs="宋体"/>
                <w:color w:val="auto"/>
                <w:sz w:val="21"/>
                <w:szCs w:val="21"/>
                <w:highlight w:val="none"/>
              </w:rPr>
            </w:pPr>
            <w:r>
              <w:rPr>
                <w:rFonts w:hint="eastAsia" w:hAnsi="宋体" w:cs="宋体"/>
                <w:color w:val="auto"/>
                <w:sz w:val="21"/>
                <w:szCs w:val="21"/>
                <w:highlight w:val="none"/>
              </w:rPr>
              <w:t>原产地</w:t>
            </w:r>
          </w:p>
        </w:tc>
      </w:tr>
      <w:tr w14:paraId="0E9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76E09D2">
            <w:pPr>
              <w:pStyle w:val="321"/>
              <w:spacing w:line="360" w:lineRule="auto"/>
              <w:ind w:firstLine="200"/>
              <w:jc w:val="center"/>
              <w:rPr>
                <w:rFonts w:hAnsi="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34F887B3">
            <w:pPr>
              <w:pStyle w:val="321"/>
              <w:spacing w:line="360" w:lineRule="auto"/>
              <w:ind w:firstLine="200"/>
              <w:jc w:val="center"/>
              <w:rPr>
                <w:rFonts w:hAnsi="宋体" w:cs="宋体"/>
                <w:color w:val="auto"/>
                <w:sz w:val="21"/>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10F9CBB3">
            <w:pPr>
              <w:pStyle w:val="321"/>
              <w:spacing w:line="360" w:lineRule="auto"/>
              <w:ind w:firstLine="200"/>
              <w:jc w:val="center"/>
              <w:rPr>
                <w:rFonts w:hAnsi="宋体" w:cs="宋体"/>
                <w:color w:val="auto"/>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4A657C73">
            <w:pPr>
              <w:pStyle w:val="321"/>
              <w:spacing w:line="360" w:lineRule="auto"/>
              <w:ind w:firstLine="200"/>
              <w:jc w:val="center"/>
              <w:rPr>
                <w:rFonts w:hAnsi="宋体" w:cs="宋体"/>
                <w:color w:val="auto"/>
                <w:sz w:val="21"/>
                <w:szCs w:val="21"/>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6448D0E7">
            <w:pPr>
              <w:pStyle w:val="321"/>
              <w:spacing w:line="360" w:lineRule="auto"/>
              <w:ind w:firstLine="200"/>
              <w:jc w:val="center"/>
              <w:rPr>
                <w:rFonts w:hAnsi="宋体" w:cs="宋体"/>
                <w:color w:val="auto"/>
                <w:sz w:val="21"/>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441F46CB">
            <w:pPr>
              <w:pStyle w:val="321"/>
              <w:spacing w:line="360" w:lineRule="auto"/>
              <w:ind w:firstLine="200"/>
              <w:jc w:val="center"/>
              <w:rPr>
                <w:rFonts w:hAnsi="宋体" w:cs="宋体"/>
                <w:color w:val="auto"/>
                <w:sz w:val="21"/>
                <w:szCs w:val="21"/>
                <w:highlight w:val="none"/>
              </w:rPr>
            </w:pPr>
          </w:p>
        </w:tc>
      </w:tr>
      <w:tr w14:paraId="4101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22F2336A">
            <w:pPr>
              <w:pStyle w:val="321"/>
              <w:spacing w:line="360" w:lineRule="auto"/>
              <w:ind w:firstLine="200"/>
              <w:jc w:val="center"/>
              <w:rPr>
                <w:rFonts w:hAnsi="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1990A488">
            <w:pPr>
              <w:pStyle w:val="321"/>
              <w:spacing w:line="360" w:lineRule="auto"/>
              <w:ind w:firstLine="200"/>
              <w:jc w:val="center"/>
              <w:rPr>
                <w:rFonts w:hAnsi="宋体" w:cs="宋体"/>
                <w:color w:val="auto"/>
                <w:sz w:val="21"/>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2B8A4B53">
            <w:pPr>
              <w:pStyle w:val="321"/>
              <w:spacing w:line="360" w:lineRule="auto"/>
              <w:ind w:firstLine="200"/>
              <w:jc w:val="center"/>
              <w:rPr>
                <w:rFonts w:hAnsi="宋体" w:cs="宋体"/>
                <w:color w:val="auto"/>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51F0BA45">
            <w:pPr>
              <w:pStyle w:val="321"/>
              <w:spacing w:line="360" w:lineRule="auto"/>
              <w:ind w:firstLine="200"/>
              <w:jc w:val="center"/>
              <w:rPr>
                <w:rFonts w:hAnsi="宋体" w:cs="宋体"/>
                <w:color w:val="auto"/>
                <w:sz w:val="21"/>
                <w:szCs w:val="21"/>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54787356">
            <w:pPr>
              <w:pStyle w:val="321"/>
              <w:spacing w:line="360" w:lineRule="auto"/>
              <w:ind w:firstLine="200"/>
              <w:jc w:val="center"/>
              <w:rPr>
                <w:rFonts w:hAnsi="宋体" w:cs="宋体"/>
                <w:color w:val="auto"/>
                <w:sz w:val="21"/>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13DFE8F3">
            <w:pPr>
              <w:pStyle w:val="321"/>
              <w:spacing w:line="360" w:lineRule="auto"/>
              <w:ind w:firstLine="200"/>
              <w:jc w:val="center"/>
              <w:rPr>
                <w:rFonts w:hAnsi="宋体" w:cs="宋体"/>
                <w:color w:val="auto"/>
                <w:sz w:val="21"/>
                <w:szCs w:val="21"/>
                <w:highlight w:val="none"/>
              </w:rPr>
            </w:pPr>
          </w:p>
        </w:tc>
      </w:tr>
      <w:tr w14:paraId="5D4E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6A0A84E8">
            <w:pPr>
              <w:pStyle w:val="321"/>
              <w:spacing w:line="360" w:lineRule="auto"/>
              <w:ind w:firstLine="200"/>
              <w:jc w:val="center"/>
              <w:rPr>
                <w:rFonts w:hAnsi="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39ACDCC6">
            <w:pPr>
              <w:pStyle w:val="321"/>
              <w:spacing w:line="360" w:lineRule="auto"/>
              <w:ind w:firstLine="200"/>
              <w:jc w:val="center"/>
              <w:rPr>
                <w:rFonts w:hAnsi="宋体" w:cs="宋体"/>
                <w:color w:val="auto"/>
                <w:sz w:val="21"/>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027AFA7E">
            <w:pPr>
              <w:pStyle w:val="321"/>
              <w:spacing w:line="360" w:lineRule="auto"/>
              <w:ind w:firstLine="200"/>
              <w:jc w:val="center"/>
              <w:rPr>
                <w:rFonts w:hAnsi="宋体" w:cs="宋体"/>
                <w:color w:val="auto"/>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0D4454F1">
            <w:pPr>
              <w:pStyle w:val="321"/>
              <w:spacing w:line="360" w:lineRule="auto"/>
              <w:ind w:firstLine="200"/>
              <w:jc w:val="center"/>
              <w:rPr>
                <w:rFonts w:hAnsi="宋体" w:cs="宋体"/>
                <w:color w:val="auto"/>
                <w:sz w:val="21"/>
                <w:szCs w:val="21"/>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0309EE8F">
            <w:pPr>
              <w:pStyle w:val="321"/>
              <w:spacing w:line="360" w:lineRule="auto"/>
              <w:ind w:firstLine="200"/>
              <w:jc w:val="center"/>
              <w:rPr>
                <w:rFonts w:hAnsi="宋体" w:cs="宋体"/>
                <w:color w:val="auto"/>
                <w:sz w:val="21"/>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1D6A2499">
            <w:pPr>
              <w:pStyle w:val="321"/>
              <w:spacing w:line="360" w:lineRule="auto"/>
              <w:ind w:firstLine="200"/>
              <w:jc w:val="center"/>
              <w:rPr>
                <w:rFonts w:hAnsi="宋体" w:cs="宋体"/>
                <w:color w:val="auto"/>
                <w:sz w:val="21"/>
                <w:szCs w:val="21"/>
                <w:highlight w:val="none"/>
              </w:rPr>
            </w:pPr>
          </w:p>
        </w:tc>
      </w:tr>
      <w:tr w14:paraId="01BE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0F78352">
            <w:pPr>
              <w:pStyle w:val="321"/>
              <w:spacing w:line="360" w:lineRule="auto"/>
              <w:ind w:firstLine="200"/>
              <w:jc w:val="center"/>
              <w:rPr>
                <w:rFonts w:hAnsi="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3F7CF873">
            <w:pPr>
              <w:pStyle w:val="321"/>
              <w:spacing w:line="360" w:lineRule="auto"/>
              <w:ind w:firstLine="200"/>
              <w:jc w:val="center"/>
              <w:rPr>
                <w:rFonts w:hAnsi="宋体" w:cs="宋体"/>
                <w:color w:val="auto"/>
                <w:sz w:val="21"/>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16C27B1E">
            <w:pPr>
              <w:pStyle w:val="321"/>
              <w:spacing w:line="360" w:lineRule="auto"/>
              <w:ind w:firstLine="200"/>
              <w:jc w:val="center"/>
              <w:rPr>
                <w:rFonts w:hAnsi="宋体" w:cs="宋体"/>
                <w:color w:val="auto"/>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34213FAE">
            <w:pPr>
              <w:pStyle w:val="321"/>
              <w:spacing w:line="360" w:lineRule="auto"/>
              <w:ind w:firstLine="200"/>
              <w:jc w:val="center"/>
              <w:rPr>
                <w:rFonts w:hAnsi="宋体" w:cs="宋体"/>
                <w:color w:val="auto"/>
                <w:sz w:val="21"/>
                <w:szCs w:val="21"/>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103325ED">
            <w:pPr>
              <w:pStyle w:val="321"/>
              <w:spacing w:line="360" w:lineRule="auto"/>
              <w:ind w:firstLine="200"/>
              <w:jc w:val="center"/>
              <w:rPr>
                <w:rFonts w:hAnsi="宋体" w:cs="宋体"/>
                <w:color w:val="auto"/>
                <w:sz w:val="21"/>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789E1256">
            <w:pPr>
              <w:pStyle w:val="321"/>
              <w:spacing w:line="360" w:lineRule="auto"/>
              <w:ind w:firstLine="200"/>
              <w:jc w:val="center"/>
              <w:rPr>
                <w:rFonts w:hAnsi="宋体" w:cs="宋体"/>
                <w:color w:val="auto"/>
                <w:sz w:val="21"/>
                <w:szCs w:val="21"/>
                <w:highlight w:val="none"/>
              </w:rPr>
            </w:pPr>
          </w:p>
        </w:tc>
      </w:tr>
    </w:tbl>
    <w:p w14:paraId="75CCC050">
      <w:pPr>
        <w:pStyle w:val="520"/>
        <w:rPr>
          <w:rFonts w:ascii="宋体" w:hAnsi="宋体" w:eastAsia="宋体" w:cs="宋体"/>
          <w:color w:val="auto"/>
          <w:sz w:val="21"/>
          <w:szCs w:val="21"/>
          <w:highlight w:val="none"/>
        </w:rPr>
      </w:pPr>
    </w:p>
    <w:p w14:paraId="7C6CE147">
      <w:pPr>
        <w:spacing w:line="360" w:lineRule="auto"/>
        <w:ind w:firstLine="422" w:firstLineChars="200"/>
        <w:outlineLvl w:val="0"/>
        <w:rPr>
          <w:rFonts w:ascii="宋体" w:hAnsi="宋体" w:cs="宋体"/>
          <w:b/>
          <w:color w:val="auto"/>
          <w:szCs w:val="21"/>
          <w:highlight w:val="none"/>
        </w:rPr>
      </w:pPr>
      <w:bookmarkStart w:id="456" w:name="_Toc805"/>
      <w:bookmarkStart w:id="457" w:name="_Toc21551"/>
      <w:bookmarkStart w:id="458" w:name="_Toc21631"/>
      <w:bookmarkStart w:id="459" w:name="_Toc23292"/>
      <w:bookmarkStart w:id="460" w:name="_Toc16903"/>
      <w:r>
        <w:rPr>
          <w:rFonts w:hint="eastAsia" w:ascii="宋体" w:hAnsi="宋体" w:cs="宋体"/>
          <w:b/>
          <w:color w:val="auto"/>
          <w:szCs w:val="21"/>
          <w:highlight w:val="none"/>
        </w:rPr>
        <w:t>4 价款</w:t>
      </w:r>
      <w:bookmarkEnd w:id="456"/>
      <w:bookmarkEnd w:id="457"/>
      <w:bookmarkEnd w:id="458"/>
      <w:bookmarkEnd w:id="459"/>
      <w:bookmarkEnd w:id="460"/>
    </w:p>
    <w:p w14:paraId="093A3C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本合同总价为：￥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元人民币）。</w:t>
      </w:r>
    </w:p>
    <w:p w14:paraId="64235EF1">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4336"/>
        <w:gridCol w:w="3253"/>
      </w:tblGrid>
      <w:tr w14:paraId="3314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14:paraId="28EFCABC">
            <w:pPr>
              <w:pStyle w:val="321"/>
              <w:spacing w:line="360" w:lineRule="auto"/>
              <w:jc w:val="center"/>
              <w:rPr>
                <w:rFonts w:hAnsi="宋体" w:cs="宋体"/>
                <w:color w:val="auto"/>
                <w:sz w:val="21"/>
                <w:szCs w:val="21"/>
                <w:highlight w:val="none"/>
              </w:rPr>
            </w:pPr>
            <w:r>
              <w:rPr>
                <w:rFonts w:hint="eastAsia" w:hAnsi="宋体" w:cs="宋体"/>
                <w:color w:val="auto"/>
                <w:sz w:val="21"/>
                <w:szCs w:val="21"/>
                <w:highlight w:val="none"/>
              </w:rPr>
              <w:t>序号</w:t>
            </w:r>
          </w:p>
        </w:tc>
        <w:tc>
          <w:tcPr>
            <w:tcW w:w="4336" w:type="dxa"/>
            <w:tcBorders>
              <w:top w:val="single" w:color="auto" w:sz="4" w:space="0"/>
              <w:left w:val="single" w:color="auto" w:sz="4" w:space="0"/>
              <w:bottom w:val="single" w:color="auto" w:sz="4" w:space="0"/>
              <w:right w:val="single" w:color="auto" w:sz="4" w:space="0"/>
            </w:tcBorders>
            <w:vAlign w:val="center"/>
          </w:tcPr>
          <w:p w14:paraId="2A409B5B">
            <w:pPr>
              <w:pStyle w:val="321"/>
              <w:spacing w:line="360" w:lineRule="auto"/>
              <w:ind w:firstLine="200"/>
              <w:jc w:val="center"/>
              <w:rPr>
                <w:rFonts w:hAnsi="宋体" w:cs="宋体"/>
                <w:color w:val="auto"/>
                <w:sz w:val="21"/>
                <w:szCs w:val="21"/>
                <w:highlight w:val="none"/>
              </w:rPr>
            </w:pPr>
            <w:r>
              <w:rPr>
                <w:rFonts w:hint="eastAsia" w:hAnsi="宋体" w:cs="宋体"/>
                <w:color w:val="auto"/>
                <w:sz w:val="21"/>
                <w:szCs w:val="21"/>
                <w:highlight w:val="none"/>
              </w:rPr>
              <w:t>分项名称</w:t>
            </w:r>
          </w:p>
        </w:tc>
        <w:tc>
          <w:tcPr>
            <w:tcW w:w="3253" w:type="dxa"/>
            <w:tcBorders>
              <w:top w:val="single" w:color="auto" w:sz="4" w:space="0"/>
              <w:left w:val="single" w:color="auto" w:sz="4" w:space="0"/>
              <w:bottom w:val="single" w:color="auto" w:sz="4" w:space="0"/>
              <w:right w:val="single" w:color="auto" w:sz="4" w:space="0"/>
            </w:tcBorders>
            <w:vAlign w:val="center"/>
          </w:tcPr>
          <w:p w14:paraId="379F67B7">
            <w:pPr>
              <w:pStyle w:val="321"/>
              <w:spacing w:line="360" w:lineRule="auto"/>
              <w:jc w:val="center"/>
              <w:rPr>
                <w:rFonts w:hAnsi="宋体" w:cs="宋体"/>
                <w:color w:val="auto"/>
                <w:sz w:val="21"/>
                <w:szCs w:val="21"/>
                <w:highlight w:val="none"/>
              </w:rPr>
            </w:pPr>
            <w:r>
              <w:rPr>
                <w:rFonts w:hint="eastAsia" w:hAnsi="宋体" w:cs="宋体"/>
                <w:color w:val="auto"/>
                <w:sz w:val="21"/>
                <w:szCs w:val="21"/>
                <w:highlight w:val="none"/>
              </w:rPr>
              <w:t>分项价格</w:t>
            </w:r>
          </w:p>
        </w:tc>
      </w:tr>
      <w:tr w14:paraId="37CF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14:paraId="571E6697">
            <w:pPr>
              <w:pStyle w:val="321"/>
              <w:spacing w:line="360" w:lineRule="auto"/>
              <w:ind w:firstLine="200"/>
              <w:jc w:val="center"/>
              <w:rPr>
                <w:rFonts w:hAnsi="宋体" w:cs="宋体"/>
                <w:color w:val="auto"/>
                <w:sz w:val="21"/>
                <w:szCs w:val="21"/>
                <w:highlight w:val="none"/>
              </w:rPr>
            </w:pPr>
          </w:p>
        </w:tc>
        <w:tc>
          <w:tcPr>
            <w:tcW w:w="4336" w:type="dxa"/>
            <w:tcBorders>
              <w:top w:val="single" w:color="auto" w:sz="4" w:space="0"/>
              <w:left w:val="single" w:color="auto" w:sz="4" w:space="0"/>
              <w:bottom w:val="single" w:color="auto" w:sz="4" w:space="0"/>
              <w:right w:val="single" w:color="auto" w:sz="4" w:space="0"/>
            </w:tcBorders>
            <w:vAlign w:val="center"/>
          </w:tcPr>
          <w:p w14:paraId="0DCAC86B">
            <w:pPr>
              <w:pStyle w:val="321"/>
              <w:spacing w:line="360" w:lineRule="auto"/>
              <w:ind w:firstLine="200"/>
              <w:jc w:val="center"/>
              <w:rPr>
                <w:rFonts w:hAnsi="宋体" w:cs="宋体"/>
                <w:color w:val="auto"/>
                <w:sz w:val="21"/>
                <w:szCs w:val="21"/>
                <w:highlight w:val="none"/>
              </w:rPr>
            </w:pPr>
          </w:p>
        </w:tc>
        <w:tc>
          <w:tcPr>
            <w:tcW w:w="3253" w:type="dxa"/>
            <w:tcBorders>
              <w:top w:val="single" w:color="auto" w:sz="4" w:space="0"/>
              <w:left w:val="single" w:color="auto" w:sz="4" w:space="0"/>
              <w:bottom w:val="single" w:color="auto" w:sz="4" w:space="0"/>
              <w:right w:val="single" w:color="auto" w:sz="4" w:space="0"/>
            </w:tcBorders>
            <w:vAlign w:val="center"/>
          </w:tcPr>
          <w:p w14:paraId="6519CD38">
            <w:pPr>
              <w:pStyle w:val="321"/>
              <w:spacing w:line="360" w:lineRule="auto"/>
              <w:ind w:firstLine="200"/>
              <w:jc w:val="center"/>
              <w:rPr>
                <w:rFonts w:hAnsi="宋体" w:cs="宋体"/>
                <w:color w:val="auto"/>
                <w:sz w:val="21"/>
                <w:szCs w:val="21"/>
                <w:highlight w:val="none"/>
              </w:rPr>
            </w:pPr>
          </w:p>
        </w:tc>
      </w:tr>
      <w:tr w14:paraId="70D1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14:paraId="08940720">
            <w:pPr>
              <w:pStyle w:val="321"/>
              <w:spacing w:line="360" w:lineRule="auto"/>
              <w:ind w:firstLine="200"/>
              <w:jc w:val="center"/>
              <w:rPr>
                <w:rFonts w:hAnsi="宋体" w:cs="宋体"/>
                <w:color w:val="auto"/>
                <w:sz w:val="21"/>
                <w:szCs w:val="21"/>
                <w:highlight w:val="none"/>
              </w:rPr>
            </w:pPr>
          </w:p>
        </w:tc>
        <w:tc>
          <w:tcPr>
            <w:tcW w:w="4336" w:type="dxa"/>
            <w:tcBorders>
              <w:top w:val="single" w:color="auto" w:sz="4" w:space="0"/>
              <w:left w:val="single" w:color="auto" w:sz="4" w:space="0"/>
              <w:bottom w:val="single" w:color="auto" w:sz="4" w:space="0"/>
              <w:right w:val="single" w:color="auto" w:sz="4" w:space="0"/>
            </w:tcBorders>
            <w:vAlign w:val="center"/>
          </w:tcPr>
          <w:p w14:paraId="25238F07">
            <w:pPr>
              <w:pStyle w:val="321"/>
              <w:spacing w:line="360" w:lineRule="auto"/>
              <w:ind w:firstLine="200"/>
              <w:jc w:val="center"/>
              <w:rPr>
                <w:rFonts w:hAnsi="宋体" w:cs="宋体"/>
                <w:color w:val="auto"/>
                <w:sz w:val="21"/>
                <w:szCs w:val="21"/>
                <w:highlight w:val="none"/>
              </w:rPr>
            </w:pPr>
          </w:p>
        </w:tc>
        <w:tc>
          <w:tcPr>
            <w:tcW w:w="3253" w:type="dxa"/>
            <w:tcBorders>
              <w:top w:val="single" w:color="auto" w:sz="4" w:space="0"/>
              <w:left w:val="single" w:color="auto" w:sz="4" w:space="0"/>
              <w:bottom w:val="single" w:color="auto" w:sz="4" w:space="0"/>
              <w:right w:val="single" w:color="auto" w:sz="4" w:space="0"/>
            </w:tcBorders>
            <w:vAlign w:val="center"/>
          </w:tcPr>
          <w:p w14:paraId="2CB180E9">
            <w:pPr>
              <w:pStyle w:val="321"/>
              <w:spacing w:line="360" w:lineRule="auto"/>
              <w:ind w:firstLine="200"/>
              <w:jc w:val="center"/>
              <w:rPr>
                <w:rFonts w:hAnsi="宋体" w:cs="宋体"/>
                <w:color w:val="auto"/>
                <w:sz w:val="21"/>
                <w:szCs w:val="21"/>
                <w:highlight w:val="none"/>
              </w:rPr>
            </w:pPr>
          </w:p>
        </w:tc>
      </w:tr>
      <w:tr w14:paraId="29A3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14:paraId="6E04B8AF">
            <w:pPr>
              <w:pStyle w:val="321"/>
              <w:spacing w:line="360" w:lineRule="auto"/>
              <w:ind w:firstLine="200"/>
              <w:jc w:val="center"/>
              <w:rPr>
                <w:rFonts w:hAnsi="宋体" w:cs="宋体"/>
                <w:color w:val="auto"/>
                <w:sz w:val="21"/>
                <w:szCs w:val="21"/>
                <w:highlight w:val="none"/>
              </w:rPr>
            </w:pPr>
          </w:p>
        </w:tc>
        <w:tc>
          <w:tcPr>
            <w:tcW w:w="4336" w:type="dxa"/>
            <w:tcBorders>
              <w:top w:val="single" w:color="auto" w:sz="4" w:space="0"/>
              <w:left w:val="single" w:color="auto" w:sz="4" w:space="0"/>
              <w:bottom w:val="single" w:color="auto" w:sz="4" w:space="0"/>
              <w:right w:val="single" w:color="auto" w:sz="4" w:space="0"/>
            </w:tcBorders>
            <w:vAlign w:val="center"/>
          </w:tcPr>
          <w:p w14:paraId="0324DD9C">
            <w:pPr>
              <w:pStyle w:val="321"/>
              <w:spacing w:line="360" w:lineRule="auto"/>
              <w:ind w:firstLine="200"/>
              <w:jc w:val="center"/>
              <w:rPr>
                <w:rFonts w:hAnsi="宋体" w:cs="宋体"/>
                <w:color w:val="auto"/>
                <w:sz w:val="21"/>
                <w:szCs w:val="21"/>
                <w:highlight w:val="none"/>
              </w:rPr>
            </w:pPr>
          </w:p>
        </w:tc>
        <w:tc>
          <w:tcPr>
            <w:tcW w:w="3253" w:type="dxa"/>
            <w:tcBorders>
              <w:top w:val="single" w:color="auto" w:sz="4" w:space="0"/>
              <w:left w:val="single" w:color="auto" w:sz="4" w:space="0"/>
              <w:bottom w:val="single" w:color="auto" w:sz="4" w:space="0"/>
              <w:right w:val="single" w:color="auto" w:sz="4" w:space="0"/>
            </w:tcBorders>
            <w:vAlign w:val="center"/>
          </w:tcPr>
          <w:p w14:paraId="2FAB9486">
            <w:pPr>
              <w:pStyle w:val="321"/>
              <w:spacing w:line="360" w:lineRule="auto"/>
              <w:ind w:firstLine="200"/>
              <w:jc w:val="center"/>
              <w:rPr>
                <w:rFonts w:hAnsi="宋体" w:cs="宋体"/>
                <w:color w:val="auto"/>
                <w:sz w:val="21"/>
                <w:szCs w:val="21"/>
                <w:highlight w:val="none"/>
              </w:rPr>
            </w:pPr>
          </w:p>
        </w:tc>
      </w:tr>
      <w:tr w14:paraId="0F95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14:paraId="37C47EEA">
            <w:pPr>
              <w:pStyle w:val="321"/>
              <w:spacing w:line="360" w:lineRule="auto"/>
              <w:ind w:firstLine="200"/>
              <w:jc w:val="center"/>
              <w:rPr>
                <w:rFonts w:hAnsi="宋体" w:cs="宋体"/>
                <w:color w:val="auto"/>
                <w:sz w:val="21"/>
                <w:szCs w:val="21"/>
                <w:highlight w:val="none"/>
              </w:rPr>
            </w:pPr>
          </w:p>
        </w:tc>
        <w:tc>
          <w:tcPr>
            <w:tcW w:w="4336" w:type="dxa"/>
            <w:tcBorders>
              <w:top w:val="single" w:color="auto" w:sz="4" w:space="0"/>
              <w:left w:val="single" w:color="auto" w:sz="4" w:space="0"/>
              <w:bottom w:val="single" w:color="auto" w:sz="4" w:space="0"/>
              <w:right w:val="single" w:color="auto" w:sz="4" w:space="0"/>
            </w:tcBorders>
            <w:vAlign w:val="center"/>
          </w:tcPr>
          <w:p w14:paraId="063B2E41">
            <w:pPr>
              <w:pStyle w:val="321"/>
              <w:spacing w:line="360" w:lineRule="auto"/>
              <w:ind w:firstLine="200"/>
              <w:jc w:val="center"/>
              <w:rPr>
                <w:rFonts w:hAnsi="宋体" w:cs="宋体"/>
                <w:color w:val="auto"/>
                <w:sz w:val="21"/>
                <w:szCs w:val="21"/>
                <w:highlight w:val="none"/>
              </w:rPr>
            </w:pPr>
          </w:p>
        </w:tc>
        <w:tc>
          <w:tcPr>
            <w:tcW w:w="3253" w:type="dxa"/>
            <w:tcBorders>
              <w:top w:val="single" w:color="auto" w:sz="4" w:space="0"/>
              <w:left w:val="single" w:color="auto" w:sz="4" w:space="0"/>
              <w:bottom w:val="single" w:color="auto" w:sz="4" w:space="0"/>
              <w:right w:val="single" w:color="auto" w:sz="4" w:space="0"/>
            </w:tcBorders>
            <w:vAlign w:val="center"/>
          </w:tcPr>
          <w:p w14:paraId="20219CC1">
            <w:pPr>
              <w:pStyle w:val="321"/>
              <w:spacing w:line="360" w:lineRule="auto"/>
              <w:ind w:firstLine="200"/>
              <w:jc w:val="center"/>
              <w:rPr>
                <w:rFonts w:hAnsi="宋体" w:cs="宋体"/>
                <w:color w:val="auto"/>
                <w:sz w:val="21"/>
                <w:szCs w:val="21"/>
                <w:highlight w:val="none"/>
              </w:rPr>
            </w:pPr>
          </w:p>
        </w:tc>
      </w:tr>
      <w:tr w14:paraId="1E96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866" w:type="dxa"/>
            <w:gridSpan w:val="2"/>
            <w:tcBorders>
              <w:top w:val="single" w:color="auto" w:sz="4" w:space="0"/>
              <w:left w:val="single" w:color="auto" w:sz="4" w:space="0"/>
              <w:bottom w:val="single" w:color="auto" w:sz="4" w:space="0"/>
              <w:right w:val="single" w:color="auto" w:sz="4" w:space="0"/>
            </w:tcBorders>
            <w:vAlign w:val="center"/>
          </w:tcPr>
          <w:p w14:paraId="7E0D5A13">
            <w:pPr>
              <w:pStyle w:val="321"/>
              <w:spacing w:line="360" w:lineRule="auto"/>
              <w:ind w:firstLine="200"/>
              <w:jc w:val="center"/>
              <w:rPr>
                <w:rFonts w:hAnsi="宋体" w:cs="宋体"/>
                <w:color w:val="auto"/>
                <w:sz w:val="21"/>
                <w:szCs w:val="21"/>
                <w:highlight w:val="none"/>
              </w:rPr>
            </w:pPr>
            <w:r>
              <w:rPr>
                <w:rFonts w:hint="eastAsia" w:hAnsi="宋体" w:cs="宋体"/>
                <w:color w:val="auto"/>
                <w:sz w:val="21"/>
                <w:szCs w:val="21"/>
                <w:highlight w:val="none"/>
              </w:rPr>
              <w:t>总价</w:t>
            </w:r>
          </w:p>
        </w:tc>
        <w:tc>
          <w:tcPr>
            <w:tcW w:w="3253" w:type="dxa"/>
            <w:tcBorders>
              <w:top w:val="single" w:color="auto" w:sz="4" w:space="0"/>
              <w:left w:val="single" w:color="auto" w:sz="4" w:space="0"/>
              <w:bottom w:val="single" w:color="auto" w:sz="4" w:space="0"/>
              <w:right w:val="single" w:color="auto" w:sz="4" w:space="0"/>
            </w:tcBorders>
            <w:vAlign w:val="center"/>
          </w:tcPr>
          <w:p w14:paraId="67C84716">
            <w:pPr>
              <w:pStyle w:val="321"/>
              <w:spacing w:line="360" w:lineRule="auto"/>
              <w:ind w:firstLine="200"/>
              <w:jc w:val="center"/>
              <w:rPr>
                <w:rFonts w:hAnsi="宋体" w:cs="宋体"/>
                <w:color w:val="auto"/>
                <w:sz w:val="21"/>
                <w:szCs w:val="21"/>
                <w:highlight w:val="none"/>
              </w:rPr>
            </w:pPr>
          </w:p>
        </w:tc>
      </w:tr>
    </w:tbl>
    <w:p w14:paraId="6EAB4270">
      <w:pPr>
        <w:spacing w:line="360" w:lineRule="auto"/>
        <w:ind w:firstLine="422" w:firstLineChars="200"/>
        <w:outlineLvl w:val="0"/>
        <w:rPr>
          <w:rFonts w:ascii="宋体" w:hAnsi="宋体" w:cs="宋体"/>
          <w:b/>
          <w:color w:val="auto"/>
          <w:szCs w:val="21"/>
          <w:highlight w:val="none"/>
        </w:rPr>
      </w:pPr>
      <w:bookmarkStart w:id="461" w:name="_Toc1814"/>
      <w:bookmarkStart w:id="462" w:name="_Toc22618"/>
      <w:bookmarkStart w:id="463" w:name="_Toc10340"/>
      <w:bookmarkStart w:id="464" w:name="_Toc7570"/>
      <w:bookmarkStart w:id="465" w:name="_Toc18710"/>
      <w:r>
        <w:rPr>
          <w:rFonts w:hint="eastAsia" w:ascii="宋体" w:hAnsi="宋体" w:cs="宋体"/>
          <w:b/>
          <w:color w:val="auto"/>
          <w:szCs w:val="21"/>
          <w:highlight w:val="none"/>
        </w:rPr>
        <w:t>5 付款</w:t>
      </w:r>
      <w:bookmarkEnd w:id="461"/>
      <w:bookmarkEnd w:id="462"/>
      <w:bookmarkEnd w:id="463"/>
      <w:r>
        <w:rPr>
          <w:rFonts w:hint="eastAsia" w:ascii="宋体" w:hAnsi="宋体" w:cs="宋体"/>
          <w:b/>
          <w:color w:val="auto"/>
          <w:szCs w:val="21"/>
          <w:highlight w:val="none"/>
        </w:rPr>
        <w:t>方式、时间和条件</w:t>
      </w:r>
      <w:bookmarkEnd w:id="464"/>
      <w:bookmarkEnd w:id="465"/>
    </w:p>
    <w:p w14:paraId="4264975C">
      <w:pPr>
        <w:pStyle w:val="958"/>
        <w:spacing w:before="0" w:beforeAutospacing="0" w:after="0" w:afterAutospacing="0" w:line="360" w:lineRule="auto"/>
        <w:ind w:firstLine="480"/>
        <w:rPr>
          <w:b/>
          <w:bCs/>
          <w:i/>
          <w:iCs/>
          <w:color w:val="auto"/>
          <w:kern w:val="2"/>
          <w:sz w:val="21"/>
          <w:szCs w:val="21"/>
          <w:highlight w:val="none"/>
          <w:u w:val="single"/>
        </w:rPr>
      </w:pPr>
      <w:bookmarkStart w:id="466" w:name="_Toc32071"/>
      <w:bookmarkStart w:id="467" w:name="_Toc2846"/>
      <w:bookmarkStart w:id="468" w:name="_Toc19304"/>
      <w:r>
        <w:rPr>
          <w:rFonts w:hint="eastAsia"/>
          <w:color w:val="auto"/>
          <w:kern w:val="2"/>
          <w:sz w:val="21"/>
          <w:szCs w:val="21"/>
          <w:highlight w:val="none"/>
        </w:rPr>
        <w:t>5.1 资金支付的方式、时间和条件：</w:t>
      </w:r>
      <w:r>
        <w:rPr>
          <w:rFonts w:hint="eastAsia"/>
          <w:b/>
          <w:bCs/>
          <w:i/>
          <w:iCs/>
          <w:color w:val="auto"/>
          <w:kern w:val="2"/>
          <w:sz w:val="21"/>
          <w:szCs w:val="21"/>
          <w:highlight w:val="none"/>
          <w:u w:val="single"/>
        </w:rPr>
        <w:t xml:space="preserve">                       </w:t>
      </w:r>
    </w:p>
    <w:p w14:paraId="49A33C43">
      <w:pPr>
        <w:pStyle w:val="958"/>
        <w:spacing w:before="0" w:beforeAutospacing="0" w:after="0" w:afterAutospacing="0" w:line="360" w:lineRule="auto"/>
        <w:ind w:firstLine="480"/>
        <w:rPr>
          <w:color w:val="auto"/>
          <w:kern w:val="2"/>
          <w:sz w:val="21"/>
          <w:szCs w:val="21"/>
          <w:highlight w:val="none"/>
        </w:rPr>
      </w:pPr>
      <w:r>
        <w:rPr>
          <w:rFonts w:hint="eastAsia"/>
          <w:color w:val="auto"/>
          <w:kern w:val="2"/>
          <w:sz w:val="21"/>
          <w:szCs w:val="21"/>
          <w:highlight w:val="none"/>
        </w:rPr>
        <w:t>5.2 乙方收款账户：</w:t>
      </w:r>
    </w:p>
    <w:p w14:paraId="1E1A9CB6">
      <w:pPr>
        <w:autoSpaceDE w:val="0"/>
        <w:autoSpaceDN w:val="0"/>
        <w:spacing w:line="360" w:lineRule="auto"/>
        <w:ind w:left="1470" w:leftChars="700"/>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b/>
          <w:bCs/>
          <w:i/>
          <w:iCs/>
          <w:color w:val="auto"/>
          <w:szCs w:val="21"/>
          <w:highlight w:val="none"/>
          <w:u w:val="single"/>
        </w:rPr>
        <w:t xml:space="preserve">                          </w:t>
      </w:r>
      <w:r>
        <w:rPr>
          <w:rFonts w:hint="eastAsia" w:ascii="宋体" w:hAnsi="宋体" w:cs="宋体"/>
          <w:color w:val="auto"/>
          <w:szCs w:val="21"/>
          <w:highlight w:val="none"/>
        </w:rPr>
        <w:t xml:space="preserve">                          </w:t>
      </w:r>
    </w:p>
    <w:p w14:paraId="5E39CF52">
      <w:pPr>
        <w:autoSpaceDE w:val="0"/>
        <w:autoSpaceDN w:val="0"/>
        <w:spacing w:line="360" w:lineRule="auto"/>
        <w:ind w:left="1470" w:leftChars="700"/>
        <w:rPr>
          <w:rFonts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b/>
          <w:bCs/>
          <w:i/>
          <w:iCs/>
          <w:color w:val="auto"/>
          <w:szCs w:val="21"/>
          <w:highlight w:val="none"/>
          <w:u w:val="single"/>
        </w:rPr>
        <w:t xml:space="preserve">                          </w:t>
      </w:r>
      <w:r>
        <w:rPr>
          <w:rFonts w:hint="eastAsia" w:ascii="宋体" w:hAnsi="宋体" w:cs="宋体"/>
          <w:color w:val="auto"/>
          <w:szCs w:val="21"/>
          <w:highlight w:val="none"/>
        </w:rPr>
        <w:t xml:space="preserve">                             </w:t>
      </w:r>
    </w:p>
    <w:p w14:paraId="31863B97">
      <w:pPr>
        <w:autoSpaceDE w:val="0"/>
        <w:autoSpaceDN w:val="0"/>
        <w:spacing w:line="360" w:lineRule="auto"/>
        <w:ind w:left="1470" w:leftChars="700"/>
        <w:rPr>
          <w:rFonts w:ascii="宋体" w:hAnsi="宋体" w:cs="宋体"/>
          <w:color w:val="auto"/>
          <w:szCs w:val="21"/>
          <w:highlight w:val="none"/>
          <w:lang w:val="zh-CN"/>
        </w:rPr>
      </w:pPr>
      <w:r>
        <w:rPr>
          <w:rFonts w:hint="eastAsia" w:ascii="宋体" w:hAnsi="宋体" w:cs="宋体"/>
          <w:color w:val="auto"/>
          <w:szCs w:val="21"/>
          <w:highlight w:val="none"/>
        </w:rPr>
        <w:t>开户账号：</w:t>
      </w:r>
      <w:r>
        <w:rPr>
          <w:rFonts w:hint="eastAsia" w:ascii="宋体" w:hAnsi="宋体" w:cs="宋体"/>
          <w:b/>
          <w:bCs/>
          <w:i/>
          <w:iCs/>
          <w:color w:val="auto"/>
          <w:szCs w:val="21"/>
          <w:highlight w:val="none"/>
          <w:u w:val="single"/>
        </w:rPr>
        <w:t xml:space="preserve">                          </w:t>
      </w:r>
      <w:r>
        <w:rPr>
          <w:rFonts w:hint="eastAsia" w:ascii="宋体" w:hAnsi="宋体" w:cs="宋体"/>
          <w:color w:val="auto"/>
          <w:szCs w:val="21"/>
          <w:highlight w:val="none"/>
          <w:lang w:val="zh-CN"/>
        </w:rPr>
        <w:t xml:space="preserve">      </w:t>
      </w:r>
    </w:p>
    <w:p w14:paraId="584529DE">
      <w:pPr>
        <w:spacing w:line="360" w:lineRule="auto"/>
        <w:ind w:firstLine="422" w:firstLineChars="200"/>
        <w:outlineLvl w:val="0"/>
        <w:rPr>
          <w:rFonts w:ascii="宋体" w:hAnsi="宋体" w:cs="宋体"/>
          <w:b/>
          <w:color w:val="auto"/>
          <w:szCs w:val="21"/>
          <w:highlight w:val="none"/>
        </w:rPr>
      </w:pPr>
      <w:bookmarkStart w:id="469" w:name="_Toc5843"/>
      <w:bookmarkStart w:id="470" w:name="_Toc5373"/>
      <w:r>
        <w:rPr>
          <w:rFonts w:hint="eastAsia" w:ascii="宋体" w:hAnsi="宋体" w:cs="宋体"/>
          <w:b/>
          <w:color w:val="auto"/>
          <w:szCs w:val="21"/>
          <w:highlight w:val="none"/>
        </w:rPr>
        <w:t>6 货物交付期限、地点和方式</w:t>
      </w:r>
      <w:bookmarkEnd w:id="466"/>
      <w:bookmarkEnd w:id="467"/>
      <w:bookmarkEnd w:id="468"/>
      <w:bookmarkEnd w:id="469"/>
      <w:bookmarkEnd w:id="470"/>
    </w:p>
    <w:p w14:paraId="5581CCCC">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6.1 交付期限：</w:t>
      </w:r>
      <w:r>
        <w:rPr>
          <w:rFonts w:hint="eastAsia" w:ascii="宋体" w:hAnsi="宋体" w:cs="宋体"/>
          <w:b/>
          <w:i/>
          <w:color w:val="auto"/>
          <w:szCs w:val="21"/>
          <w:highlight w:val="none"/>
          <w:u w:val="single"/>
        </w:rPr>
        <w:t xml:space="preserve">                   </w:t>
      </w:r>
    </w:p>
    <w:p w14:paraId="63C8DD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 交付地点：</w:t>
      </w:r>
      <w:r>
        <w:rPr>
          <w:rFonts w:hint="eastAsia" w:ascii="宋体" w:hAnsi="宋体" w:cs="宋体"/>
          <w:b/>
          <w:i/>
          <w:color w:val="auto"/>
          <w:szCs w:val="21"/>
          <w:highlight w:val="none"/>
          <w:u w:val="single"/>
        </w:rPr>
        <w:t xml:space="preserve">                   </w:t>
      </w:r>
    </w:p>
    <w:p w14:paraId="70E0EF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 交付方式：</w:t>
      </w:r>
      <w:r>
        <w:rPr>
          <w:rFonts w:hint="eastAsia" w:ascii="宋体" w:hAnsi="宋体" w:cs="宋体"/>
          <w:b/>
          <w:i/>
          <w:color w:val="auto"/>
          <w:szCs w:val="21"/>
          <w:highlight w:val="none"/>
          <w:u w:val="single"/>
        </w:rPr>
        <w:t xml:space="preserve">                   </w:t>
      </w:r>
    </w:p>
    <w:p w14:paraId="676FE929">
      <w:pPr>
        <w:spacing w:line="360" w:lineRule="auto"/>
        <w:ind w:firstLine="422" w:firstLineChars="200"/>
        <w:outlineLvl w:val="0"/>
        <w:rPr>
          <w:rFonts w:ascii="宋体" w:hAnsi="宋体" w:cs="宋体"/>
          <w:b/>
          <w:color w:val="auto"/>
          <w:szCs w:val="21"/>
          <w:highlight w:val="none"/>
        </w:rPr>
      </w:pPr>
      <w:bookmarkStart w:id="471" w:name="_Toc30235"/>
      <w:bookmarkStart w:id="472" w:name="_Toc11473"/>
      <w:r>
        <w:rPr>
          <w:rFonts w:hint="eastAsia" w:ascii="宋体" w:hAnsi="宋体" w:cs="宋体"/>
          <w:b/>
          <w:color w:val="auto"/>
          <w:szCs w:val="21"/>
          <w:highlight w:val="none"/>
        </w:rPr>
        <w:t>7 技术规范</w:t>
      </w:r>
      <w:bookmarkEnd w:id="471"/>
      <w:bookmarkEnd w:id="472"/>
    </w:p>
    <w:p w14:paraId="32DFD1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货物所应遵守的技术规范应与招标文件规定的技术规范和技术规范附件</w:t>
      </w:r>
      <w:r>
        <w:rPr>
          <w:rFonts w:hint="eastAsia" w:ascii="宋体" w:hAnsi="宋体" w:cs="宋体"/>
          <w:color w:val="auto"/>
          <w:szCs w:val="21"/>
          <w:highlight w:val="none"/>
          <w:lang w:eastAsia="zh-CN"/>
        </w:rPr>
        <w:t>（</w:t>
      </w:r>
      <w:r>
        <w:rPr>
          <w:rFonts w:hint="eastAsia" w:ascii="宋体" w:hAnsi="宋体" w:cs="宋体"/>
          <w:color w:val="auto"/>
          <w:szCs w:val="21"/>
          <w:highlight w:val="none"/>
        </w:rPr>
        <w:t>如果有的话</w:t>
      </w:r>
      <w:r>
        <w:rPr>
          <w:rFonts w:hint="eastAsia" w:ascii="宋体" w:hAnsi="宋体" w:cs="宋体"/>
          <w:color w:val="auto"/>
          <w:szCs w:val="21"/>
          <w:highlight w:val="none"/>
          <w:lang w:eastAsia="zh-CN"/>
        </w:rPr>
        <w:t>）</w:t>
      </w:r>
      <w:r>
        <w:rPr>
          <w:rFonts w:hint="eastAsia" w:ascii="宋体" w:hAnsi="宋体" w:cs="宋体"/>
          <w:color w:val="auto"/>
          <w:szCs w:val="21"/>
          <w:highlight w:val="none"/>
        </w:rPr>
        <w:t>及其技术规范偏差表</w:t>
      </w:r>
      <w:r>
        <w:rPr>
          <w:rFonts w:hint="eastAsia" w:ascii="宋体" w:hAnsi="宋体" w:cs="宋体"/>
          <w:color w:val="auto"/>
          <w:szCs w:val="21"/>
          <w:highlight w:val="none"/>
          <w:lang w:eastAsia="zh-CN"/>
        </w:rPr>
        <w:t>（</w:t>
      </w:r>
      <w:r>
        <w:rPr>
          <w:rFonts w:hint="eastAsia" w:ascii="宋体" w:hAnsi="宋体" w:cs="宋体"/>
          <w:color w:val="auto"/>
          <w:szCs w:val="21"/>
          <w:highlight w:val="none"/>
        </w:rPr>
        <w:t>如果被甲方接受的话</w:t>
      </w:r>
      <w:r>
        <w:rPr>
          <w:rFonts w:hint="eastAsia" w:ascii="宋体" w:hAnsi="宋体" w:cs="宋体"/>
          <w:color w:val="auto"/>
          <w:szCs w:val="21"/>
          <w:highlight w:val="none"/>
          <w:lang w:eastAsia="zh-CN"/>
        </w:rPr>
        <w:t>）</w:t>
      </w:r>
      <w:r>
        <w:rPr>
          <w:rFonts w:hint="eastAsia" w:ascii="宋体" w:hAnsi="宋体" w:cs="宋体"/>
          <w:color w:val="auto"/>
          <w:szCs w:val="21"/>
          <w:highlight w:val="none"/>
        </w:rPr>
        <w:t>相一致；如果招标文件中没有技术规范的相应说明，那么应以国家有关部门最新颁布的相应标准和规范为准。</w:t>
      </w:r>
    </w:p>
    <w:p w14:paraId="3D226F78">
      <w:pPr>
        <w:spacing w:line="360" w:lineRule="auto"/>
        <w:ind w:firstLine="422" w:firstLineChars="200"/>
        <w:outlineLvl w:val="0"/>
        <w:rPr>
          <w:rFonts w:ascii="宋体" w:hAnsi="宋体" w:cs="宋体"/>
          <w:b/>
          <w:color w:val="auto"/>
          <w:szCs w:val="21"/>
          <w:highlight w:val="none"/>
        </w:rPr>
      </w:pPr>
      <w:bookmarkStart w:id="473" w:name="_Toc13674"/>
      <w:bookmarkStart w:id="474" w:name="_Toc27217"/>
      <w:r>
        <w:rPr>
          <w:rFonts w:hint="eastAsia" w:ascii="宋体" w:hAnsi="宋体" w:cs="宋体"/>
          <w:b/>
          <w:color w:val="auto"/>
          <w:szCs w:val="21"/>
          <w:highlight w:val="none"/>
        </w:rPr>
        <w:t>8 知识产权</w:t>
      </w:r>
      <w:bookmarkEnd w:id="473"/>
      <w:bookmarkEnd w:id="474"/>
    </w:p>
    <w:p w14:paraId="65ADDD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67E1E8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8.2具有知识产权的计算机软件等货物的知识产权归属，除合同另有规定外，归甲方所有。</w:t>
      </w:r>
    </w:p>
    <w:p w14:paraId="3C0E209D">
      <w:pPr>
        <w:spacing w:line="360" w:lineRule="auto"/>
        <w:ind w:firstLine="422" w:firstLineChars="200"/>
        <w:outlineLvl w:val="0"/>
        <w:rPr>
          <w:rFonts w:ascii="宋体" w:hAnsi="宋体" w:cs="宋体"/>
          <w:b/>
          <w:color w:val="auto"/>
          <w:szCs w:val="21"/>
          <w:highlight w:val="none"/>
        </w:rPr>
      </w:pPr>
      <w:bookmarkStart w:id="475" w:name="_Toc15852"/>
      <w:bookmarkStart w:id="476" w:name="_Toc9045"/>
      <w:r>
        <w:rPr>
          <w:rFonts w:hint="eastAsia" w:ascii="宋体" w:hAnsi="宋体" w:cs="宋体"/>
          <w:b/>
          <w:color w:val="auto"/>
          <w:szCs w:val="21"/>
          <w:highlight w:val="none"/>
        </w:rPr>
        <w:t>9 包装和装运</w:t>
      </w:r>
      <w:bookmarkEnd w:id="475"/>
      <w:bookmarkEnd w:id="476"/>
    </w:p>
    <w:p w14:paraId="4F99B1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3D289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2EB51405">
      <w:pPr>
        <w:spacing w:line="360" w:lineRule="auto"/>
        <w:ind w:firstLine="422" w:firstLineChars="200"/>
        <w:outlineLvl w:val="0"/>
        <w:rPr>
          <w:rFonts w:ascii="宋体" w:hAnsi="宋体" w:cs="宋体"/>
          <w:b/>
          <w:color w:val="auto"/>
          <w:szCs w:val="21"/>
          <w:highlight w:val="none"/>
        </w:rPr>
      </w:pPr>
      <w:bookmarkStart w:id="477" w:name="_Toc19488"/>
      <w:bookmarkStart w:id="478" w:name="_Toc3476"/>
      <w:r>
        <w:rPr>
          <w:rFonts w:hint="eastAsia" w:ascii="宋体" w:hAnsi="宋体" w:cs="宋体"/>
          <w:b/>
          <w:color w:val="auto"/>
          <w:szCs w:val="21"/>
          <w:highlight w:val="none"/>
        </w:rPr>
        <w:t>10 履约保证金</w:t>
      </w:r>
      <w:bookmarkEnd w:id="477"/>
      <w:bookmarkEnd w:id="478"/>
    </w:p>
    <w:p w14:paraId="3F8BD8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本项目不收取履约保证金。</w:t>
      </w:r>
    </w:p>
    <w:p w14:paraId="4617CD29">
      <w:pPr>
        <w:spacing w:line="360" w:lineRule="auto"/>
        <w:ind w:firstLine="422" w:firstLineChars="200"/>
        <w:outlineLvl w:val="0"/>
        <w:rPr>
          <w:rFonts w:ascii="宋体" w:hAnsi="宋体" w:cs="宋体"/>
          <w:b/>
          <w:color w:val="auto"/>
          <w:szCs w:val="21"/>
          <w:highlight w:val="none"/>
        </w:rPr>
      </w:pPr>
      <w:bookmarkStart w:id="479" w:name="_Toc7434"/>
      <w:bookmarkStart w:id="480" w:name="_Toc28067"/>
      <w:r>
        <w:rPr>
          <w:rFonts w:hint="eastAsia" w:ascii="宋体" w:hAnsi="宋体" w:cs="宋体"/>
          <w:b/>
          <w:color w:val="auto"/>
          <w:szCs w:val="21"/>
          <w:highlight w:val="none"/>
        </w:rPr>
        <w:t>11 履约检查和问题反馈</w:t>
      </w:r>
      <w:bookmarkEnd w:id="479"/>
      <w:bookmarkEnd w:id="480"/>
    </w:p>
    <w:p w14:paraId="6B4D45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11.1甲方有权在其认为必要时，对乙方是否能够按照合同约定交付货物进行履约检查，以确保乙方所交付的货物能够依约满足甲方之项目需求，但不得因履约检查妨碍乙方的正常工作，乙方应予积极配合；</w:t>
      </w:r>
    </w:p>
    <w:p w14:paraId="0C8F92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 合同履行期间，甲方有权将履行过程中出现的问题反馈给乙方，双方当事人应以书面形式约定需要完善和改进的内容。</w:t>
      </w:r>
    </w:p>
    <w:p w14:paraId="30A5328E">
      <w:pPr>
        <w:spacing w:line="360" w:lineRule="auto"/>
        <w:ind w:firstLine="422" w:firstLineChars="200"/>
        <w:outlineLvl w:val="0"/>
        <w:rPr>
          <w:rFonts w:ascii="宋体" w:hAnsi="宋体" w:cs="宋体"/>
          <w:b/>
          <w:color w:val="auto"/>
          <w:szCs w:val="21"/>
          <w:highlight w:val="none"/>
        </w:rPr>
      </w:pPr>
      <w:bookmarkStart w:id="481" w:name="_Toc5396"/>
      <w:bookmarkStart w:id="482" w:name="_Toc8089"/>
      <w:r>
        <w:rPr>
          <w:rFonts w:hint="eastAsia" w:ascii="宋体" w:hAnsi="宋体" w:cs="宋体"/>
          <w:b/>
          <w:color w:val="auto"/>
          <w:szCs w:val="21"/>
          <w:highlight w:val="none"/>
        </w:rPr>
        <w:t>12 检验和验收</w:t>
      </w:r>
      <w:bookmarkEnd w:id="481"/>
      <w:bookmarkEnd w:id="482"/>
    </w:p>
    <w:p w14:paraId="5B12D2EB">
      <w:pPr>
        <w:tabs>
          <w:tab w:val="left" w:pos="360"/>
          <w:tab w:val="left" w:pos="540"/>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12.1货物交付前，乙方应对货物的质量、数量等方面进行详细、全面的检验，并向甲方出具证明货物符合合同约定的文件；货物交付时，乙方在交付后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个工作日内组织验收，并可依法邀请相关方参加，验收应出具验收书。</w:t>
      </w:r>
    </w:p>
    <w:p w14:paraId="70C228EC">
      <w:pPr>
        <w:tabs>
          <w:tab w:val="left" w:pos="360"/>
          <w:tab w:val="left" w:pos="540"/>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B717B27">
      <w:pPr>
        <w:pStyle w:val="23"/>
        <w:ind w:firstLine="420" w:firstLineChars="200"/>
        <w:rPr>
          <w:rFonts w:hAnsi="宋体" w:cs="宋体"/>
          <w:color w:val="auto"/>
          <w:sz w:val="21"/>
          <w:highlight w:val="none"/>
        </w:rPr>
      </w:pPr>
      <w:r>
        <w:rPr>
          <w:rFonts w:hint="eastAsia" w:hAnsi="宋体" w:cs="宋体"/>
          <w:color w:val="auto"/>
          <w:sz w:val="21"/>
          <w:highlight w:val="none"/>
        </w:rPr>
        <w:t>12.3最终验收不通过的，甲方可单方面解除合同，并扣除全额履约保证金，乙方须无条件退回已收取的全部货款，并承担由此给甲方造成的损失和责任。</w:t>
      </w:r>
    </w:p>
    <w:p w14:paraId="47FC82C2">
      <w:pPr>
        <w:spacing w:line="360" w:lineRule="auto"/>
        <w:ind w:firstLine="422" w:firstLineChars="200"/>
        <w:outlineLvl w:val="0"/>
        <w:rPr>
          <w:rFonts w:ascii="宋体" w:hAnsi="宋体" w:cs="宋体"/>
          <w:b/>
          <w:color w:val="auto"/>
          <w:szCs w:val="21"/>
          <w:highlight w:val="none"/>
        </w:rPr>
      </w:pPr>
      <w:bookmarkStart w:id="483" w:name="_Toc29305"/>
      <w:bookmarkStart w:id="484" w:name="_Toc27090"/>
      <w:r>
        <w:rPr>
          <w:rFonts w:hint="eastAsia" w:ascii="宋体" w:hAnsi="宋体" w:cs="宋体"/>
          <w:b/>
          <w:color w:val="auto"/>
          <w:szCs w:val="21"/>
          <w:highlight w:val="none"/>
        </w:rPr>
        <w:t>13 技术资料和保密义务</w:t>
      </w:r>
      <w:bookmarkEnd w:id="483"/>
      <w:bookmarkEnd w:id="484"/>
    </w:p>
    <w:p w14:paraId="5FC3E6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乙方有权依据合同约定和项目需要，向甲方了解有关情况，调阅有关资料等，甲方应予积极配合；</w:t>
      </w:r>
    </w:p>
    <w:p w14:paraId="32FC87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13.2 乙方有义务妥善保管和保护由甲方提供的前款信息和资料等；</w:t>
      </w:r>
    </w:p>
    <w:p w14:paraId="628CF0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AF098A0">
      <w:pPr>
        <w:spacing w:line="360" w:lineRule="auto"/>
        <w:ind w:firstLine="422" w:firstLineChars="200"/>
        <w:outlineLvl w:val="0"/>
        <w:rPr>
          <w:rFonts w:ascii="宋体" w:hAnsi="宋体" w:cs="宋体"/>
          <w:b/>
          <w:color w:val="auto"/>
          <w:szCs w:val="21"/>
          <w:highlight w:val="none"/>
        </w:rPr>
      </w:pPr>
      <w:bookmarkStart w:id="485" w:name="_Toc31457"/>
      <w:bookmarkStart w:id="486" w:name="_Toc25751"/>
      <w:r>
        <w:rPr>
          <w:rFonts w:hint="eastAsia" w:ascii="宋体" w:hAnsi="宋体" w:cs="宋体"/>
          <w:b/>
          <w:color w:val="auto"/>
          <w:szCs w:val="21"/>
          <w:highlight w:val="none"/>
        </w:rPr>
        <w:t>14 质量保证</w:t>
      </w:r>
      <w:bookmarkEnd w:id="485"/>
      <w:bookmarkEnd w:id="486"/>
    </w:p>
    <w:p w14:paraId="5787C7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乙方应建立和完善履行合同的内部质量保证体系，并提供相关内部规章制度给甲方，以便甲方进行监督检查；</w:t>
      </w:r>
    </w:p>
    <w:p w14:paraId="6DD026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 乙方应保证履行合同的人员数量和素质、软件和硬件设备的配置、场地、环境和设施等满足全面履行合同的要求，并应接受甲方的监督检查。</w:t>
      </w:r>
    </w:p>
    <w:p w14:paraId="3442043B">
      <w:pPr>
        <w:spacing w:line="360" w:lineRule="auto"/>
        <w:ind w:firstLine="422" w:firstLineChars="200"/>
        <w:outlineLvl w:val="0"/>
        <w:rPr>
          <w:rFonts w:ascii="宋体" w:hAnsi="宋体" w:cs="宋体"/>
          <w:b/>
          <w:color w:val="auto"/>
          <w:szCs w:val="21"/>
          <w:highlight w:val="none"/>
        </w:rPr>
      </w:pPr>
      <w:bookmarkStart w:id="487" w:name="_Toc15039"/>
      <w:bookmarkStart w:id="488" w:name="_Toc27769"/>
      <w:r>
        <w:rPr>
          <w:rFonts w:hint="eastAsia" w:ascii="宋体" w:hAnsi="宋体" w:cs="宋体"/>
          <w:b/>
          <w:color w:val="auto"/>
          <w:szCs w:val="21"/>
          <w:highlight w:val="none"/>
        </w:rPr>
        <w:t>15 货物的风险负担</w:t>
      </w:r>
      <w:bookmarkEnd w:id="487"/>
      <w:bookmarkEnd w:id="488"/>
    </w:p>
    <w:p w14:paraId="687DBB54">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货物在甲方未收货前出现的货物毁损、灭失的风险均由乙方承担。</w:t>
      </w:r>
    </w:p>
    <w:p w14:paraId="012C4BC8">
      <w:pPr>
        <w:spacing w:line="360" w:lineRule="auto"/>
        <w:ind w:firstLine="422" w:firstLineChars="200"/>
        <w:outlineLvl w:val="0"/>
        <w:rPr>
          <w:rFonts w:ascii="宋体" w:hAnsi="宋体" w:cs="宋体"/>
          <w:b/>
          <w:color w:val="auto"/>
          <w:szCs w:val="21"/>
          <w:highlight w:val="none"/>
        </w:rPr>
      </w:pPr>
      <w:bookmarkStart w:id="489" w:name="_Toc3442"/>
      <w:bookmarkStart w:id="490" w:name="_Toc4241"/>
      <w:r>
        <w:rPr>
          <w:rFonts w:hint="eastAsia" w:ascii="宋体" w:hAnsi="宋体" w:cs="宋体"/>
          <w:b/>
          <w:color w:val="auto"/>
          <w:szCs w:val="21"/>
          <w:highlight w:val="none"/>
        </w:rPr>
        <w:t>16 延迟交货</w:t>
      </w:r>
      <w:bookmarkEnd w:id="489"/>
      <w:bookmarkEnd w:id="490"/>
    </w:p>
    <w:p w14:paraId="022468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4803C61A">
      <w:pPr>
        <w:spacing w:line="360" w:lineRule="auto"/>
        <w:ind w:firstLine="422" w:firstLineChars="200"/>
        <w:outlineLvl w:val="0"/>
        <w:rPr>
          <w:rFonts w:ascii="宋体" w:hAnsi="宋体" w:cs="宋体"/>
          <w:b/>
          <w:color w:val="auto"/>
          <w:szCs w:val="21"/>
          <w:highlight w:val="none"/>
        </w:rPr>
      </w:pPr>
      <w:bookmarkStart w:id="491" w:name="_Toc18102"/>
      <w:bookmarkStart w:id="492" w:name="_Toc17196"/>
      <w:r>
        <w:rPr>
          <w:rFonts w:hint="eastAsia" w:ascii="宋体" w:hAnsi="宋体" w:cs="宋体"/>
          <w:b/>
          <w:color w:val="auto"/>
          <w:szCs w:val="21"/>
          <w:highlight w:val="none"/>
        </w:rPr>
        <w:t>17 合同变更</w:t>
      </w:r>
      <w:bookmarkEnd w:id="491"/>
      <w:bookmarkEnd w:id="492"/>
    </w:p>
    <w:p w14:paraId="3B5121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合同继续履行将损害国家利益和社会公共利益的，双方当事人应当以书面形式变更合同。有过错的一方应当承担赔偿责任，双方当事人都有过错的，各自承担相应的责任。</w:t>
      </w:r>
    </w:p>
    <w:p w14:paraId="1D0E255D">
      <w:pPr>
        <w:spacing w:line="360" w:lineRule="auto"/>
        <w:ind w:firstLine="422" w:firstLineChars="200"/>
        <w:outlineLvl w:val="0"/>
        <w:rPr>
          <w:rFonts w:ascii="宋体" w:hAnsi="宋体" w:cs="宋体"/>
          <w:b/>
          <w:color w:val="auto"/>
          <w:szCs w:val="21"/>
          <w:highlight w:val="none"/>
        </w:rPr>
      </w:pPr>
      <w:bookmarkStart w:id="493" w:name="_Toc3601"/>
      <w:bookmarkStart w:id="494" w:name="_Toc6233"/>
      <w:r>
        <w:rPr>
          <w:rFonts w:hint="eastAsia" w:ascii="宋体" w:hAnsi="宋体" w:cs="宋体"/>
          <w:b/>
          <w:color w:val="auto"/>
          <w:szCs w:val="21"/>
          <w:highlight w:val="none"/>
        </w:rPr>
        <w:t>18 合同转让和分包</w:t>
      </w:r>
      <w:bookmarkEnd w:id="493"/>
      <w:bookmarkEnd w:id="494"/>
    </w:p>
    <w:p w14:paraId="3D6829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3F305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18.2乙方采取分包方式履行合同的，甲方可直接向分包供应商支付款项。</w:t>
      </w:r>
    </w:p>
    <w:p w14:paraId="75084E43">
      <w:pPr>
        <w:spacing w:line="360" w:lineRule="auto"/>
        <w:ind w:firstLine="422" w:firstLineChars="200"/>
        <w:outlineLvl w:val="0"/>
        <w:rPr>
          <w:rFonts w:ascii="宋体" w:hAnsi="宋体" w:cs="宋体"/>
          <w:b/>
          <w:color w:val="auto"/>
          <w:szCs w:val="21"/>
          <w:highlight w:val="none"/>
        </w:rPr>
      </w:pPr>
      <w:bookmarkStart w:id="495" w:name="_Toc27250"/>
      <w:bookmarkStart w:id="496" w:name="_Toc18301"/>
      <w:bookmarkStart w:id="497" w:name="_Toc30279"/>
      <w:bookmarkStart w:id="498" w:name="_Toc21423"/>
      <w:bookmarkStart w:id="499" w:name="_Toc19554"/>
      <w:r>
        <w:rPr>
          <w:rFonts w:hint="eastAsia" w:ascii="宋体" w:hAnsi="宋体" w:cs="宋体"/>
          <w:b/>
          <w:color w:val="auto"/>
          <w:szCs w:val="21"/>
          <w:highlight w:val="none"/>
        </w:rPr>
        <w:t>19 违约责任</w:t>
      </w:r>
      <w:bookmarkEnd w:id="495"/>
      <w:bookmarkEnd w:id="496"/>
      <w:bookmarkEnd w:id="497"/>
      <w:bookmarkEnd w:id="498"/>
      <w:bookmarkEnd w:id="499"/>
    </w:p>
    <w:p w14:paraId="4A0A4D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 除不可抗力外，如果乙方拒绝履行合同，或没有按照本合同约定的期限、地点和方式交付货物，那么甲方可要求乙方支付违约金，违约金按每日计合同总价的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%，最高限额为本合同总价的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%；迟延交付货物的违约金计算数额达到前述最高限额之日起，甲方有权在要求乙方支付违约金的同时，书面通知乙方解除本合同；</w:t>
      </w:r>
    </w:p>
    <w:p w14:paraId="3AAB8F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 除不可抗力外，如果甲方没有按照本合同约定的付款方式付款，那么乙方可要求甲方支付违约金，违约金按每迟延付款一日的应付而未付款的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%计算，最高限额为本合同总价的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%；迟延付款的违约金计算数额达到前述最高限额之日起，乙方有权在要求甲方支付违约金的同时，书面通知甲方解除本合同；</w:t>
      </w:r>
    </w:p>
    <w:p w14:paraId="78F20A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BCEBA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B535C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3391D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19.6 如果出现政府采购监督管理部门在处理投诉事项期间，书面通知甲方暂停采购活动的情形，或者询问或质疑事项可能影响中标结果的，导致甲方中止履行合同的情形，均不视为甲方违约。</w:t>
      </w:r>
    </w:p>
    <w:p w14:paraId="0C7472B7">
      <w:pPr>
        <w:spacing w:line="360" w:lineRule="auto"/>
        <w:ind w:firstLine="422" w:firstLineChars="200"/>
        <w:outlineLvl w:val="0"/>
        <w:rPr>
          <w:rFonts w:ascii="宋体" w:hAnsi="宋体" w:cs="宋体"/>
          <w:b/>
          <w:color w:val="auto"/>
          <w:szCs w:val="21"/>
          <w:highlight w:val="none"/>
        </w:rPr>
      </w:pPr>
      <w:bookmarkStart w:id="500" w:name="_Toc29163"/>
      <w:bookmarkStart w:id="501" w:name="_Toc5839"/>
      <w:r>
        <w:rPr>
          <w:rFonts w:hint="eastAsia" w:ascii="宋体" w:hAnsi="宋体" w:cs="宋体"/>
          <w:b/>
          <w:color w:val="auto"/>
          <w:szCs w:val="21"/>
          <w:highlight w:val="none"/>
        </w:rPr>
        <w:t>20 不可抗力</w:t>
      </w:r>
      <w:bookmarkEnd w:id="500"/>
      <w:bookmarkEnd w:id="501"/>
    </w:p>
    <w:p w14:paraId="0E5188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20.1如果任何一方遭遇法律规定的不可抗力，致使合同履行受阻时，履行合同的期限应予延长，延长的期限应相当于不可抗力所影响的时间；</w:t>
      </w:r>
    </w:p>
    <w:p w14:paraId="156FF1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 因不可抗力致使不能实现合同目的的，当事人可以解除合同；</w:t>
      </w:r>
    </w:p>
    <w:p w14:paraId="7682ED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因不可抗力致使合同有变更必要的，双方当事人应在不可抗力发生后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日内以书面形式变更合同；</w:t>
      </w:r>
    </w:p>
    <w:p w14:paraId="2F3D9A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20.4受不可抗力影响的一方在不可抗力发生后，应在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日内以书面形式通知对方当事人，并在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日内，将有关部门出具的证明文件送达对方当事人。</w:t>
      </w:r>
    </w:p>
    <w:p w14:paraId="080B5FC1">
      <w:pPr>
        <w:spacing w:line="360" w:lineRule="auto"/>
        <w:ind w:firstLine="422" w:firstLineChars="200"/>
        <w:outlineLvl w:val="0"/>
        <w:rPr>
          <w:rFonts w:ascii="宋体" w:hAnsi="宋体" w:cs="宋体"/>
          <w:b/>
          <w:color w:val="auto"/>
          <w:szCs w:val="21"/>
          <w:highlight w:val="none"/>
        </w:rPr>
      </w:pPr>
      <w:bookmarkStart w:id="502" w:name="_Toc20018"/>
      <w:bookmarkStart w:id="503" w:name="_Toc7934"/>
      <w:r>
        <w:rPr>
          <w:rFonts w:hint="eastAsia" w:ascii="宋体" w:hAnsi="宋体" w:cs="宋体"/>
          <w:b/>
          <w:color w:val="auto"/>
          <w:szCs w:val="21"/>
          <w:highlight w:val="none"/>
        </w:rPr>
        <w:t>21 税费</w:t>
      </w:r>
      <w:bookmarkEnd w:id="502"/>
      <w:bookmarkEnd w:id="503"/>
    </w:p>
    <w:p w14:paraId="10F6A1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与合同有关的一切税费，均按照中华人民共和国法律的相关规定。</w:t>
      </w:r>
    </w:p>
    <w:p w14:paraId="551D6206">
      <w:pPr>
        <w:spacing w:line="360" w:lineRule="auto"/>
        <w:ind w:firstLine="422" w:firstLineChars="200"/>
        <w:outlineLvl w:val="0"/>
        <w:rPr>
          <w:rFonts w:ascii="宋体" w:hAnsi="宋体" w:cs="宋体"/>
          <w:b/>
          <w:color w:val="auto"/>
          <w:szCs w:val="21"/>
          <w:highlight w:val="none"/>
        </w:rPr>
      </w:pPr>
      <w:bookmarkStart w:id="504" w:name="_Toc16737"/>
      <w:bookmarkStart w:id="505" w:name="_Toc17733"/>
      <w:r>
        <w:rPr>
          <w:rFonts w:hint="eastAsia" w:ascii="宋体" w:hAnsi="宋体" w:cs="宋体"/>
          <w:b/>
          <w:color w:val="auto"/>
          <w:szCs w:val="21"/>
          <w:highlight w:val="none"/>
        </w:rPr>
        <w:t>22 乙方破产</w:t>
      </w:r>
      <w:bookmarkEnd w:id="504"/>
      <w:bookmarkEnd w:id="505"/>
    </w:p>
    <w:p w14:paraId="51A836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0B9362B">
      <w:pPr>
        <w:spacing w:line="360" w:lineRule="auto"/>
        <w:ind w:firstLine="422" w:firstLineChars="200"/>
        <w:outlineLvl w:val="0"/>
        <w:rPr>
          <w:rFonts w:ascii="宋体" w:hAnsi="宋体" w:cs="宋体"/>
          <w:b/>
          <w:color w:val="auto"/>
          <w:szCs w:val="21"/>
          <w:highlight w:val="none"/>
        </w:rPr>
      </w:pPr>
      <w:bookmarkStart w:id="506" w:name="_Toc4434"/>
      <w:bookmarkStart w:id="507" w:name="_Toc28375"/>
      <w:bookmarkStart w:id="508" w:name="_Toc4041"/>
      <w:bookmarkStart w:id="509" w:name="_Toc16021"/>
      <w:bookmarkStart w:id="510" w:name="_Toc15583"/>
      <w:r>
        <w:rPr>
          <w:rFonts w:hint="eastAsia" w:ascii="宋体" w:hAnsi="宋体" w:cs="宋体"/>
          <w:b/>
          <w:color w:val="auto"/>
          <w:szCs w:val="21"/>
          <w:highlight w:val="none"/>
        </w:rPr>
        <w:t>23 合同争议的解决</w:t>
      </w:r>
      <w:bookmarkEnd w:id="506"/>
      <w:bookmarkEnd w:id="507"/>
      <w:bookmarkEnd w:id="508"/>
      <w:bookmarkEnd w:id="509"/>
      <w:bookmarkEnd w:id="510"/>
    </w:p>
    <w:p w14:paraId="03426B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本合同履行过程中发生的任何争议，双方当事人均可通过和解或者调解解决；不愿和解、调解或者和解、调解不成的，可以向宁波市中级人民法院提起诉讼。</w:t>
      </w:r>
    </w:p>
    <w:p w14:paraId="5A6CE906">
      <w:pPr>
        <w:spacing w:line="360" w:lineRule="auto"/>
        <w:ind w:firstLine="422" w:firstLineChars="200"/>
        <w:outlineLvl w:val="0"/>
        <w:rPr>
          <w:rFonts w:ascii="宋体" w:hAnsi="宋体" w:cs="宋体"/>
          <w:b/>
          <w:color w:val="auto"/>
          <w:szCs w:val="21"/>
          <w:highlight w:val="none"/>
        </w:rPr>
      </w:pPr>
      <w:bookmarkStart w:id="511" w:name="_Toc8286"/>
      <w:bookmarkStart w:id="512" w:name="_Toc19122"/>
      <w:r>
        <w:rPr>
          <w:rFonts w:hint="eastAsia" w:ascii="宋体" w:hAnsi="宋体" w:cs="宋体"/>
          <w:b/>
          <w:color w:val="auto"/>
          <w:szCs w:val="21"/>
          <w:highlight w:val="none"/>
        </w:rPr>
        <w:t>24 合同中止、终止</w:t>
      </w:r>
      <w:bookmarkEnd w:id="511"/>
      <w:bookmarkEnd w:id="512"/>
    </w:p>
    <w:p w14:paraId="262BE1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双方当事人不得擅自中止或者终止合同；</w:t>
      </w:r>
    </w:p>
    <w:p w14:paraId="78D9F7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24.2合同继续履行将损害国家利益和社会公共利益的，双方当事人应当中止或者终止合同。有过错的一方应当承担赔偿责任，双方当事人都有过错的，各自承担相应的责任。</w:t>
      </w:r>
    </w:p>
    <w:p w14:paraId="33D3F5CC">
      <w:pPr>
        <w:spacing w:line="360" w:lineRule="auto"/>
        <w:ind w:firstLine="422" w:firstLineChars="200"/>
        <w:outlineLvl w:val="0"/>
        <w:rPr>
          <w:rFonts w:ascii="宋体" w:hAnsi="宋体" w:cs="宋体"/>
          <w:b/>
          <w:color w:val="auto"/>
          <w:szCs w:val="21"/>
          <w:highlight w:val="none"/>
        </w:rPr>
      </w:pPr>
      <w:bookmarkStart w:id="513" w:name="_Toc3467"/>
      <w:bookmarkStart w:id="514" w:name="_Toc18959"/>
      <w:r>
        <w:rPr>
          <w:rFonts w:hint="eastAsia" w:ascii="宋体" w:hAnsi="宋体" w:cs="宋体"/>
          <w:b/>
          <w:color w:val="auto"/>
          <w:szCs w:val="21"/>
          <w:highlight w:val="none"/>
        </w:rPr>
        <w:t>25 通知和送达</w:t>
      </w:r>
      <w:bookmarkEnd w:id="513"/>
      <w:bookmarkEnd w:id="514"/>
    </w:p>
    <w:p w14:paraId="764ED1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25.1任何一方因履行合同而以合同第一部分尾部所列明的传真或电子邮件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发出的所有通知、文件、材料，均视为已向对方当事人送达；任何一方变更上述送达方式或者地址的，应于</w:t>
      </w:r>
      <w:r>
        <w:rPr>
          <w:rFonts w:hint="eastAsia" w:ascii="宋体" w:hAnsi="宋体" w:cs="宋体"/>
          <w:color w:val="auto"/>
          <w:szCs w:val="21"/>
          <w:highlight w:val="none"/>
          <w:u w:val="single"/>
        </w:rPr>
        <w:t>3</w:t>
      </w:r>
      <w:r>
        <w:rPr>
          <w:rFonts w:hint="eastAsia" w:ascii="宋体" w:hAnsi="宋体" w:cs="宋体"/>
          <w:color w:val="auto"/>
          <w:szCs w:val="21"/>
          <w:highlight w:val="none"/>
        </w:rPr>
        <w:t>个工作日内书面通知对方当事人，在对方当事人收到有关变更通知之前，变更前的约定送达方式或者地址仍视为有效。</w:t>
      </w:r>
    </w:p>
    <w:p w14:paraId="137052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25.2以当面交付方式送达的，交付之时视为送达；以电子邮件方式送达的，发出电子邮件之时视为送达；以传真方式送达的，发出传真之时视为送达；以邮寄方式送达的，邮件挂号寄出或者交邮之日之次日视为送达。</w:t>
      </w:r>
    </w:p>
    <w:p w14:paraId="2D78D90F">
      <w:pPr>
        <w:spacing w:line="360" w:lineRule="auto"/>
        <w:ind w:firstLine="422" w:firstLineChars="200"/>
        <w:outlineLvl w:val="0"/>
        <w:rPr>
          <w:rFonts w:ascii="宋体" w:hAnsi="宋体" w:cs="宋体"/>
          <w:b/>
          <w:color w:val="auto"/>
          <w:szCs w:val="21"/>
          <w:highlight w:val="none"/>
        </w:rPr>
      </w:pPr>
      <w:bookmarkStart w:id="515" w:name="_Toc24947"/>
      <w:bookmarkStart w:id="516" w:name="_Toc3629"/>
      <w:r>
        <w:rPr>
          <w:rFonts w:hint="eastAsia" w:ascii="宋体" w:hAnsi="宋体" w:cs="宋体"/>
          <w:b/>
          <w:color w:val="auto"/>
          <w:szCs w:val="21"/>
          <w:highlight w:val="none"/>
        </w:rPr>
        <w:t>26 计量单位</w:t>
      </w:r>
      <w:bookmarkEnd w:id="515"/>
      <w:bookmarkEnd w:id="516"/>
    </w:p>
    <w:p w14:paraId="0D27F7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除技术规范中另有规定外，合同的计量单位均使用国家法定计量单位。</w:t>
      </w:r>
    </w:p>
    <w:p w14:paraId="78690474">
      <w:pPr>
        <w:spacing w:line="360" w:lineRule="auto"/>
        <w:ind w:firstLine="422" w:firstLineChars="200"/>
        <w:outlineLvl w:val="0"/>
        <w:rPr>
          <w:rFonts w:ascii="宋体" w:hAnsi="宋体" w:cs="宋体"/>
          <w:b/>
          <w:color w:val="auto"/>
          <w:szCs w:val="21"/>
          <w:highlight w:val="none"/>
        </w:rPr>
      </w:pPr>
      <w:bookmarkStart w:id="517" w:name="_Toc27345"/>
      <w:bookmarkStart w:id="518" w:name="_Toc27957"/>
      <w:r>
        <w:rPr>
          <w:rFonts w:hint="eastAsia" w:ascii="宋体" w:hAnsi="宋体" w:cs="宋体"/>
          <w:b/>
          <w:color w:val="auto"/>
          <w:szCs w:val="21"/>
          <w:highlight w:val="none"/>
        </w:rPr>
        <w:t>27合同使用的文字和适用的法律</w:t>
      </w:r>
      <w:bookmarkEnd w:id="517"/>
      <w:bookmarkEnd w:id="518"/>
    </w:p>
    <w:p w14:paraId="47A0BC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 合同使用汉语书</w:t>
      </w:r>
      <w:r>
        <w:rPr>
          <w:rFonts w:hint="eastAsia" w:ascii="宋体" w:hAnsi="宋体" w:cs="宋体"/>
          <w:color w:val="auto"/>
          <w:szCs w:val="21"/>
          <w:highlight w:val="none"/>
          <w:lang w:val="en-US" w:eastAsia="zh-CN"/>
        </w:rPr>
        <w:t>写</w:t>
      </w:r>
      <w:r>
        <w:rPr>
          <w:rFonts w:hint="eastAsia" w:ascii="宋体" w:hAnsi="宋体" w:cs="宋体"/>
          <w:color w:val="auto"/>
          <w:szCs w:val="21"/>
          <w:highlight w:val="none"/>
        </w:rPr>
        <w:t>、变更和解释；</w:t>
      </w:r>
    </w:p>
    <w:p w14:paraId="527A30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 合同适用中华人民共和国法律。</w:t>
      </w:r>
    </w:p>
    <w:p w14:paraId="5172DBB7">
      <w:pPr>
        <w:spacing w:line="360" w:lineRule="auto"/>
        <w:ind w:firstLine="422" w:firstLineChars="200"/>
        <w:outlineLvl w:val="0"/>
        <w:rPr>
          <w:rFonts w:ascii="宋体" w:hAnsi="宋体" w:cs="宋体"/>
          <w:b/>
          <w:color w:val="auto"/>
          <w:szCs w:val="21"/>
          <w:highlight w:val="none"/>
        </w:rPr>
      </w:pPr>
      <w:bookmarkStart w:id="519" w:name="_Toc28714"/>
      <w:bookmarkStart w:id="520" w:name="_Toc16677"/>
      <w:r>
        <w:rPr>
          <w:rFonts w:hint="eastAsia" w:ascii="宋体" w:hAnsi="宋体" w:cs="宋体"/>
          <w:b/>
          <w:color w:val="auto"/>
          <w:szCs w:val="21"/>
          <w:highlight w:val="none"/>
        </w:rPr>
        <w:t>28合同效力</w:t>
      </w:r>
      <w:bookmarkEnd w:id="519"/>
      <w:bookmarkEnd w:id="520"/>
    </w:p>
    <w:p w14:paraId="0C5213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本合同一式四份，甲乙双方各两份，每份均具有同等法律效力。本合同自双方当事人盖章或者签字时生效。</w:t>
      </w:r>
    </w:p>
    <w:p w14:paraId="7D007F5F">
      <w:pPr>
        <w:autoSpaceDE w:val="0"/>
        <w:autoSpaceDN w:val="0"/>
        <w:spacing w:line="560" w:lineRule="exact"/>
        <w:rPr>
          <w:rFonts w:ascii="宋体" w:hAnsi="宋体" w:cs="宋体"/>
          <w:color w:val="auto"/>
          <w:szCs w:val="21"/>
          <w:highlight w:val="none"/>
          <w:lang w:val="zh-CN"/>
        </w:rPr>
      </w:pPr>
      <w:r>
        <w:rPr>
          <w:rFonts w:hint="eastAsia" w:ascii="宋体" w:hAnsi="宋体" w:cs="宋体"/>
          <w:b/>
          <w:color w:val="auto"/>
          <w:szCs w:val="21"/>
          <w:highlight w:val="none"/>
          <w:lang w:val="zh-CN"/>
        </w:rPr>
        <w:t>甲方</w:t>
      </w:r>
      <w:r>
        <w:rPr>
          <w:rFonts w:hint="eastAsia" w:ascii="宋体" w:hAnsi="宋体" w:cs="宋体"/>
          <w:color w:val="auto"/>
          <w:szCs w:val="21"/>
          <w:highlight w:val="none"/>
          <w:lang w:val="zh-CN"/>
        </w:rPr>
        <w:t xml:space="preserve">：                             </w:t>
      </w:r>
      <w:r>
        <w:rPr>
          <w:rFonts w:hint="eastAsia" w:ascii="宋体" w:hAnsi="宋体" w:cs="宋体"/>
          <w:b/>
          <w:color w:val="auto"/>
          <w:szCs w:val="21"/>
          <w:highlight w:val="none"/>
          <w:lang w:val="zh-CN"/>
        </w:rPr>
        <w:t xml:space="preserve">      乙方</w:t>
      </w:r>
      <w:r>
        <w:rPr>
          <w:rFonts w:hint="eastAsia" w:ascii="宋体" w:hAnsi="宋体" w:cs="宋体"/>
          <w:color w:val="auto"/>
          <w:szCs w:val="21"/>
          <w:highlight w:val="none"/>
          <w:lang w:val="zh-CN"/>
        </w:rPr>
        <w:t>：</w:t>
      </w:r>
    </w:p>
    <w:p w14:paraId="0AD95A85">
      <w:pPr>
        <w:autoSpaceDE w:val="0"/>
        <w:autoSpaceDN w:val="0"/>
        <w:spacing w:line="560" w:lineRule="exact"/>
        <w:rPr>
          <w:rFonts w:ascii="宋体" w:hAnsi="宋体" w:cs="宋体"/>
          <w:color w:val="auto"/>
          <w:szCs w:val="21"/>
          <w:highlight w:val="none"/>
          <w:lang w:val="zh-CN"/>
        </w:rPr>
      </w:pPr>
      <w:r>
        <w:rPr>
          <w:rFonts w:hint="eastAsia" w:ascii="宋体" w:hAnsi="宋体" w:cs="宋体"/>
          <w:color w:val="auto"/>
          <w:szCs w:val="21"/>
          <w:highlight w:val="none"/>
          <w:lang w:val="zh-CN"/>
        </w:rPr>
        <w:t>统一社会信用代码：                        统一社会信用代码或身份证号码：</w:t>
      </w:r>
    </w:p>
    <w:p w14:paraId="33F14851">
      <w:pPr>
        <w:autoSpaceDE w:val="0"/>
        <w:autoSpaceDN w:val="0"/>
        <w:spacing w:line="560" w:lineRule="exact"/>
        <w:rPr>
          <w:rFonts w:ascii="宋体" w:hAnsi="宋体" w:cs="宋体"/>
          <w:color w:val="auto"/>
          <w:szCs w:val="21"/>
          <w:highlight w:val="none"/>
          <w:lang w:val="zh-CN"/>
        </w:rPr>
      </w:pPr>
    </w:p>
    <w:p w14:paraId="198B8EB6">
      <w:pPr>
        <w:autoSpaceDE w:val="0"/>
        <w:autoSpaceDN w:val="0"/>
        <w:spacing w:line="560" w:lineRule="exact"/>
        <w:rPr>
          <w:rFonts w:ascii="宋体" w:hAnsi="宋体" w:cs="宋体"/>
          <w:color w:val="auto"/>
          <w:szCs w:val="21"/>
          <w:highlight w:val="none"/>
          <w:lang w:val="zh-CN"/>
        </w:rPr>
      </w:pPr>
      <w:r>
        <w:rPr>
          <w:rFonts w:hint="eastAsia" w:ascii="宋体" w:hAnsi="宋体" w:cs="宋体"/>
          <w:color w:val="auto"/>
          <w:szCs w:val="21"/>
          <w:highlight w:val="none"/>
          <w:lang w:val="zh-CN"/>
        </w:rPr>
        <w:t>住所：                                   住所：</w:t>
      </w:r>
    </w:p>
    <w:p w14:paraId="48B88E10">
      <w:pPr>
        <w:autoSpaceDE w:val="0"/>
        <w:autoSpaceDN w:val="0"/>
        <w:spacing w:line="560" w:lineRule="exact"/>
        <w:rPr>
          <w:rFonts w:ascii="宋体" w:hAnsi="宋体" w:cs="宋体"/>
          <w:color w:val="auto"/>
          <w:szCs w:val="21"/>
          <w:highlight w:val="none"/>
          <w:lang w:val="zh-CN"/>
        </w:rPr>
      </w:pPr>
      <w:r>
        <w:rPr>
          <w:rFonts w:hint="eastAsia" w:ascii="宋体" w:hAnsi="宋体" w:cs="宋体"/>
          <w:color w:val="auto"/>
          <w:szCs w:val="21"/>
          <w:highlight w:val="none"/>
          <w:lang w:val="zh-CN"/>
        </w:rPr>
        <w:t>法定代表人或                             法定代表人</w:t>
      </w:r>
    </w:p>
    <w:p w14:paraId="7AEF0691">
      <w:pPr>
        <w:autoSpaceDE w:val="0"/>
        <w:autoSpaceDN w:val="0"/>
        <w:spacing w:line="560" w:lineRule="exact"/>
        <w:rPr>
          <w:rFonts w:ascii="宋体" w:hAnsi="宋体" w:cs="宋体"/>
          <w:color w:val="auto"/>
          <w:szCs w:val="21"/>
          <w:highlight w:val="none"/>
          <w:lang w:val="zh-CN"/>
        </w:rPr>
      </w:pPr>
      <w:r>
        <w:rPr>
          <w:rFonts w:hint="eastAsia" w:ascii="宋体" w:hAnsi="宋体" w:cs="宋体"/>
          <w:color w:val="auto"/>
          <w:szCs w:val="21"/>
          <w:highlight w:val="none"/>
          <w:lang w:val="zh-CN"/>
        </w:rPr>
        <w:t xml:space="preserve">授权代表（签字）：                        或授权代表（签字）： </w:t>
      </w:r>
    </w:p>
    <w:p w14:paraId="2F4E381E">
      <w:pPr>
        <w:autoSpaceDE w:val="0"/>
        <w:autoSpaceDN w:val="0"/>
        <w:spacing w:line="560" w:lineRule="exact"/>
        <w:rPr>
          <w:rFonts w:ascii="宋体" w:hAnsi="宋体" w:cs="宋体"/>
          <w:color w:val="auto"/>
          <w:szCs w:val="21"/>
          <w:highlight w:val="none"/>
          <w:lang w:val="zh-CN"/>
        </w:rPr>
      </w:pPr>
      <w:r>
        <w:rPr>
          <w:rFonts w:hint="eastAsia" w:ascii="宋体" w:hAnsi="宋体" w:cs="宋体"/>
          <w:color w:val="auto"/>
          <w:szCs w:val="21"/>
          <w:highlight w:val="none"/>
          <w:lang w:val="zh-CN"/>
        </w:rPr>
        <w:t>联系人：                                 联系人：</w:t>
      </w:r>
    </w:p>
    <w:p w14:paraId="49DF9A74">
      <w:pPr>
        <w:autoSpaceDE w:val="0"/>
        <w:autoSpaceDN w:val="0"/>
        <w:spacing w:line="560" w:lineRule="exact"/>
        <w:rPr>
          <w:rFonts w:ascii="宋体" w:hAnsi="宋体" w:cs="宋体"/>
          <w:color w:val="auto"/>
          <w:szCs w:val="21"/>
          <w:highlight w:val="none"/>
          <w:lang w:val="zh-CN"/>
        </w:rPr>
      </w:pPr>
      <w:r>
        <w:rPr>
          <w:rFonts w:hint="eastAsia" w:ascii="宋体" w:hAnsi="宋体" w:cs="宋体"/>
          <w:color w:val="auto"/>
          <w:szCs w:val="21"/>
          <w:highlight w:val="none"/>
          <w:lang w:val="zh-CN"/>
        </w:rPr>
        <w:t>约定送达地址：                           约定送达地址：</w:t>
      </w:r>
    </w:p>
    <w:p w14:paraId="5F3A70E5">
      <w:pPr>
        <w:autoSpaceDE w:val="0"/>
        <w:autoSpaceDN w:val="0"/>
        <w:spacing w:line="560" w:lineRule="exact"/>
        <w:rPr>
          <w:rFonts w:ascii="宋体" w:hAnsi="宋体" w:cs="宋体"/>
          <w:color w:val="auto"/>
          <w:szCs w:val="21"/>
          <w:highlight w:val="none"/>
          <w:lang w:val="zh-CN"/>
        </w:rPr>
      </w:pPr>
      <w:r>
        <w:rPr>
          <w:rFonts w:hint="eastAsia" w:ascii="宋体" w:hAnsi="宋体" w:cs="宋体"/>
          <w:color w:val="auto"/>
          <w:szCs w:val="21"/>
          <w:highlight w:val="none"/>
          <w:lang w:val="zh-CN"/>
        </w:rPr>
        <w:t>邮政编码：                               邮政编码：</w:t>
      </w:r>
    </w:p>
    <w:p w14:paraId="3DEB0C15">
      <w:pPr>
        <w:autoSpaceDE w:val="0"/>
        <w:autoSpaceDN w:val="0"/>
        <w:spacing w:line="560" w:lineRule="exact"/>
        <w:rPr>
          <w:rFonts w:ascii="宋体" w:hAnsi="宋体" w:cs="宋体"/>
          <w:color w:val="auto"/>
          <w:szCs w:val="21"/>
          <w:highlight w:val="none"/>
          <w:lang w:val="zh-CN"/>
        </w:rPr>
      </w:pPr>
      <w:r>
        <w:rPr>
          <w:rFonts w:hint="eastAsia" w:ascii="宋体" w:hAnsi="宋体" w:cs="宋体"/>
          <w:color w:val="auto"/>
          <w:szCs w:val="21"/>
          <w:highlight w:val="none"/>
          <w:lang w:val="zh-CN"/>
        </w:rPr>
        <w:t xml:space="preserve">电话：                                    电话： </w:t>
      </w:r>
    </w:p>
    <w:p w14:paraId="7C4C32B4">
      <w:pPr>
        <w:autoSpaceDE w:val="0"/>
        <w:autoSpaceDN w:val="0"/>
        <w:spacing w:line="560" w:lineRule="exact"/>
        <w:rPr>
          <w:rFonts w:ascii="宋体" w:hAnsi="宋体" w:cs="宋体"/>
          <w:color w:val="auto"/>
          <w:szCs w:val="21"/>
          <w:highlight w:val="none"/>
          <w:lang w:val="zh-CN"/>
        </w:rPr>
      </w:pPr>
      <w:r>
        <w:rPr>
          <w:rFonts w:hint="eastAsia" w:ascii="宋体" w:hAnsi="宋体" w:cs="宋体"/>
          <w:color w:val="auto"/>
          <w:szCs w:val="21"/>
          <w:highlight w:val="none"/>
          <w:lang w:val="zh-CN"/>
        </w:rPr>
        <w:t>传真：                                    传真：</w:t>
      </w:r>
    </w:p>
    <w:p w14:paraId="2C00B95D">
      <w:pPr>
        <w:autoSpaceDE w:val="0"/>
        <w:autoSpaceDN w:val="0"/>
        <w:spacing w:line="560" w:lineRule="exact"/>
        <w:rPr>
          <w:rFonts w:ascii="宋体" w:hAnsi="宋体" w:cs="宋体"/>
          <w:color w:val="auto"/>
          <w:szCs w:val="21"/>
          <w:highlight w:val="none"/>
        </w:rPr>
      </w:pPr>
      <w:r>
        <w:rPr>
          <w:rFonts w:hint="eastAsia" w:ascii="宋体" w:hAnsi="宋体" w:cs="宋体"/>
          <w:color w:val="auto"/>
          <w:szCs w:val="21"/>
          <w:highlight w:val="none"/>
          <w:lang w:val="zh-CN"/>
        </w:rPr>
        <w:t>电子邮箱：                               电子邮箱：</w:t>
      </w:r>
    </w:p>
    <w:p w14:paraId="559347EF">
      <w:pPr>
        <w:autoSpaceDE w:val="0"/>
        <w:autoSpaceDN w:val="0"/>
        <w:spacing w:line="560" w:lineRule="exact"/>
        <w:rPr>
          <w:rFonts w:ascii="宋体" w:hAnsi="宋体" w:cs="宋体"/>
          <w:color w:val="auto"/>
          <w:szCs w:val="21"/>
          <w:highlight w:val="none"/>
        </w:rPr>
      </w:pPr>
      <w:r>
        <w:rPr>
          <w:rFonts w:hint="eastAsia" w:ascii="宋体" w:hAnsi="宋体" w:cs="宋体"/>
          <w:color w:val="auto"/>
          <w:szCs w:val="21"/>
          <w:highlight w:val="none"/>
        </w:rPr>
        <w:t xml:space="preserve">开户银行：                               开户银行： </w:t>
      </w:r>
    </w:p>
    <w:p w14:paraId="66DDDBE3">
      <w:pPr>
        <w:autoSpaceDE w:val="0"/>
        <w:autoSpaceDN w:val="0"/>
        <w:spacing w:line="560" w:lineRule="exact"/>
        <w:rPr>
          <w:rFonts w:ascii="宋体" w:hAnsi="宋体" w:cs="宋体"/>
          <w:color w:val="auto"/>
          <w:szCs w:val="21"/>
          <w:highlight w:val="none"/>
        </w:rPr>
      </w:pPr>
      <w:r>
        <w:rPr>
          <w:rFonts w:hint="eastAsia" w:ascii="宋体" w:hAnsi="宋体" w:cs="宋体"/>
          <w:color w:val="auto"/>
          <w:szCs w:val="21"/>
          <w:highlight w:val="none"/>
        </w:rPr>
        <w:t xml:space="preserve">开户名称：                               开户名称： </w:t>
      </w:r>
    </w:p>
    <w:p w14:paraId="347F722A">
      <w:pPr>
        <w:autoSpaceDE w:val="0"/>
        <w:autoSpaceDN w:val="0"/>
        <w:spacing w:line="560" w:lineRule="exact"/>
        <w:rPr>
          <w:color w:val="auto"/>
          <w:highlight w:val="none"/>
        </w:rPr>
      </w:pPr>
      <w:r>
        <w:rPr>
          <w:rFonts w:hint="eastAsia" w:ascii="宋体" w:hAnsi="宋体" w:cs="宋体"/>
          <w:color w:val="auto"/>
          <w:szCs w:val="21"/>
          <w:highlight w:val="none"/>
        </w:rPr>
        <w:t>开户账号：</w:t>
      </w:r>
      <w:r>
        <w:rPr>
          <w:rFonts w:hint="eastAsia" w:ascii="宋体" w:hAnsi="宋体" w:cs="宋体"/>
          <w:color w:val="auto"/>
          <w:szCs w:val="21"/>
          <w:highlight w:val="none"/>
          <w:lang w:val="zh-CN"/>
        </w:rPr>
        <w:t xml:space="preserve">                               </w:t>
      </w:r>
      <w:r>
        <w:rPr>
          <w:rFonts w:hint="eastAsia" w:ascii="宋体" w:hAnsi="宋体" w:cs="宋体"/>
          <w:color w:val="auto"/>
          <w:szCs w:val="21"/>
          <w:highlight w:val="none"/>
        </w:rPr>
        <w:t>开户账号：</w:t>
      </w:r>
    </w:p>
    <w:p w14:paraId="52C7E659">
      <w:pPr>
        <w:rPr>
          <w:rFonts w:hint="eastAsia" w:ascii="宋体" w:hAnsi="宋体" w:cs="宋体"/>
          <w:b/>
          <w:color w:val="auto"/>
          <w:sz w:val="36"/>
          <w:szCs w:val="20"/>
          <w:highlight w:val="none"/>
        </w:rPr>
      </w:pPr>
      <w:bookmarkStart w:id="521" w:name="_Toc12182"/>
      <w:bookmarkStart w:id="522" w:name="_Toc14949"/>
      <w:r>
        <w:rPr>
          <w:rFonts w:hint="eastAsia" w:ascii="宋体" w:hAnsi="宋体" w:cs="宋体"/>
          <w:b/>
          <w:color w:val="auto"/>
          <w:sz w:val="36"/>
          <w:szCs w:val="20"/>
          <w:highlight w:val="none"/>
        </w:rPr>
        <w:br w:type="page"/>
      </w:r>
    </w:p>
    <w:p w14:paraId="3351CC91">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40"/>
      <w:r>
        <w:rPr>
          <w:rFonts w:hint="eastAsia" w:ascii="宋体" w:hAnsi="宋体" w:cs="宋体"/>
          <w:b/>
          <w:color w:val="auto"/>
          <w:sz w:val="36"/>
          <w:szCs w:val="20"/>
          <w:highlight w:val="none"/>
        </w:rPr>
        <w:t xml:space="preserve"> </w:t>
      </w:r>
      <w:bookmarkEnd w:id="441"/>
      <w:r>
        <w:rPr>
          <w:rFonts w:hint="eastAsia" w:ascii="宋体" w:hAnsi="宋体" w:cs="宋体"/>
          <w:b/>
          <w:color w:val="auto"/>
          <w:sz w:val="36"/>
          <w:szCs w:val="20"/>
          <w:highlight w:val="none"/>
        </w:rPr>
        <w:t>应提交的有关格式范例</w:t>
      </w:r>
      <w:bookmarkEnd w:id="521"/>
      <w:bookmarkEnd w:id="522"/>
    </w:p>
    <w:p w14:paraId="69219585">
      <w:pPr>
        <w:spacing w:line="360" w:lineRule="auto"/>
        <w:jc w:val="center"/>
        <w:outlineLvl w:val="9"/>
        <w:rPr>
          <w:rFonts w:ascii="宋体" w:hAnsi="宋体" w:cs="宋体"/>
          <w:b/>
          <w:color w:val="auto"/>
          <w:kern w:val="0"/>
          <w:sz w:val="36"/>
          <w:szCs w:val="36"/>
          <w:highlight w:val="none"/>
        </w:rPr>
      </w:pPr>
    </w:p>
    <w:p w14:paraId="2E18B1F5">
      <w:pPr>
        <w:spacing w:line="360" w:lineRule="auto"/>
        <w:jc w:val="center"/>
        <w:outlineLvl w:val="1"/>
        <w:rPr>
          <w:rFonts w:ascii="宋体" w:hAnsi="宋体" w:cs="宋体"/>
          <w:b/>
          <w:color w:val="auto"/>
          <w:kern w:val="0"/>
          <w:sz w:val="36"/>
          <w:szCs w:val="36"/>
          <w:highlight w:val="none"/>
        </w:rPr>
      </w:pPr>
      <w:bookmarkStart w:id="523" w:name="_Toc29848"/>
      <w:r>
        <w:rPr>
          <w:rFonts w:hint="eastAsia" w:ascii="宋体" w:hAnsi="宋体" w:cs="宋体"/>
          <w:b/>
          <w:color w:val="auto"/>
          <w:kern w:val="0"/>
          <w:sz w:val="36"/>
          <w:szCs w:val="36"/>
          <w:highlight w:val="none"/>
        </w:rPr>
        <w:t>资格文件部分</w:t>
      </w:r>
      <w:bookmarkEnd w:id="523"/>
    </w:p>
    <w:p w14:paraId="495CB145">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一、有效的企业法人营业执照（或事业法人登记证）、其他组织（个体工商户）的营业执照或者民办非企业单位登记证书</w:t>
      </w:r>
      <w:r>
        <w:rPr>
          <w:rFonts w:hint="eastAsia" w:ascii="宋体" w:hAnsi="宋体" w:cs="宋体"/>
          <w:b/>
          <w:color w:val="auto"/>
          <w:kern w:val="0"/>
          <w:sz w:val="32"/>
          <w:szCs w:val="32"/>
          <w:highlight w:val="none"/>
          <w:lang w:val="en-US" w:eastAsia="zh-CN"/>
        </w:rPr>
        <w:t xml:space="preserve"> </w:t>
      </w:r>
    </w:p>
    <w:p w14:paraId="38AB4C2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A3A6DA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符合参加政府采购活动应当具备的一般条件的承诺函</w:t>
      </w:r>
    </w:p>
    <w:p w14:paraId="262C3355">
      <w:pPr>
        <w:snapToGrid w:val="0"/>
        <w:spacing w:line="360" w:lineRule="auto"/>
        <w:rPr>
          <w:rFonts w:hint="eastAsia" w:ascii="宋体" w:hAnsi="宋体" w:cs="宋体"/>
          <w:color w:val="auto"/>
          <w:sz w:val="24"/>
          <w:highlight w:val="none"/>
          <w:lang w:val="en-US" w:eastAsia="zh-CN"/>
        </w:rPr>
      </w:pPr>
    </w:p>
    <w:p w14:paraId="71B3F380">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u w:val="single"/>
        </w:rPr>
        <w:t xml:space="preserve">（致采购人）       </w:t>
      </w:r>
      <w:r>
        <w:rPr>
          <w:rFonts w:hint="eastAsia" w:ascii="宋体" w:hAnsi="宋体" w:cs="宋体"/>
          <w:color w:val="auto"/>
          <w:sz w:val="24"/>
          <w:highlight w:val="none"/>
        </w:rPr>
        <w:t>：</w:t>
      </w:r>
    </w:p>
    <w:p w14:paraId="657392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项目编号+项目名称）</w:t>
      </w:r>
      <w:r>
        <w:rPr>
          <w:rFonts w:hint="eastAsia" w:ascii="宋体" w:hAnsi="宋体" w:cs="宋体"/>
          <w:color w:val="auto"/>
          <w:sz w:val="24"/>
          <w:highlight w:val="none"/>
          <w:lang w:val="en-US" w:eastAsia="zh-CN"/>
        </w:rPr>
        <w:t xml:space="preserve">的 </w:t>
      </w:r>
      <w:r>
        <w:rPr>
          <w:rFonts w:hint="eastAsia" w:ascii="宋体" w:hAnsi="宋体" w:cs="宋体"/>
          <w:color w:val="auto"/>
          <w:sz w:val="24"/>
          <w:highlight w:val="none"/>
        </w:rPr>
        <w:t>政府采购活动，郑重承诺：</w:t>
      </w:r>
    </w:p>
    <w:p w14:paraId="7EE3E9A0">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B50CCD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7718B8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3AC39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CBFE7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9F3A9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988A8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23620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w:t>
      </w:r>
      <w:r>
        <w:rPr>
          <w:rFonts w:hint="eastAsia" w:ascii="宋体" w:hAnsi="宋体" w:eastAsia="宋体" w:cs="宋体"/>
          <w:color w:val="auto"/>
          <w:sz w:val="24"/>
          <w:highlight w:val="none"/>
          <w:lang w:val="en-US" w:eastAsia="zh-CN"/>
        </w:rPr>
        <w:t>重大税收违法失信主体</w:t>
      </w:r>
      <w:r>
        <w:rPr>
          <w:rFonts w:hint="eastAsia" w:ascii="宋体" w:hAnsi="宋体" w:cs="宋体"/>
          <w:color w:val="auto"/>
          <w:sz w:val="24"/>
          <w:highlight w:val="none"/>
        </w:rPr>
        <w:t>、政府采购严重违法失信行为记录名单。</w:t>
      </w:r>
    </w:p>
    <w:p w14:paraId="21FD8F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35CB68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C77E8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ABCBC53">
      <w:pPr>
        <w:snapToGrid w:val="0"/>
        <w:spacing w:line="360" w:lineRule="auto"/>
        <w:ind w:firstLine="5520" w:firstLineChars="2300"/>
        <w:rPr>
          <w:rFonts w:hint="eastAsia" w:ascii="宋体" w:hAnsi="宋体" w:cs="宋体"/>
          <w:color w:val="auto"/>
          <w:kern w:val="0"/>
          <w:sz w:val="24"/>
          <w:highlight w:val="none"/>
          <w:lang w:val="zh-CN"/>
        </w:rPr>
      </w:pPr>
    </w:p>
    <w:p w14:paraId="30944DEF">
      <w:pPr>
        <w:snapToGrid w:val="0"/>
        <w:spacing w:line="360" w:lineRule="auto"/>
        <w:ind w:firstLine="5520" w:firstLineChars="2300"/>
        <w:rPr>
          <w:rFonts w:hint="eastAsia" w:ascii="宋体" w:hAnsi="宋体" w:cs="宋体"/>
          <w:color w:val="auto"/>
          <w:kern w:val="0"/>
          <w:sz w:val="24"/>
          <w:highlight w:val="none"/>
          <w:lang w:val="zh-CN"/>
        </w:rPr>
      </w:pPr>
    </w:p>
    <w:p w14:paraId="0187E0DA">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w:t>
      </w:r>
      <w:r>
        <w:rPr>
          <w:rFonts w:hint="eastAsia" w:ascii="宋体" w:hAnsi="宋体" w:eastAsia="宋体" w:cs="宋体"/>
          <w:color w:val="auto"/>
          <w:kern w:val="0"/>
          <w:sz w:val="24"/>
          <w:highlight w:val="none"/>
          <w:lang w:val="zh-CN"/>
        </w:rPr>
        <w:t>(</w:t>
      </w:r>
      <w:r>
        <w:rPr>
          <w:rFonts w:hint="eastAsia" w:ascii="宋体" w:hAnsi="宋体" w:cs="宋体"/>
          <w:color w:val="auto"/>
          <w:kern w:val="0"/>
          <w:sz w:val="24"/>
          <w:highlight w:val="none"/>
          <w:lang w:val="en-US" w:eastAsia="zh-CN"/>
        </w:rPr>
        <w:t>签章</w:t>
      </w:r>
      <w:r>
        <w:rPr>
          <w:rFonts w:hint="eastAsia" w:ascii="宋体" w:hAnsi="宋体" w:eastAsia="宋体" w:cs="宋体"/>
          <w:color w:val="auto"/>
          <w:kern w:val="0"/>
          <w:sz w:val="24"/>
          <w:highlight w:val="none"/>
          <w:lang w:val="zh-CN"/>
        </w:rPr>
        <w:t>)：</w:t>
      </w:r>
    </w:p>
    <w:p w14:paraId="6CDF845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C849752">
      <w:pPr>
        <w:snapToGrid w:val="0"/>
        <w:spacing w:line="360" w:lineRule="auto"/>
        <w:ind w:right="480"/>
        <w:jc w:val="center"/>
        <w:rPr>
          <w:rFonts w:ascii="宋体" w:hAnsi="宋体" w:cs="宋体"/>
          <w:b/>
          <w:color w:val="auto"/>
          <w:kern w:val="0"/>
          <w:sz w:val="32"/>
          <w:szCs w:val="32"/>
          <w:highlight w:val="none"/>
        </w:rPr>
      </w:pPr>
    </w:p>
    <w:p w14:paraId="53088A63">
      <w:pPr>
        <w:snapToGrid w:val="0"/>
        <w:spacing w:line="360" w:lineRule="auto"/>
        <w:ind w:right="480"/>
        <w:jc w:val="center"/>
        <w:rPr>
          <w:rFonts w:ascii="宋体" w:hAnsi="宋体" w:cs="宋体"/>
          <w:b/>
          <w:color w:val="auto"/>
          <w:kern w:val="0"/>
          <w:sz w:val="32"/>
          <w:szCs w:val="32"/>
          <w:highlight w:val="none"/>
        </w:rPr>
      </w:pPr>
    </w:p>
    <w:p w14:paraId="5F4912CE">
      <w:pPr>
        <w:snapToGrid w:val="0"/>
        <w:spacing w:line="360" w:lineRule="auto"/>
        <w:ind w:right="480"/>
        <w:jc w:val="center"/>
        <w:rPr>
          <w:rFonts w:ascii="宋体" w:hAnsi="宋体" w:cs="宋体"/>
          <w:b/>
          <w:color w:val="auto"/>
          <w:kern w:val="0"/>
          <w:sz w:val="32"/>
          <w:szCs w:val="32"/>
          <w:highlight w:val="none"/>
        </w:rPr>
      </w:pPr>
    </w:p>
    <w:p w14:paraId="25260608">
      <w:pPr>
        <w:rPr>
          <w:rFonts w:ascii="宋体" w:hAnsi="宋体" w:cs="宋体"/>
          <w:color w:val="auto"/>
          <w:highlight w:val="none"/>
        </w:rPr>
      </w:pPr>
    </w:p>
    <w:p w14:paraId="59BB0E3C">
      <w:pPr>
        <w:snapToGrid w:val="0"/>
        <w:spacing w:line="360" w:lineRule="auto"/>
        <w:ind w:right="480"/>
        <w:jc w:val="center"/>
        <w:rPr>
          <w:rFonts w:ascii="宋体" w:hAnsi="宋体" w:cs="宋体"/>
          <w:b/>
          <w:color w:val="auto"/>
          <w:kern w:val="0"/>
          <w:sz w:val="32"/>
          <w:szCs w:val="32"/>
          <w:highlight w:val="none"/>
        </w:rPr>
      </w:pPr>
    </w:p>
    <w:p w14:paraId="5B9087EB">
      <w:pPr>
        <w:snapToGrid w:val="0"/>
        <w:spacing w:line="360" w:lineRule="auto"/>
        <w:ind w:right="480"/>
        <w:jc w:val="center"/>
        <w:rPr>
          <w:rFonts w:ascii="宋体" w:hAnsi="宋体" w:cs="宋体"/>
          <w:b/>
          <w:color w:val="auto"/>
          <w:kern w:val="0"/>
          <w:sz w:val="32"/>
          <w:szCs w:val="32"/>
          <w:highlight w:val="none"/>
        </w:rPr>
      </w:pPr>
    </w:p>
    <w:p w14:paraId="46084EE6">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47F5F463">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、联合协议（如有）</w:t>
      </w:r>
    </w:p>
    <w:p w14:paraId="110AF59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）；本项目不接受联合体投标或者投标人不以联合体形式投标的，则不需要提供]</w:t>
      </w:r>
    </w:p>
    <w:p w14:paraId="0F69CC3B">
      <w:pPr>
        <w:snapToGrid w:val="0"/>
        <w:spacing w:line="360" w:lineRule="auto"/>
        <w:ind w:right="480"/>
        <w:jc w:val="center"/>
        <w:rPr>
          <w:rFonts w:ascii="宋体" w:hAnsi="宋体" w:cs="宋体"/>
          <w:b/>
          <w:color w:val="auto"/>
          <w:kern w:val="0"/>
          <w:sz w:val="32"/>
          <w:szCs w:val="32"/>
          <w:highlight w:val="none"/>
        </w:rPr>
      </w:pPr>
    </w:p>
    <w:p w14:paraId="0DB8E14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、落实政府采购政策需满足的资格要求</w:t>
      </w:r>
    </w:p>
    <w:p w14:paraId="6FA447BC">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38F5A4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 xml:space="preserve">）。 </w:t>
      </w:r>
    </w:p>
    <w:p w14:paraId="2C387341">
      <w:pPr>
        <w:widowControl/>
        <w:spacing w:line="360" w:lineRule="auto"/>
        <w:ind w:firstLine="480"/>
        <w:jc w:val="left"/>
        <w:rPr>
          <w:rFonts w:ascii="宋体" w:hAnsi="宋体" w:cs="宋体"/>
          <w:color w:val="auto"/>
          <w:sz w:val="24"/>
          <w:highlight w:val="none"/>
        </w:rPr>
      </w:pPr>
    </w:p>
    <w:p w14:paraId="19BE616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）和中小企业声明函（附件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09415E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97C79F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）和中小企业声明函（附件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637CDD9">
      <w:pPr>
        <w:widowControl/>
        <w:spacing w:line="360" w:lineRule="auto"/>
        <w:ind w:left="150"/>
        <w:jc w:val="center"/>
        <w:rPr>
          <w:rFonts w:ascii="宋体" w:hAnsi="宋体" w:cs="宋体"/>
          <w:b/>
          <w:color w:val="auto"/>
          <w:kern w:val="0"/>
          <w:sz w:val="32"/>
          <w:szCs w:val="32"/>
          <w:highlight w:val="none"/>
        </w:rPr>
      </w:pPr>
    </w:p>
    <w:p w14:paraId="1E18263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、本项目的特定资格要求</w:t>
      </w:r>
    </w:p>
    <w:p w14:paraId="7C360ED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4D7EDEE">
      <w:pPr>
        <w:rPr>
          <w:rFonts w:ascii="宋体" w:hAnsi="宋体" w:cs="宋体"/>
          <w:color w:val="auto"/>
          <w:highlight w:val="none"/>
        </w:rPr>
      </w:pPr>
    </w:p>
    <w:p w14:paraId="0FE7C42B">
      <w:pPr>
        <w:widowControl/>
        <w:numPr>
          <w:ilvl w:val="0"/>
          <w:numId w:val="5"/>
        </w:numPr>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业务专用章使用说明函</w:t>
      </w:r>
    </w:p>
    <w:p w14:paraId="362FA59F">
      <w:pPr>
        <w:pStyle w:val="63"/>
        <w:numPr>
          <w:ilvl w:val="0"/>
          <w:numId w:val="0"/>
        </w:numPr>
        <w:ind w:leftChars="400"/>
        <w:jc w:val="center"/>
        <w:rPr>
          <w:rFonts w:hint="eastAsia" w:eastAsia="宋体"/>
          <w:b w:val="0"/>
          <w:bCs/>
          <w:color w:val="auto"/>
          <w:highlight w:val="none"/>
          <w:lang w:val="en-US" w:eastAsia="zh-CN"/>
        </w:rPr>
      </w:pPr>
      <w:r>
        <w:rPr>
          <w:rFonts w:hint="eastAsia" w:ascii="宋体" w:hAnsi="宋体" w:cs="宋体"/>
          <w:b w:val="0"/>
          <w:bCs/>
          <w:color w:val="auto"/>
          <w:sz w:val="24"/>
          <w:highlight w:val="none"/>
          <w:lang w:val="en-US" w:eastAsia="zh-CN"/>
        </w:rPr>
        <w:t>[如适用，</w:t>
      </w:r>
      <w:r>
        <w:rPr>
          <w:rFonts w:hint="eastAsia" w:ascii="宋体" w:hAnsi="宋体" w:cs="宋体"/>
          <w:b w:val="0"/>
          <w:bCs/>
          <w:color w:val="auto"/>
          <w:sz w:val="24"/>
          <w:highlight w:val="none"/>
        </w:rPr>
        <w:t>提供业务专用章使用说明函（附件</w:t>
      </w:r>
      <w:r>
        <w:rPr>
          <w:rFonts w:hint="eastAsia" w:ascii="宋体" w:hAnsi="宋体" w:cs="宋体"/>
          <w:b w:val="0"/>
          <w:bCs/>
          <w:color w:val="auto"/>
          <w:sz w:val="24"/>
          <w:highlight w:val="none"/>
          <w:lang w:val="en-US" w:eastAsia="zh-CN"/>
        </w:rPr>
        <w:t>2</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en-US" w:eastAsia="zh-CN"/>
        </w:rPr>
        <w:t>]</w:t>
      </w:r>
    </w:p>
    <w:p w14:paraId="46808182">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59B2922">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F6FBCBF">
      <w:pPr>
        <w:snapToGrid w:val="0"/>
        <w:spacing w:line="360" w:lineRule="auto"/>
        <w:jc w:val="center"/>
        <w:rPr>
          <w:rFonts w:ascii="宋体" w:hAnsi="宋体" w:cs="宋体"/>
          <w:b/>
          <w:color w:val="auto"/>
          <w:kern w:val="0"/>
          <w:sz w:val="32"/>
          <w:szCs w:val="32"/>
          <w:highlight w:val="none"/>
          <w:lang w:val="zh-CN"/>
        </w:rPr>
      </w:pPr>
    </w:p>
    <w:p w14:paraId="28B1646B">
      <w:pPr>
        <w:numPr>
          <w:ilvl w:val="0"/>
          <w:numId w:val="6"/>
        </w:numPr>
        <w:bidi w:val="0"/>
        <w:ind w:left="3360" w:leftChars="0" w:firstLineChars="0"/>
        <w:jc w:val="left"/>
        <w:rPr>
          <w:rFonts w:hint="eastAsia"/>
          <w:b/>
          <w:bCs/>
          <w:color w:val="auto"/>
          <w:sz w:val="32"/>
          <w:szCs w:val="32"/>
          <w:highlight w:val="none"/>
        </w:rPr>
      </w:pPr>
      <w:bookmarkStart w:id="524" w:name="_Toc2704"/>
      <w:r>
        <w:rPr>
          <w:rFonts w:hint="eastAsia"/>
          <w:b/>
          <w:bCs/>
          <w:color w:val="auto"/>
          <w:sz w:val="32"/>
          <w:szCs w:val="32"/>
          <w:highlight w:val="none"/>
        </w:rPr>
        <w:t>投标函</w:t>
      </w:r>
      <w:bookmarkEnd w:id="524"/>
    </w:p>
    <w:p w14:paraId="5E12B71E">
      <w:pPr>
        <w:pStyle w:val="63"/>
        <w:numPr>
          <w:ilvl w:val="0"/>
          <w:numId w:val="0"/>
        </w:numPr>
        <w:ind w:leftChars="400"/>
        <w:rPr>
          <w:color w:val="auto"/>
          <w:highlight w:val="none"/>
        </w:rPr>
      </w:pPr>
    </w:p>
    <w:p w14:paraId="2BE06379">
      <w:pPr>
        <w:snapToGrid w:val="0"/>
        <w:spacing w:line="360" w:lineRule="auto"/>
        <w:ind w:firstLine="480" w:firstLineChars="200"/>
        <w:rPr>
          <w:rFonts w:hint="eastAsia" w:hAnsi="宋体" w:cs="宋体"/>
          <w:color w:val="auto"/>
          <w:sz w:val="24"/>
          <w:szCs w:val="24"/>
          <w:highlight w:val="none"/>
        </w:rPr>
      </w:pPr>
      <w:r>
        <w:rPr>
          <w:rFonts w:hint="eastAsia" w:ascii="宋体" w:hAnsi="宋体" w:cs="宋体"/>
          <w:color w:val="auto"/>
          <w:sz w:val="24"/>
          <w:highlight w:val="none"/>
          <w:u w:val="single"/>
        </w:rPr>
        <w:t xml:space="preserve">（致采购人）       </w:t>
      </w:r>
      <w:r>
        <w:rPr>
          <w:rFonts w:hint="eastAsia" w:ascii="宋体" w:hAnsi="宋体" w:cs="宋体"/>
          <w:color w:val="auto"/>
          <w:sz w:val="24"/>
          <w:highlight w:val="none"/>
        </w:rPr>
        <w:t>：</w:t>
      </w:r>
    </w:p>
    <w:p w14:paraId="4B48743E">
      <w:pPr>
        <w:pStyle w:val="24"/>
        <w:widowControl/>
        <w:spacing w:line="360" w:lineRule="auto"/>
        <w:jc w:val="left"/>
        <w:rPr>
          <w:rFonts w:hint="eastAsia" w:hAnsi="宋体" w:cs="宋体"/>
          <w:color w:val="auto"/>
          <w:sz w:val="24"/>
          <w:szCs w:val="24"/>
          <w:highlight w:val="none"/>
        </w:rPr>
      </w:pPr>
      <w:r>
        <w:rPr>
          <w:rFonts w:hint="eastAsia" w:hAnsi="宋体" w:cs="宋体"/>
          <w:color w:val="auto"/>
          <w:sz w:val="24"/>
          <w:szCs w:val="24"/>
          <w:highlight w:val="none"/>
        </w:rPr>
        <w:t xml:space="preserve">   </w:t>
      </w:r>
      <w:r>
        <w:rPr>
          <w:rFonts w:hint="eastAsia" w:hAnsi="宋体" w:cs="宋体"/>
          <w:color w:val="auto"/>
          <w:sz w:val="24"/>
          <w:szCs w:val="24"/>
          <w:highlight w:val="none"/>
          <w:u w:val="single"/>
        </w:rPr>
        <w:t>（投标人全称）</w:t>
      </w:r>
      <w:r>
        <w:rPr>
          <w:rFonts w:hint="eastAsia" w:hAnsi="宋体" w:cs="宋体"/>
          <w:color w:val="auto"/>
          <w:sz w:val="24"/>
          <w:szCs w:val="24"/>
          <w:highlight w:val="none"/>
        </w:rPr>
        <w:t>授权</w:t>
      </w:r>
      <w:r>
        <w:rPr>
          <w:rFonts w:hint="eastAsia" w:hAnsi="宋体" w:cs="宋体"/>
          <w:color w:val="auto"/>
          <w:sz w:val="24"/>
          <w:szCs w:val="24"/>
          <w:highlight w:val="none"/>
          <w:u w:val="single"/>
        </w:rPr>
        <w:t>（授权代表姓名、职务）</w:t>
      </w:r>
      <w:r>
        <w:rPr>
          <w:rFonts w:hint="eastAsia" w:hAnsi="宋体" w:cs="宋体"/>
          <w:color w:val="auto"/>
          <w:sz w:val="24"/>
          <w:szCs w:val="24"/>
          <w:highlight w:val="none"/>
        </w:rPr>
        <w:t>为本公司（单位）合法代理人，参加贵方组织的</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项目编号+项目名称）</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招投标活动，代表本公司（单位）处理招投标活动中的一切事宜，为对</w:t>
      </w:r>
      <w:r>
        <w:rPr>
          <w:rFonts w:hint="eastAsia" w:hAnsi="宋体" w:cs="宋体"/>
          <w:color w:val="auto"/>
          <w:sz w:val="24"/>
          <w:szCs w:val="24"/>
          <w:highlight w:val="none"/>
          <w:u w:val="single"/>
        </w:rPr>
        <w:t>（</w:t>
      </w:r>
      <w:r>
        <w:rPr>
          <w:rFonts w:hint="eastAsia" w:cs="宋体"/>
          <w:color w:val="auto"/>
          <w:sz w:val="24"/>
          <w:szCs w:val="24"/>
          <w:highlight w:val="none"/>
          <w:u w:val="single"/>
          <w:lang w:val="en-US" w:eastAsia="zh-CN"/>
        </w:rPr>
        <w:t>采购内容</w:t>
      </w:r>
      <w:r>
        <w:rPr>
          <w:rFonts w:hint="eastAsia" w:hAnsi="宋体" w:cs="宋体"/>
          <w:color w:val="auto"/>
          <w:sz w:val="24"/>
          <w:szCs w:val="24"/>
          <w:highlight w:val="none"/>
          <w:u w:val="single"/>
        </w:rPr>
        <w:t>）</w:t>
      </w:r>
      <w:r>
        <w:rPr>
          <w:rFonts w:hint="eastAsia" w:hAnsi="宋体" w:cs="宋体"/>
          <w:color w:val="auto"/>
          <w:sz w:val="24"/>
          <w:szCs w:val="24"/>
          <w:highlight w:val="none"/>
        </w:rPr>
        <w:t>进行投标，在此：</w:t>
      </w:r>
    </w:p>
    <w:p w14:paraId="203363A3">
      <w:pPr>
        <w:pStyle w:val="24"/>
        <w:widowControl/>
        <w:spacing w:line="360" w:lineRule="auto"/>
        <w:ind w:firstLine="0"/>
        <w:jc w:val="left"/>
        <w:rPr>
          <w:rFonts w:hint="eastAsia" w:hAnsi="宋体" w:cs="宋体"/>
          <w:color w:val="auto"/>
          <w:sz w:val="24"/>
          <w:szCs w:val="24"/>
          <w:highlight w:val="none"/>
        </w:rPr>
      </w:pPr>
      <w:r>
        <w:rPr>
          <w:rFonts w:hint="eastAsia" w:hAnsi="宋体" w:cs="宋体"/>
          <w:color w:val="auto"/>
          <w:sz w:val="24"/>
          <w:szCs w:val="24"/>
          <w:highlight w:val="none"/>
        </w:rPr>
        <w:t>1</w:t>
      </w:r>
      <w:r>
        <w:rPr>
          <w:rFonts w:hint="eastAsia" w:cs="宋体"/>
          <w:color w:val="auto"/>
          <w:sz w:val="24"/>
          <w:szCs w:val="24"/>
          <w:highlight w:val="none"/>
          <w:lang w:val="en-US" w:eastAsia="zh-CN"/>
        </w:rPr>
        <w:t>.</w:t>
      </w:r>
      <w:r>
        <w:rPr>
          <w:rFonts w:hint="eastAsia" w:hAnsi="宋体" w:cs="宋体"/>
          <w:color w:val="auto"/>
          <w:sz w:val="24"/>
          <w:szCs w:val="24"/>
          <w:highlight w:val="none"/>
        </w:rPr>
        <w:t>提供招标文件中“投标须知”规定</w:t>
      </w:r>
      <w:r>
        <w:rPr>
          <w:rFonts w:hint="eastAsia" w:hAnsi="宋体" w:cs="宋体"/>
          <w:b w:val="0"/>
          <w:bCs w:val="0"/>
          <w:color w:val="auto"/>
          <w:sz w:val="24"/>
          <w:szCs w:val="24"/>
          <w:highlight w:val="none"/>
        </w:rPr>
        <w:t>的</w:t>
      </w:r>
      <w:r>
        <w:rPr>
          <w:rFonts w:hint="eastAsia" w:hAnsi="宋体" w:cs="宋体"/>
          <w:color w:val="auto"/>
          <w:sz w:val="24"/>
          <w:szCs w:val="24"/>
          <w:highlight w:val="none"/>
        </w:rPr>
        <w:t>全部投标文件</w:t>
      </w:r>
    </w:p>
    <w:p w14:paraId="29E0F0C2">
      <w:pPr>
        <w:pStyle w:val="24"/>
        <w:widowControl/>
        <w:numPr>
          <w:ilvl w:val="0"/>
          <w:numId w:val="0"/>
        </w:numPr>
        <w:spacing w:line="360" w:lineRule="auto"/>
        <w:ind w:firstLine="480" w:firstLineChars="200"/>
        <w:jc w:val="left"/>
        <w:rPr>
          <w:rFonts w:hint="eastAsia" w:hAnsi="宋体" w:cs="宋体"/>
          <w:color w:val="auto"/>
          <w:sz w:val="21"/>
          <w:highlight w:val="none"/>
        </w:rPr>
      </w:pPr>
      <w:r>
        <w:rPr>
          <w:rFonts w:hint="eastAsia" w:cs="宋体"/>
          <w:color w:val="auto"/>
          <w:sz w:val="24"/>
          <w:szCs w:val="24"/>
          <w:highlight w:val="none"/>
          <w:lang w:val="en-US" w:eastAsia="zh-CN"/>
        </w:rPr>
        <w:t>2.</w:t>
      </w:r>
      <w:r>
        <w:rPr>
          <w:rFonts w:hint="eastAsia" w:hAnsi="宋体" w:cs="宋体"/>
          <w:color w:val="auto"/>
          <w:sz w:val="24"/>
          <w:szCs w:val="24"/>
          <w:highlight w:val="none"/>
        </w:rPr>
        <w:t>据此函，签字代表宣布并承诺如下：</w:t>
      </w:r>
    </w:p>
    <w:p w14:paraId="1211FBDF">
      <w:pPr>
        <w:pStyle w:val="24"/>
        <w:widowControl/>
        <w:numPr>
          <w:ilvl w:val="0"/>
          <w:numId w:val="0"/>
        </w:numPr>
        <w:spacing w:line="360" w:lineRule="auto"/>
        <w:ind w:firstLine="480" w:firstLineChars="200"/>
        <w:jc w:val="left"/>
        <w:rPr>
          <w:rFonts w:hint="eastAsia" w:hAnsi="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w:t>
      </w:r>
      <w:r>
        <w:rPr>
          <w:rFonts w:hint="eastAsia" w:cs="宋体"/>
          <w:color w:val="auto"/>
          <w:sz w:val="24"/>
          <w:szCs w:val="24"/>
          <w:highlight w:val="none"/>
          <w:lang w:eastAsia="zh-CN"/>
        </w:rPr>
        <w:t>）</w:t>
      </w:r>
      <w:r>
        <w:rPr>
          <w:rFonts w:hint="eastAsia" w:hAnsi="宋体" w:cs="宋体"/>
          <w:color w:val="auto"/>
          <w:sz w:val="24"/>
          <w:szCs w:val="24"/>
          <w:highlight w:val="none"/>
        </w:rPr>
        <w:t>本投标自开标之日起</w:t>
      </w:r>
      <w:r>
        <w:rPr>
          <w:rFonts w:hint="eastAsia" w:hAnsi="宋体" w:cs="宋体"/>
          <w:color w:val="auto"/>
          <w:sz w:val="24"/>
          <w:szCs w:val="24"/>
          <w:highlight w:val="none"/>
          <w:u w:val="single"/>
        </w:rPr>
        <w:t xml:space="preserve">  90  </w:t>
      </w:r>
      <w:r>
        <w:rPr>
          <w:rFonts w:hint="eastAsia" w:hAnsi="宋体" w:cs="宋体"/>
          <w:color w:val="auto"/>
          <w:sz w:val="24"/>
          <w:szCs w:val="24"/>
          <w:highlight w:val="none"/>
        </w:rPr>
        <w:t>天内有效。</w:t>
      </w:r>
    </w:p>
    <w:p w14:paraId="238FDE5B">
      <w:pPr>
        <w:pStyle w:val="24"/>
        <w:widowControl/>
        <w:numPr>
          <w:ilvl w:val="0"/>
          <w:numId w:val="7"/>
        </w:numPr>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我们已详细审查全部招标文件及有关的澄清/修改文件(若有的话)，我们完全理解并同意放弃对这方面提出任何异议的权利。保证遵守招标文件有关条款规定。</w:t>
      </w:r>
    </w:p>
    <w:p w14:paraId="1CAB9FE5">
      <w:pPr>
        <w:pStyle w:val="24"/>
        <w:widowControl/>
        <w:numPr>
          <w:ilvl w:val="0"/>
          <w:numId w:val="7"/>
        </w:numPr>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保证在中标后忠实地执行与采购人所签署的合同，并承担合同规定的责任义务。保证在中标后按照招标文件的规定支付中标服务费。</w:t>
      </w:r>
    </w:p>
    <w:p w14:paraId="4C37AF69">
      <w:pPr>
        <w:pStyle w:val="24"/>
        <w:widowControl/>
        <w:numPr>
          <w:ilvl w:val="0"/>
          <w:numId w:val="7"/>
        </w:numPr>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承诺应贵方要求提供任何与该项目投标有关的数据、情况和技术资料。</w:t>
      </w:r>
    </w:p>
    <w:p w14:paraId="0F03AD6E">
      <w:pPr>
        <w:pStyle w:val="24"/>
        <w:widowControl/>
        <w:numPr>
          <w:ilvl w:val="0"/>
          <w:numId w:val="7"/>
        </w:numPr>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我们承诺，与为采购人采购本次招标进行设计、编制规范和其他文件所委托的咨询公司或其附属机构无任何直接或间接的关联。</w:t>
      </w:r>
    </w:p>
    <w:p w14:paraId="3F9BBF40">
      <w:pPr>
        <w:pStyle w:val="24"/>
        <w:widowControl/>
        <w:numPr>
          <w:ilvl w:val="0"/>
          <w:numId w:val="7"/>
        </w:numPr>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投标人已详细审查并理解全部招标文件，已完全明确招标文件中的全部内容。如有违反，愿意接受监管机构相应的处理。</w:t>
      </w:r>
    </w:p>
    <w:p w14:paraId="1D31A14F">
      <w:pPr>
        <w:pStyle w:val="24"/>
        <w:widowControl/>
        <w:spacing w:line="360" w:lineRule="auto"/>
        <w:ind w:firstLine="0"/>
        <w:jc w:val="left"/>
        <w:rPr>
          <w:rFonts w:hint="eastAsia" w:hAnsi="宋体" w:cs="宋体"/>
          <w:color w:val="auto"/>
          <w:sz w:val="24"/>
          <w:szCs w:val="24"/>
          <w:highlight w:val="none"/>
        </w:rPr>
      </w:pPr>
      <w:r>
        <w:rPr>
          <w:rFonts w:hint="eastAsia" w:hAnsi="宋体" w:cs="宋体"/>
          <w:color w:val="auto"/>
          <w:sz w:val="24"/>
          <w:szCs w:val="24"/>
          <w:highlight w:val="none"/>
        </w:rPr>
        <w:t>3</w:t>
      </w:r>
      <w:r>
        <w:rPr>
          <w:rFonts w:hint="eastAsia" w:cs="宋体"/>
          <w:color w:val="auto"/>
          <w:sz w:val="24"/>
          <w:szCs w:val="24"/>
          <w:highlight w:val="none"/>
          <w:lang w:val="en-US" w:eastAsia="zh-CN"/>
        </w:rPr>
        <w:t>.</w:t>
      </w:r>
      <w:r>
        <w:rPr>
          <w:rFonts w:hint="eastAsia" w:hAnsi="宋体" w:cs="宋体"/>
          <w:color w:val="auto"/>
          <w:sz w:val="24"/>
          <w:szCs w:val="24"/>
          <w:highlight w:val="none"/>
        </w:rPr>
        <w:t>与本投标有关的一切往来通讯请寄：</w:t>
      </w:r>
    </w:p>
    <w:p w14:paraId="28380E60">
      <w:pPr>
        <w:pStyle w:val="24"/>
        <w:widowControl/>
        <w:spacing w:line="360" w:lineRule="auto"/>
        <w:jc w:val="left"/>
        <w:rPr>
          <w:rFonts w:hint="eastAsia" w:hAnsi="宋体" w:cs="宋体"/>
          <w:color w:val="auto"/>
          <w:sz w:val="24"/>
          <w:szCs w:val="24"/>
          <w:highlight w:val="none"/>
        </w:rPr>
      </w:pPr>
      <w:r>
        <w:rPr>
          <w:rFonts w:hint="eastAsia" w:hAnsi="宋体" w:cs="宋体"/>
          <w:color w:val="auto"/>
          <w:sz w:val="24"/>
          <w:szCs w:val="24"/>
          <w:highlight w:val="none"/>
        </w:rPr>
        <w:t>地址：</w:t>
      </w:r>
      <w:r>
        <w:rPr>
          <w:rFonts w:hint="eastAsia" w:hAnsi="宋体" w:cs="宋体"/>
          <w:color w:val="auto"/>
          <w:sz w:val="24"/>
          <w:szCs w:val="24"/>
          <w:highlight w:val="none"/>
          <w:u w:val="single"/>
        </w:rPr>
        <w:t xml:space="preserve">                                                   </w:t>
      </w:r>
    </w:p>
    <w:p w14:paraId="4CA484B3">
      <w:pPr>
        <w:pStyle w:val="24"/>
        <w:widowControl/>
        <w:spacing w:line="360" w:lineRule="auto"/>
        <w:jc w:val="left"/>
        <w:rPr>
          <w:rFonts w:hint="eastAsia" w:hAnsi="宋体" w:cs="宋体"/>
          <w:color w:val="auto"/>
          <w:sz w:val="24"/>
          <w:szCs w:val="24"/>
          <w:highlight w:val="none"/>
          <w:u w:val="single"/>
        </w:rPr>
      </w:pPr>
      <w:r>
        <w:rPr>
          <w:rFonts w:hint="eastAsia" w:hAnsi="宋体" w:cs="宋体"/>
          <w:color w:val="auto"/>
          <w:sz w:val="24"/>
          <w:szCs w:val="24"/>
          <w:highlight w:val="none"/>
        </w:rPr>
        <w:t>邮编：</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电话：</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传真：</w:t>
      </w:r>
      <w:r>
        <w:rPr>
          <w:rFonts w:hint="eastAsia" w:hAnsi="宋体" w:cs="宋体"/>
          <w:color w:val="auto"/>
          <w:sz w:val="24"/>
          <w:szCs w:val="24"/>
          <w:highlight w:val="none"/>
          <w:u w:val="single"/>
        </w:rPr>
        <w:t xml:space="preserve">             </w:t>
      </w:r>
    </w:p>
    <w:p w14:paraId="0BAE0ADE">
      <w:pPr>
        <w:pStyle w:val="24"/>
        <w:widowControl/>
        <w:spacing w:line="360" w:lineRule="auto"/>
        <w:jc w:val="left"/>
        <w:rPr>
          <w:rFonts w:hint="eastAsia" w:hAnsi="宋体" w:cs="宋体"/>
          <w:color w:val="auto"/>
          <w:sz w:val="24"/>
          <w:szCs w:val="24"/>
          <w:highlight w:val="none"/>
        </w:rPr>
      </w:pPr>
    </w:p>
    <w:p w14:paraId="64C6088D">
      <w:pPr>
        <w:pStyle w:val="32"/>
        <w:tabs>
          <w:tab w:val="left" w:pos="2472"/>
        </w:tabs>
        <w:snapToGrid w:val="0"/>
        <w:spacing w:before="0" w:beforeLines="0" w:after="0" w:afterLines="0" w:line="360" w:lineRule="auto"/>
        <w:ind w:firstLine="4560" w:firstLineChars="1900"/>
        <w:jc w:val="left"/>
        <w:rPr>
          <w:rFonts w:hint="eastAsia" w:hAnsi="宋体" w:cs="宋体"/>
          <w:color w:val="auto"/>
          <w:sz w:val="24"/>
          <w:szCs w:val="24"/>
          <w:highlight w:val="none"/>
        </w:rPr>
      </w:pPr>
      <w:r>
        <w:rPr>
          <w:rFonts w:hint="eastAsia" w:hAnsi="宋体" w:cs="宋体"/>
          <w:color w:val="auto"/>
          <w:sz w:val="24"/>
          <w:szCs w:val="24"/>
          <w:highlight w:val="none"/>
        </w:rPr>
        <w:t>投标人名称(</w:t>
      </w:r>
      <w:r>
        <w:rPr>
          <w:rFonts w:hint="eastAsia" w:hAnsi="宋体" w:cs="宋体"/>
          <w:color w:val="auto"/>
          <w:sz w:val="24"/>
          <w:szCs w:val="24"/>
          <w:highlight w:val="none"/>
          <w:lang w:val="en-US" w:eastAsia="zh-CN"/>
        </w:rPr>
        <w:t>电子签</w:t>
      </w:r>
      <w:r>
        <w:rPr>
          <w:rFonts w:hint="eastAsia" w:hAnsi="宋体" w:cs="宋体"/>
          <w:color w:val="auto"/>
          <w:sz w:val="24"/>
          <w:szCs w:val="24"/>
          <w:highlight w:val="none"/>
        </w:rPr>
        <w:t xml:space="preserve">章):_________                   </w:t>
      </w:r>
    </w:p>
    <w:p w14:paraId="3CB14D4D">
      <w:pPr>
        <w:snapToGrid w:val="0"/>
        <w:spacing w:line="360" w:lineRule="auto"/>
        <w:ind w:firstLine="4560" w:firstLineChars="1900"/>
        <w:rPr>
          <w:rFonts w:hint="eastAsia" w:ascii="宋体" w:hAnsi="宋体" w:cs="宋体"/>
          <w:color w:val="auto"/>
          <w:sz w:val="24"/>
          <w:szCs w:val="24"/>
          <w:highlight w:val="none"/>
        </w:rPr>
      </w:pPr>
      <w:r>
        <w:rPr>
          <w:rFonts w:hint="eastAsia" w:ascii="宋体" w:hAnsi="宋体" w:cs="宋体"/>
          <w:color w:val="auto"/>
          <w:sz w:val="24"/>
          <w:szCs w:val="24"/>
          <w:highlight w:val="none"/>
        </w:rPr>
        <w:t>日期:_____年___月___日</w:t>
      </w:r>
    </w:p>
    <w:p w14:paraId="79C109C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CB969C0">
      <w:pPr>
        <w:jc w:val="center"/>
        <w:rPr>
          <w:rFonts w:hint="eastAsia" w:ascii="宋体" w:hAnsi="宋体" w:cs="宋体"/>
          <w:b/>
          <w:color w:val="auto"/>
          <w:kern w:val="0"/>
          <w:sz w:val="32"/>
          <w:szCs w:val="32"/>
          <w:highlight w:val="none"/>
          <w:lang w:val="zh-CN"/>
        </w:rPr>
      </w:pPr>
    </w:p>
    <w:p w14:paraId="02E5A82E">
      <w:pPr>
        <w:jc w:val="center"/>
        <w:rPr>
          <w:rFonts w:hint="eastAsia" w:ascii="宋体" w:hAnsi="宋体" w:cs="宋体"/>
          <w:b/>
          <w:color w:val="auto"/>
          <w:kern w:val="0"/>
          <w:sz w:val="32"/>
          <w:szCs w:val="32"/>
          <w:highlight w:val="none"/>
          <w:lang w:val="zh-CN"/>
        </w:rPr>
        <w:sectPr>
          <w:pgSz w:w="11905" w:h="16838"/>
          <w:pgMar w:top="1134" w:right="1417" w:bottom="1134" w:left="1417" w:header="851" w:footer="992" w:gutter="0"/>
          <w:pgBorders>
            <w:top w:val="none" w:sz="0" w:space="0"/>
            <w:left w:val="none" w:sz="0" w:space="0"/>
            <w:bottom w:val="none" w:sz="0" w:space="0"/>
            <w:right w:val="none" w:sz="0" w:space="0"/>
          </w:pgBorders>
          <w:cols w:space="0" w:num="1"/>
          <w:titlePg/>
          <w:rtlGutter w:val="0"/>
          <w:docGrid w:linePitch="312" w:charSpace="0"/>
        </w:sectPr>
      </w:pPr>
    </w:p>
    <w:p w14:paraId="683A0510">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BBBC4E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5D5B5E8">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254555E0">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u w:val="single"/>
        </w:rPr>
        <w:t xml:space="preserve">（致采购人）      </w:t>
      </w:r>
      <w:r>
        <w:rPr>
          <w:rFonts w:hint="eastAsia" w:ascii="宋体" w:hAnsi="宋体" w:cs="宋体"/>
          <w:color w:val="auto"/>
          <w:sz w:val="24"/>
          <w:highlight w:val="none"/>
        </w:rPr>
        <w:t>：</w:t>
      </w:r>
    </w:p>
    <w:p w14:paraId="366A826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项目编号+项目名称）</w:t>
      </w:r>
      <w:r>
        <w:rPr>
          <w:rFonts w:hint="eastAsia" w:ascii="宋体" w:hAnsi="宋体" w:cs="宋体"/>
          <w:color w:val="auto"/>
          <w:kern w:val="0"/>
          <w:sz w:val="24"/>
          <w:highlight w:val="none"/>
          <w:lang w:val="zh-CN"/>
        </w:rPr>
        <w:t>政府采购投标的一切事项，其法律后果由我方承担。</w:t>
      </w:r>
    </w:p>
    <w:p w14:paraId="5329BA6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AB775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E9A01E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sz w:val="24"/>
          <w:highlight w:val="none"/>
        </w:rPr>
        <w:t>（电子签</w:t>
      </w:r>
      <w:r>
        <w:rPr>
          <w:rFonts w:hint="eastAsia" w:ascii="宋体" w:hAnsi="宋体" w:cs="宋体"/>
          <w:color w:val="auto"/>
          <w:sz w:val="24"/>
          <w:highlight w:val="none"/>
          <w:lang w:val="en-US" w:eastAsia="zh-CN"/>
        </w:rPr>
        <w:t>章</w:t>
      </w:r>
      <w:r>
        <w:rPr>
          <w:rFonts w:hint="eastAsia" w:ascii="宋体" w:hAnsi="宋体" w:cs="宋体"/>
          <w:color w:val="auto"/>
          <w:sz w:val="24"/>
          <w:highlight w:val="none"/>
        </w:rPr>
        <w:t xml:space="preserve">）：  </w:t>
      </w:r>
    </w:p>
    <w:p w14:paraId="387F71B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B2F968E">
      <w:pPr>
        <w:snapToGrid w:val="0"/>
        <w:spacing w:line="360" w:lineRule="auto"/>
        <w:rPr>
          <w:rFonts w:ascii="宋体" w:hAnsi="宋体" w:cs="宋体"/>
          <w:color w:val="auto"/>
          <w:sz w:val="24"/>
          <w:highlight w:val="none"/>
        </w:rPr>
      </w:pPr>
    </w:p>
    <w:p w14:paraId="549EBD59">
      <w:pPr>
        <w:snapToGrid w:val="0"/>
        <w:spacing w:line="360" w:lineRule="auto"/>
        <w:rPr>
          <w:rFonts w:ascii="宋体" w:hAnsi="宋体" w:cs="宋体"/>
          <w:color w:val="auto"/>
          <w:sz w:val="24"/>
          <w:highlight w:val="none"/>
        </w:rPr>
      </w:pPr>
    </w:p>
    <w:p w14:paraId="78CDE16A">
      <w:pPr>
        <w:snapToGrid w:val="0"/>
        <w:spacing w:line="360" w:lineRule="auto"/>
        <w:rPr>
          <w:rFonts w:ascii="宋体" w:hAnsi="宋体" w:cs="宋体"/>
          <w:color w:val="auto"/>
          <w:sz w:val="24"/>
          <w:highlight w:val="none"/>
        </w:rPr>
      </w:pPr>
    </w:p>
    <w:p w14:paraId="2AE4E4E5">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4B15F86">
      <w:pPr>
        <w:pStyle w:val="62"/>
        <w:rPr>
          <w:color w:val="auto"/>
          <w:highlight w:val="none"/>
        </w:rPr>
      </w:pPr>
    </w:p>
    <w:p w14:paraId="47132FB4">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（致采购人）       </w:t>
      </w:r>
      <w:r>
        <w:rPr>
          <w:rFonts w:hint="eastAsia" w:ascii="宋体" w:hAnsi="宋体" w:cs="宋体"/>
          <w:color w:val="auto"/>
          <w:sz w:val="24"/>
          <w:highlight w:val="none"/>
        </w:rPr>
        <w:t>：</w:t>
      </w:r>
    </w:p>
    <w:p w14:paraId="0AD9C9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项目编号+项目名称）</w:t>
      </w:r>
      <w:r>
        <w:rPr>
          <w:rFonts w:hint="eastAsia" w:ascii="宋体" w:hAnsi="宋体" w:cs="宋体"/>
          <w:color w:val="auto"/>
          <w:kern w:val="0"/>
          <w:sz w:val="24"/>
          <w:highlight w:val="none"/>
          <w:lang w:val="zh-CN"/>
        </w:rPr>
        <w:t>政府采购投标的一切事项，其法律后果由我方承担。</w:t>
      </w:r>
    </w:p>
    <w:p w14:paraId="60416B2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3908EB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58C887D">
      <w:pPr>
        <w:jc w:val="center"/>
        <w:rPr>
          <w:rFonts w:ascii="宋体" w:hAnsi="宋体" w:cs="宋体"/>
          <w:b/>
          <w:color w:val="auto"/>
          <w:kern w:val="0"/>
          <w:sz w:val="32"/>
          <w:szCs w:val="32"/>
          <w:highlight w:val="none"/>
        </w:rPr>
      </w:pPr>
    </w:p>
    <w:p w14:paraId="6EE74C4A">
      <w:pPr>
        <w:jc w:val="center"/>
        <w:rPr>
          <w:rFonts w:ascii="宋体" w:hAnsi="宋体" w:cs="宋体"/>
          <w:b/>
          <w:color w:val="auto"/>
          <w:kern w:val="0"/>
          <w:sz w:val="32"/>
          <w:szCs w:val="32"/>
          <w:highlight w:val="none"/>
        </w:rPr>
      </w:pPr>
    </w:p>
    <w:p w14:paraId="333F0A01">
      <w:pPr>
        <w:jc w:val="center"/>
        <w:rPr>
          <w:rFonts w:ascii="宋体" w:hAnsi="宋体" w:cs="宋体"/>
          <w:b/>
          <w:color w:val="auto"/>
          <w:kern w:val="0"/>
          <w:sz w:val="32"/>
          <w:szCs w:val="32"/>
          <w:highlight w:val="none"/>
        </w:rPr>
      </w:pPr>
    </w:p>
    <w:p w14:paraId="069B1D02">
      <w:pPr>
        <w:rPr>
          <w:rFonts w:ascii="宋体" w:hAnsi="宋体" w:cs="宋体"/>
          <w:color w:val="auto"/>
          <w:highlight w:val="none"/>
        </w:rPr>
      </w:pPr>
    </w:p>
    <w:p w14:paraId="5177C93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hint="eastAsia" w:ascii="宋体" w:hAnsi="宋体" w:cs="宋体"/>
          <w:color w:val="auto"/>
          <w:sz w:val="24"/>
          <w:highlight w:val="none"/>
          <w:lang w:val="en-US" w:eastAsia="zh-CN"/>
        </w:rPr>
        <w:t>电子</w:t>
      </w:r>
      <w:r>
        <w:rPr>
          <w:rFonts w:hint="eastAsia" w:ascii="宋体" w:hAnsi="宋体" w:cs="宋体"/>
          <w:color w:val="auto"/>
          <w:sz w:val="24"/>
          <w:highlight w:val="none"/>
        </w:rPr>
        <w:t>签</w:t>
      </w:r>
      <w:r>
        <w:rPr>
          <w:rFonts w:hint="eastAsia" w:ascii="宋体" w:hAnsi="宋体" w:cs="宋体"/>
          <w:color w:val="auto"/>
          <w:sz w:val="24"/>
          <w:highlight w:val="none"/>
          <w:lang w:val="en-US" w:eastAsia="zh-CN"/>
        </w:rPr>
        <w:t>章</w:t>
      </w:r>
      <w:r>
        <w:rPr>
          <w:rFonts w:hint="eastAsia" w:ascii="宋体" w:hAnsi="宋体" w:cs="宋体"/>
          <w:color w:val="auto"/>
          <w:kern w:val="0"/>
          <w:sz w:val="24"/>
          <w:highlight w:val="none"/>
          <w:lang w:val="zh-CN"/>
        </w:rPr>
        <w:t>)：</w:t>
      </w:r>
    </w:p>
    <w:p w14:paraId="6379ABE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hint="eastAsia" w:ascii="宋体" w:hAnsi="宋体" w:cs="宋体"/>
          <w:color w:val="auto"/>
          <w:sz w:val="24"/>
          <w:highlight w:val="none"/>
          <w:lang w:val="en-US" w:eastAsia="zh-CN"/>
        </w:rPr>
        <w:t>电子</w:t>
      </w:r>
      <w:r>
        <w:rPr>
          <w:rFonts w:hint="eastAsia" w:ascii="宋体" w:hAnsi="宋体" w:cs="宋体"/>
          <w:color w:val="auto"/>
          <w:sz w:val="24"/>
          <w:highlight w:val="none"/>
        </w:rPr>
        <w:t>签</w:t>
      </w:r>
      <w:r>
        <w:rPr>
          <w:rFonts w:hint="eastAsia" w:ascii="宋体" w:hAnsi="宋体" w:cs="宋体"/>
          <w:color w:val="auto"/>
          <w:sz w:val="24"/>
          <w:highlight w:val="none"/>
          <w:lang w:val="en-US" w:eastAsia="zh-CN"/>
        </w:rPr>
        <w:t>章</w:t>
      </w:r>
      <w:r>
        <w:rPr>
          <w:rFonts w:hint="eastAsia" w:ascii="宋体" w:hAnsi="宋体" w:cs="宋体"/>
          <w:color w:val="auto"/>
          <w:kern w:val="0"/>
          <w:sz w:val="24"/>
          <w:highlight w:val="none"/>
          <w:lang w:val="zh-CN"/>
        </w:rPr>
        <w:t>)：</w:t>
      </w:r>
    </w:p>
    <w:p w14:paraId="3F77D88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F4E4CD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DA3DEDF">
      <w:pPr>
        <w:jc w:val="center"/>
        <w:rPr>
          <w:rFonts w:hint="eastAsia" w:ascii="宋体" w:hAnsi="宋体" w:cs="宋体"/>
          <w:b/>
          <w:color w:val="auto"/>
          <w:sz w:val="30"/>
          <w:szCs w:val="30"/>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w:t>
      </w:r>
    </w:p>
    <w:p w14:paraId="4F546663">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30"/>
          <w:szCs w:val="30"/>
          <w:highlight w:val="none"/>
        </w:rPr>
        <w:t>（适用于法定代表人、单位负责人或者自然人本人代表投标人参加投标）</w:t>
      </w:r>
    </w:p>
    <w:p w14:paraId="084AA037">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82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47256F">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1136352">
            <w:pPr>
              <w:pStyle w:val="151"/>
              <w:adjustRightInd w:val="0"/>
              <w:spacing w:line="360" w:lineRule="auto"/>
              <w:rPr>
                <w:rFonts w:hAnsi="宋体" w:cs="宋体"/>
                <w:bCs/>
                <w:color w:val="auto"/>
                <w:sz w:val="24"/>
                <w:highlight w:val="none"/>
              </w:rPr>
            </w:pPr>
          </w:p>
        </w:tc>
      </w:tr>
    </w:tbl>
    <w:p w14:paraId="2936681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FCFB8E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sz w:val="24"/>
          <w:highlight w:val="none"/>
          <w:lang w:val="en-US" w:eastAsia="zh-CN"/>
        </w:rPr>
        <w:t>电子</w:t>
      </w:r>
      <w:r>
        <w:rPr>
          <w:rFonts w:hint="eastAsia" w:ascii="宋体" w:hAnsi="宋体" w:cs="宋体"/>
          <w:color w:val="auto"/>
          <w:sz w:val="24"/>
          <w:highlight w:val="none"/>
        </w:rPr>
        <w:t>签</w:t>
      </w:r>
      <w:r>
        <w:rPr>
          <w:rFonts w:hint="eastAsia" w:ascii="宋体" w:hAnsi="宋体" w:cs="宋体"/>
          <w:color w:val="auto"/>
          <w:sz w:val="24"/>
          <w:highlight w:val="none"/>
          <w:lang w:val="en-US" w:eastAsia="zh-CN"/>
        </w:rPr>
        <w:t>章</w:t>
      </w:r>
      <w:r>
        <w:rPr>
          <w:rFonts w:hint="eastAsia" w:ascii="宋体" w:hAnsi="宋体" w:cs="宋体"/>
          <w:color w:val="auto"/>
          <w:kern w:val="0"/>
          <w:sz w:val="24"/>
          <w:highlight w:val="none"/>
          <w:lang w:val="zh-CN"/>
        </w:rPr>
        <w:t xml:space="preserve">)：                              </w:t>
      </w:r>
    </w:p>
    <w:p w14:paraId="55B37D0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日期：  年  月  日</w:t>
      </w:r>
    </w:p>
    <w:p w14:paraId="704526CE">
      <w:pPr>
        <w:jc w:val="center"/>
        <w:rPr>
          <w:rFonts w:ascii="宋体" w:hAnsi="宋体" w:cs="宋体"/>
          <w:b/>
          <w:color w:val="auto"/>
          <w:kern w:val="0"/>
          <w:sz w:val="32"/>
          <w:szCs w:val="32"/>
          <w:highlight w:val="none"/>
        </w:rPr>
      </w:pPr>
    </w:p>
    <w:p w14:paraId="12751B9E">
      <w:pPr>
        <w:jc w:val="center"/>
        <w:rPr>
          <w:rFonts w:ascii="宋体" w:hAnsi="宋体" w:cs="宋体"/>
          <w:b/>
          <w:color w:val="auto"/>
          <w:kern w:val="0"/>
          <w:sz w:val="32"/>
          <w:szCs w:val="32"/>
          <w:highlight w:val="none"/>
        </w:rPr>
      </w:pPr>
    </w:p>
    <w:p w14:paraId="33DF7174">
      <w:pPr>
        <w:jc w:val="center"/>
        <w:rPr>
          <w:rFonts w:ascii="宋体" w:hAnsi="宋体" w:cs="宋体"/>
          <w:b/>
          <w:color w:val="auto"/>
          <w:kern w:val="0"/>
          <w:sz w:val="32"/>
          <w:szCs w:val="32"/>
          <w:highlight w:val="none"/>
        </w:rPr>
      </w:pPr>
    </w:p>
    <w:p w14:paraId="22B5547A">
      <w:pPr>
        <w:jc w:val="center"/>
        <w:rPr>
          <w:rFonts w:ascii="宋体" w:hAnsi="宋体" w:cs="宋体"/>
          <w:b/>
          <w:color w:val="auto"/>
          <w:kern w:val="0"/>
          <w:sz w:val="32"/>
          <w:szCs w:val="32"/>
          <w:highlight w:val="none"/>
        </w:rPr>
      </w:pPr>
    </w:p>
    <w:p w14:paraId="2B5F5900">
      <w:pPr>
        <w:jc w:val="center"/>
        <w:rPr>
          <w:rFonts w:ascii="宋体" w:hAnsi="宋体" w:cs="宋体"/>
          <w:b/>
          <w:color w:val="auto"/>
          <w:kern w:val="0"/>
          <w:sz w:val="32"/>
          <w:szCs w:val="32"/>
          <w:highlight w:val="none"/>
        </w:rPr>
      </w:pPr>
    </w:p>
    <w:p w14:paraId="2E406351">
      <w:pPr>
        <w:jc w:val="center"/>
        <w:rPr>
          <w:rFonts w:ascii="宋体" w:hAnsi="宋体" w:cs="宋体"/>
          <w:b/>
          <w:color w:val="auto"/>
          <w:kern w:val="0"/>
          <w:sz w:val="32"/>
          <w:szCs w:val="32"/>
          <w:highlight w:val="none"/>
        </w:rPr>
      </w:pPr>
    </w:p>
    <w:p w14:paraId="5A3A258D">
      <w:pPr>
        <w:jc w:val="center"/>
        <w:rPr>
          <w:rFonts w:ascii="宋体" w:hAnsi="宋体" w:cs="宋体"/>
          <w:b/>
          <w:color w:val="auto"/>
          <w:kern w:val="0"/>
          <w:sz w:val="32"/>
          <w:szCs w:val="32"/>
          <w:highlight w:val="none"/>
        </w:rPr>
      </w:pPr>
    </w:p>
    <w:p w14:paraId="2ECDEC30">
      <w:pPr>
        <w:jc w:val="center"/>
        <w:rPr>
          <w:rFonts w:ascii="宋体" w:hAnsi="宋体" w:cs="宋体"/>
          <w:b/>
          <w:color w:val="auto"/>
          <w:kern w:val="0"/>
          <w:sz w:val="32"/>
          <w:szCs w:val="32"/>
          <w:highlight w:val="none"/>
        </w:rPr>
      </w:pPr>
    </w:p>
    <w:p w14:paraId="5501D8A5">
      <w:pPr>
        <w:jc w:val="center"/>
        <w:rPr>
          <w:rFonts w:ascii="宋体" w:hAnsi="宋体" w:cs="宋体"/>
          <w:b/>
          <w:color w:val="auto"/>
          <w:kern w:val="0"/>
          <w:sz w:val="32"/>
          <w:szCs w:val="32"/>
          <w:highlight w:val="none"/>
        </w:rPr>
      </w:pPr>
    </w:p>
    <w:p w14:paraId="7D0C61C3">
      <w:pPr>
        <w:jc w:val="center"/>
        <w:rPr>
          <w:rFonts w:ascii="宋体" w:hAnsi="宋体" w:cs="宋体"/>
          <w:b/>
          <w:color w:val="auto"/>
          <w:kern w:val="0"/>
          <w:sz w:val="32"/>
          <w:szCs w:val="32"/>
          <w:highlight w:val="none"/>
        </w:rPr>
      </w:pPr>
    </w:p>
    <w:p w14:paraId="3983FDC6">
      <w:pPr>
        <w:snapToGrid w:val="0"/>
        <w:spacing w:line="360" w:lineRule="auto"/>
        <w:ind w:right="480"/>
        <w:rPr>
          <w:rFonts w:ascii="宋体" w:hAnsi="宋体" w:cs="宋体"/>
          <w:b/>
          <w:color w:val="auto"/>
          <w:kern w:val="0"/>
          <w:sz w:val="32"/>
          <w:szCs w:val="32"/>
          <w:highlight w:val="none"/>
        </w:rPr>
        <w:sectPr>
          <w:pgSz w:w="11905" w:h="16838"/>
          <w:pgMar w:top="1134" w:right="1417" w:bottom="1134" w:left="1417" w:header="851" w:footer="992" w:gutter="0"/>
          <w:pgBorders>
            <w:top w:val="none" w:sz="0" w:space="0"/>
            <w:left w:val="none" w:sz="0" w:space="0"/>
            <w:bottom w:val="none" w:sz="0" w:space="0"/>
            <w:right w:val="none" w:sz="0" w:space="0"/>
          </w:pgBorders>
          <w:cols w:space="0" w:num="1"/>
          <w:titlePg/>
          <w:rtlGutter w:val="0"/>
          <w:docGrid w:linePitch="312" w:charSpace="0"/>
        </w:sectPr>
      </w:pPr>
    </w:p>
    <w:p w14:paraId="7706C685">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r>
        <w:rPr>
          <w:rFonts w:hint="eastAsia" w:ascii="宋体" w:hAnsi="宋体" w:cs="宋体"/>
          <w:b/>
          <w:color w:val="auto"/>
          <w:kern w:val="0"/>
          <w:sz w:val="32"/>
          <w:szCs w:val="32"/>
          <w:highlight w:val="none"/>
          <w:lang w:val="en-US" w:eastAsia="zh-CN"/>
        </w:rPr>
        <w:t>如有</w:t>
      </w:r>
      <w:r>
        <w:rPr>
          <w:rFonts w:hint="eastAsia" w:ascii="宋体" w:hAnsi="宋体" w:cs="宋体"/>
          <w:b/>
          <w:color w:val="auto"/>
          <w:kern w:val="0"/>
          <w:sz w:val="32"/>
          <w:szCs w:val="32"/>
          <w:highlight w:val="none"/>
        </w:rPr>
        <w:t>）</w:t>
      </w:r>
    </w:p>
    <w:p w14:paraId="7BA16B84">
      <w:pPr>
        <w:widowControl/>
        <w:spacing w:line="360" w:lineRule="auto"/>
        <w:ind w:firstLine="120" w:firstLineChars="50"/>
        <w:jc w:val="left"/>
        <w:rPr>
          <w:rFonts w:ascii="宋体" w:hAnsi="宋体" w:cs="宋体"/>
          <w:color w:val="auto"/>
          <w:sz w:val="24"/>
          <w:highlight w:val="none"/>
        </w:rPr>
      </w:pPr>
      <w:bookmarkStart w:id="52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w:t>
      </w:r>
      <w:r>
        <w:rPr>
          <w:rFonts w:hint="eastAsia" w:ascii="宋体" w:hAnsi="宋体" w:cs="宋体"/>
          <w:b/>
          <w:color w:val="auto"/>
          <w:sz w:val="24"/>
          <w:highlight w:val="none"/>
          <w:lang w:val="en-US" w:eastAsia="zh-CN"/>
        </w:rPr>
        <w:t>4</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25"/>
    <w:p w14:paraId="4F8E3F43">
      <w:pPr>
        <w:snapToGrid w:val="0"/>
        <w:spacing w:line="360" w:lineRule="auto"/>
        <w:rPr>
          <w:rFonts w:ascii="宋体" w:hAnsi="宋体" w:cs="宋体"/>
          <w:color w:val="auto"/>
          <w:kern w:val="0"/>
          <w:sz w:val="24"/>
          <w:highlight w:val="none"/>
        </w:rPr>
      </w:pPr>
    </w:p>
    <w:p w14:paraId="1C64CC43">
      <w:pPr>
        <w:jc w:val="center"/>
        <w:rPr>
          <w:rFonts w:ascii="宋体" w:hAnsi="宋体" w:cs="宋体"/>
          <w:b/>
          <w:color w:val="auto"/>
          <w:kern w:val="0"/>
          <w:sz w:val="32"/>
          <w:szCs w:val="32"/>
          <w:highlight w:val="none"/>
        </w:rPr>
      </w:pPr>
    </w:p>
    <w:p w14:paraId="17F7EDD5">
      <w:pPr>
        <w:pStyle w:val="3"/>
        <w:outlineLvl w:val="9"/>
        <w:rPr>
          <w:color w:val="auto"/>
          <w:highlight w:val="none"/>
          <w:lang w:val="en-US"/>
        </w:rPr>
      </w:pPr>
    </w:p>
    <w:p w14:paraId="3E48DD4E">
      <w:pPr>
        <w:rPr>
          <w:color w:val="auto"/>
          <w:highlight w:val="none"/>
        </w:rPr>
      </w:pPr>
    </w:p>
    <w:p w14:paraId="56F8E26C">
      <w:pPr>
        <w:pStyle w:val="3"/>
        <w:outlineLvl w:val="9"/>
        <w:rPr>
          <w:color w:val="auto"/>
          <w:highlight w:val="none"/>
          <w:lang w:val="en-US"/>
        </w:rPr>
      </w:pPr>
    </w:p>
    <w:p w14:paraId="5B394C08">
      <w:pPr>
        <w:jc w:val="center"/>
        <w:rPr>
          <w:rFonts w:ascii="宋体" w:hAnsi="宋体" w:cs="宋体"/>
          <w:b/>
          <w:color w:val="auto"/>
          <w:kern w:val="0"/>
          <w:sz w:val="32"/>
          <w:szCs w:val="32"/>
          <w:highlight w:val="none"/>
        </w:rPr>
      </w:pPr>
    </w:p>
    <w:p w14:paraId="51C9293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6CD03FB">
      <w:pPr>
        <w:jc w:val="center"/>
        <w:rPr>
          <w:rFonts w:ascii="宋体" w:hAnsi="宋体" w:cs="宋体"/>
          <w:b/>
          <w:color w:val="auto"/>
          <w:kern w:val="0"/>
          <w:sz w:val="32"/>
          <w:szCs w:val="32"/>
          <w:highlight w:val="none"/>
        </w:rPr>
      </w:pPr>
    </w:p>
    <w:tbl>
      <w:tblPr>
        <w:tblStyle w:val="64"/>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525"/>
        <w:gridCol w:w="3323"/>
        <w:gridCol w:w="2250"/>
      </w:tblGrid>
      <w:tr w14:paraId="6DD8D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3" w:type="dxa"/>
            <w:vAlign w:val="center"/>
          </w:tcPr>
          <w:p w14:paraId="1488658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525" w:type="dxa"/>
            <w:vAlign w:val="center"/>
          </w:tcPr>
          <w:p w14:paraId="15B2C40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323" w:type="dxa"/>
            <w:vAlign w:val="center"/>
          </w:tcPr>
          <w:p w14:paraId="759A3BC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2250" w:type="dxa"/>
            <w:vAlign w:val="center"/>
          </w:tcPr>
          <w:p w14:paraId="1212AD2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7C8ED8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304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73" w:type="dxa"/>
            <w:vAlign w:val="center"/>
          </w:tcPr>
          <w:p w14:paraId="136EF8C9">
            <w:pPr>
              <w:jc w:val="center"/>
              <w:rPr>
                <w:rFonts w:ascii="宋体" w:hAnsi="宋体" w:cs="宋体"/>
                <w:color w:val="auto"/>
                <w:sz w:val="24"/>
                <w:highlight w:val="none"/>
              </w:rPr>
            </w:pPr>
            <w:r>
              <w:rPr>
                <w:rFonts w:hint="eastAsia" w:ascii="宋体" w:hAnsi="宋体" w:cs="宋体"/>
                <w:color w:val="auto"/>
                <w:sz w:val="24"/>
                <w:highlight w:val="none"/>
              </w:rPr>
              <w:t>1</w:t>
            </w:r>
          </w:p>
        </w:tc>
        <w:tc>
          <w:tcPr>
            <w:tcW w:w="3525" w:type="dxa"/>
            <w:vAlign w:val="center"/>
          </w:tcPr>
          <w:p w14:paraId="2735D7C6">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323" w:type="dxa"/>
            <w:vAlign w:val="center"/>
          </w:tcPr>
          <w:p w14:paraId="029AE5D1">
            <w:pPr>
              <w:spacing w:line="360" w:lineRule="auto"/>
              <w:rPr>
                <w:rFonts w:ascii="宋体" w:hAnsi="宋体" w:cs="宋体"/>
                <w:color w:val="auto"/>
                <w:sz w:val="24"/>
                <w:highlight w:val="none"/>
              </w:rPr>
            </w:pPr>
            <w:r>
              <w:rPr>
                <w:rFonts w:hint="eastAsia" w:ascii="宋体" w:hAnsi="宋体" w:cs="宋体"/>
                <w:color w:val="auto"/>
                <w:sz w:val="24"/>
                <w:highlight w:val="none"/>
              </w:rPr>
              <w:t>需要使用电子签</w:t>
            </w:r>
            <w:r>
              <w:rPr>
                <w:rFonts w:hint="eastAsia" w:ascii="宋体" w:hAnsi="宋体" w:cs="宋体"/>
                <w:color w:val="auto"/>
                <w:sz w:val="24"/>
                <w:highlight w:val="none"/>
                <w:lang w:val="en-US" w:eastAsia="zh-CN"/>
              </w:rPr>
              <w:t>章</w:t>
            </w:r>
            <w:r>
              <w:rPr>
                <w:rFonts w:hint="eastAsia" w:ascii="宋体" w:hAnsi="宋体" w:cs="宋体"/>
                <w:color w:val="auto"/>
                <w:sz w:val="24"/>
                <w:highlight w:val="none"/>
              </w:rPr>
              <w:t>或者签字盖章的投标文件的组成部分</w:t>
            </w:r>
          </w:p>
        </w:tc>
        <w:tc>
          <w:tcPr>
            <w:tcW w:w="2250" w:type="dxa"/>
            <w:vAlign w:val="center"/>
          </w:tcPr>
          <w:p w14:paraId="03EF58C8">
            <w:pPr>
              <w:jc w:val="center"/>
              <w:rPr>
                <w:rFonts w:ascii="宋体" w:hAnsi="宋体" w:cs="宋体"/>
                <w:color w:val="auto"/>
                <w:highlight w:val="none"/>
              </w:rPr>
            </w:pPr>
            <w:r>
              <w:rPr>
                <w:rFonts w:hint="eastAsia" w:hAnsi="宋体"/>
                <w:color w:val="auto"/>
                <w:sz w:val="24"/>
                <w:highlight w:val="none"/>
              </w:rPr>
              <w:t>见投标文件需要签字盖章的各页。</w:t>
            </w:r>
          </w:p>
        </w:tc>
      </w:tr>
      <w:tr w14:paraId="3CF8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5BC8E32D">
            <w:pPr>
              <w:jc w:val="center"/>
              <w:rPr>
                <w:rFonts w:ascii="宋体" w:hAnsi="宋体" w:cs="宋体"/>
                <w:color w:val="auto"/>
                <w:sz w:val="24"/>
                <w:highlight w:val="none"/>
              </w:rPr>
            </w:pPr>
            <w:r>
              <w:rPr>
                <w:rFonts w:hint="eastAsia" w:ascii="宋体" w:hAnsi="宋体" w:cs="宋体"/>
                <w:color w:val="auto"/>
                <w:sz w:val="24"/>
                <w:highlight w:val="none"/>
              </w:rPr>
              <w:t>2</w:t>
            </w:r>
          </w:p>
        </w:tc>
        <w:tc>
          <w:tcPr>
            <w:tcW w:w="3525" w:type="dxa"/>
            <w:vAlign w:val="center"/>
          </w:tcPr>
          <w:p w14:paraId="75576B1A">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323" w:type="dxa"/>
            <w:vAlign w:val="center"/>
          </w:tcPr>
          <w:p w14:paraId="4E4F0A28">
            <w:pPr>
              <w:spacing w:line="360" w:lineRule="auto"/>
              <w:rPr>
                <w:rFonts w:ascii="宋体" w:hAnsi="宋体" w:cs="宋体"/>
                <w:color w:val="auto"/>
                <w:sz w:val="24"/>
                <w:highlight w:val="none"/>
              </w:rPr>
            </w:pPr>
            <w:r>
              <w:rPr>
                <w:rFonts w:hint="eastAsia" w:ascii="宋体" w:hAnsi="宋体" w:cs="宋体"/>
                <w:color w:val="auto"/>
                <w:sz w:val="24"/>
                <w:highlight w:val="none"/>
              </w:rPr>
              <w:t>投标函</w:t>
            </w:r>
          </w:p>
        </w:tc>
        <w:tc>
          <w:tcPr>
            <w:tcW w:w="2250" w:type="dxa"/>
            <w:vAlign w:val="center"/>
          </w:tcPr>
          <w:p w14:paraId="5F4562CE">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4D7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762AD96A">
            <w:pPr>
              <w:jc w:val="center"/>
              <w:rPr>
                <w:rFonts w:ascii="宋体" w:hAnsi="宋体" w:cs="宋体"/>
                <w:color w:val="auto"/>
                <w:sz w:val="24"/>
                <w:highlight w:val="none"/>
              </w:rPr>
            </w:pPr>
            <w:r>
              <w:rPr>
                <w:rFonts w:hint="eastAsia" w:ascii="宋体" w:hAnsi="宋体" w:cs="宋体"/>
                <w:color w:val="auto"/>
                <w:sz w:val="24"/>
                <w:highlight w:val="none"/>
              </w:rPr>
              <w:t>3</w:t>
            </w:r>
          </w:p>
        </w:tc>
        <w:tc>
          <w:tcPr>
            <w:tcW w:w="3525" w:type="dxa"/>
            <w:vAlign w:val="center"/>
          </w:tcPr>
          <w:p w14:paraId="1F35DBB9">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323" w:type="dxa"/>
            <w:vAlign w:val="center"/>
          </w:tcPr>
          <w:p w14:paraId="5FF0CAAF">
            <w:pPr>
              <w:spacing w:line="360" w:lineRule="auto"/>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w:t>
            </w:r>
            <w:r>
              <w:rPr>
                <w:rFonts w:hint="eastAsia" w:ascii="宋体" w:hAnsi="宋体" w:cs="宋体"/>
                <w:bCs/>
                <w:color w:val="auto"/>
                <w:szCs w:val="21"/>
                <w:highlight w:val="none"/>
                <w:lang w:eastAsia="zh-CN"/>
              </w:rPr>
              <w:t>▲</w:t>
            </w:r>
            <w:r>
              <w:rPr>
                <w:rFonts w:hint="eastAsia" w:ascii="宋体" w:hAnsi="宋体" w:cs="宋体"/>
                <w:color w:val="auto"/>
                <w:kern w:val="0"/>
                <w:sz w:val="24"/>
                <w:highlight w:val="none"/>
              </w:rPr>
              <w:t>” 系指实质性要求条款，招标文件无其它实质性要求的，无需提供）</w:t>
            </w:r>
          </w:p>
        </w:tc>
        <w:tc>
          <w:tcPr>
            <w:tcW w:w="2250" w:type="dxa"/>
            <w:vAlign w:val="center"/>
          </w:tcPr>
          <w:p w14:paraId="0B51B2B1">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A1950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5A5D7F0">
      <w:pPr>
        <w:jc w:val="center"/>
        <w:rPr>
          <w:rFonts w:ascii="宋体" w:hAnsi="宋体" w:cs="宋体"/>
          <w:b/>
          <w:color w:val="auto"/>
          <w:kern w:val="0"/>
          <w:sz w:val="32"/>
          <w:szCs w:val="32"/>
          <w:highlight w:val="none"/>
        </w:rPr>
      </w:pPr>
    </w:p>
    <w:p w14:paraId="722FF84E">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5A1206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B4867DC">
      <w:pPr>
        <w:snapToGrid w:val="0"/>
        <w:spacing w:line="360" w:lineRule="auto"/>
        <w:rPr>
          <w:rFonts w:ascii="宋体" w:hAnsi="宋体" w:cs="宋体"/>
          <w:color w:val="auto"/>
          <w:sz w:val="24"/>
          <w:highlight w:val="none"/>
        </w:rPr>
      </w:pPr>
    </w:p>
    <w:p w14:paraId="69783D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（致采购人）       </w:t>
      </w:r>
      <w:r>
        <w:rPr>
          <w:rFonts w:hint="eastAsia" w:ascii="宋体" w:hAnsi="宋体" w:cs="宋体"/>
          <w:color w:val="auto"/>
          <w:sz w:val="24"/>
          <w:highlight w:val="none"/>
        </w:rPr>
        <w:t>：</w:t>
      </w:r>
    </w:p>
    <w:p w14:paraId="096B98D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68CC1B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10E8BF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0EABBD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8F782D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FD354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BD4675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6351FFC">
      <w:pPr>
        <w:autoSpaceDE w:val="0"/>
        <w:autoSpaceDN w:val="0"/>
        <w:spacing w:line="360" w:lineRule="auto"/>
        <w:ind w:left="481" w:leftChars="229"/>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r>
        <w:rPr>
          <w:rFonts w:hint="eastAsia" w:ascii="宋体" w:hAnsi="宋体" w:cs="宋体"/>
          <w:color w:val="auto"/>
          <w:kern w:val="0"/>
          <w:sz w:val="24"/>
          <w:highlight w:val="none"/>
          <w:lang w:val="en-US" w:eastAsia="zh-CN"/>
        </w:rPr>
        <w:t>法》、</w:t>
      </w:r>
    </w:p>
    <w:p w14:paraId="504394E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B7EAC7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C8CA45D">
      <w:pPr>
        <w:autoSpaceDE w:val="0"/>
        <w:autoSpaceDN w:val="0"/>
        <w:spacing w:line="360" w:lineRule="auto"/>
        <w:ind w:left="2"/>
        <w:jc w:val="left"/>
        <w:rPr>
          <w:rFonts w:ascii="宋体" w:hAnsi="宋体" w:cs="宋体"/>
          <w:color w:val="auto"/>
          <w:kern w:val="0"/>
          <w:sz w:val="24"/>
          <w:highlight w:val="none"/>
          <w:lang w:val="zh-CN"/>
        </w:rPr>
      </w:pPr>
    </w:p>
    <w:p w14:paraId="37E63AF3">
      <w:pPr>
        <w:autoSpaceDE w:val="0"/>
        <w:autoSpaceDN w:val="0"/>
        <w:spacing w:line="360" w:lineRule="auto"/>
        <w:ind w:left="2"/>
        <w:jc w:val="left"/>
        <w:rPr>
          <w:rFonts w:ascii="宋体" w:hAnsi="宋体" w:cs="宋体"/>
          <w:color w:val="auto"/>
          <w:kern w:val="0"/>
          <w:sz w:val="24"/>
          <w:highlight w:val="none"/>
          <w:lang w:val="zh-CN"/>
        </w:rPr>
      </w:pPr>
    </w:p>
    <w:p w14:paraId="0C8F2102">
      <w:pPr>
        <w:autoSpaceDE w:val="0"/>
        <w:autoSpaceDN w:val="0"/>
        <w:spacing w:line="360" w:lineRule="auto"/>
        <w:ind w:left="2"/>
        <w:jc w:val="left"/>
        <w:rPr>
          <w:rFonts w:ascii="宋体" w:hAnsi="宋体" w:cs="宋体"/>
          <w:color w:val="auto"/>
          <w:kern w:val="0"/>
          <w:sz w:val="24"/>
          <w:highlight w:val="none"/>
          <w:lang w:val="zh-CN"/>
        </w:rPr>
      </w:pPr>
    </w:p>
    <w:p w14:paraId="07C42426">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lang w:val="en-US" w:eastAsia="zh-CN"/>
        </w:rPr>
        <w:t>电子</w:t>
      </w:r>
      <w:r>
        <w:rPr>
          <w:rFonts w:hint="eastAsia" w:ascii="宋体" w:hAnsi="宋体" w:cs="宋体"/>
          <w:color w:val="auto"/>
          <w:sz w:val="24"/>
          <w:highlight w:val="none"/>
        </w:rPr>
        <w:t>签</w:t>
      </w:r>
      <w:r>
        <w:rPr>
          <w:rFonts w:hint="eastAsia" w:ascii="宋体" w:hAnsi="宋体" w:cs="宋体"/>
          <w:color w:val="auto"/>
          <w:sz w:val="24"/>
          <w:highlight w:val="none"/>
          <w:lang w:val="en-US" w:eastAsia="zh-CN"/>
        </w:rPr>
        <w:t>章</w:t>
      </w:r>
      <w:r>
        <w:rPr>
          <w:rFonts w:hint="eastAsia" w:ascii="宋体" w:hAnsi="宋体" w:cs="宋体"/>
          <w:color w:val="auto"/>
          <w:kern w:val="0"/>
          <w:sz w:val="24"/>
          <w:highlight w:val="none"/>
          <w:lang w:val="zh-CN"/>
        </w:rPr>
        <w:t xml:space="preserve">)：                                                                                                                                                                                                               </w:t>
      </w:r>
    </w:p>
    <w:p w14:paraId="43D8AAC2">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DBFDF42">
      <w:pPr>
        <w:spacing w:line="360" w:lineRule="auto"/>
        <w:jc w:val="center"/>
        <w:rPr>
          <w:rFonts w:ascii="宋体" w:hAnsi="宋体" w:cs="宋体"/>
          <w:b/>
          <w:bCs/>
          <w:color w:val="auto"/>
          <w:sz w:val="24"/>
          <w:highlight w:val="none"/>
        </w:rPr>
      </w:pPr>
    </w:p>
    <w:p w14:paraId="2421899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0AA82DB">
      <w:pPr>
        <w:rPr>
          <w:rFonts w:ascii="宋体" w:hAnsi="宋体" w:cs="宋体"/>
          <w:b/>
          <w:bCs/>
          <w:color w:val="auto"/>
          <w:sz w:val="24"/>
          <w:highlight w:val="none"/>
        </w:rPr>
      </w:pPr>
      <w:r>
        <w:rPr>
          <w:rFonts w:ascii="宋体" w:hAnsi="宋体" w:cs="宋体"/>
          <w:b/>
          <w:bCs/>
          <w:color w:val="auto"/>
          <w:sz w:val="24"/>
          <w:highlight w:val="none"/>
        </w:rPr>
        <w:br w:type="page"/>
      </w:r>
    </w:p>
    <w:p w14:paraId="7A45902F">
      <w:pPr>
        <w:jc w:val="center"/>
        <w:rPr>
          <w:rFonts w:hint="eastAsia" w:ascii="宋体" w:hAnsi="宋体" w:cs="宋体"/>
          <w:b/>
          <w:color w:val="auto"/>
          <w:kern w:val="0"/>
          <w:sz w:val="32"/>
          <w:szCs w:val="32"/>
          <w:highlight w:val="none"/>
        </w:rPr>
      </w:pPr>
    </w:p>
    <w:p w14:paraId="4AB6D5A4">
      <w:pPr>
        <w:jc w:val="center"/>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六、投标标的清单</w:t>
      </w:r>
    </w:p>
    <w:tbl>
      <w:tblPr>
        <w:tblStyle w:val="64"/>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33"/>
        <w:gridCol w:w="1305"/>
        <w:gridCol w:w="2011"/>
        <w:gridCol w:w="1777"/>
      </w:tblGrid>
      <w:tr w14:paraId="040B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78213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E19A11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33" w:type="dxa"/>
            <w:tcBorders>
              <w:top w:val="single" w:color="auto" w:sz="4" w:space="0"/>
              <w:left w:val="single" w:color="auto" w:sz="4" w:space="0"/>
              <w:bottom w:val="single" w:color="auto" w:sz="4" w:space="0"/>
              <w:right w:val="single" w:color="auto" w:sz="4" w:space="0"/>
            </w:tcBorders>
            <w:vAlign w:val="center"/>
          </w:tcPr>
          <w:p w14:paraId="6279CDA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305" w:type="dxa"/>
            <w:tcBorders>
              <w:top w:val="single" w:color="auto" w:sz="4" w:space="0"/>
              <w:left w:val="single" w:color="auto" w:sz="4" w:space="0"/>
              <w:bottom w:val="single" w:color="auto" w:sz="4" w:space="0"/>
              <w:right w:val="single" w:color="auto" w:sz="4" w:space="0"/>
            </w:tcBorders>
            <w:vAlign w:val="center"/>
          </w:tcPr>
          <w:p w14:paraId="42B984F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011" w:type="dxa"/>
            <w:tcBorders>
              <w:top w:val="single" w:color="auto" w:sz="4" w:space="0"/>
              <w:left w:val="single" w:color="auto" w:sz="4" w:space="0"/>
              <w:bottom w:val="single" w:color="auto" w:sz="4" w:space="0"/>
              <w:right w:val="single" w:color="auto" w:sz="4" w:space="0"/>
            </w:tcBorders>
            <w:vAlign w:val="center"/>
          </w:tcPr>
          <w:p w14:paraId="69FC43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777" w:type="dxa"/>
            <w:tcBorders>
              <w:top w:val="single" w:color="auto" w:sz="4" w:space="0"/>
              <w:left w:val="single" w:color="auto" w:sz="4" w:space="0"/>
              <w:bottom w:val="single" w:color="auto" w:sz="4" w:space="0"/>
              <w:right w:val="single" w:color="auto" w:sz="4" w:space="0"/>
            </w:tcBorders>
            <w:vAlign w:val="center"/>
          </w:tcPr>
          <w:p w14:paraId="3A494B2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69E4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387B0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AFD7D0C">
            <w:pPr>
              <w:snapToGrid w:val="0"/>
              <w:spacing w:line="360" w:lineRule="auto"/>
              <w:jc w:val="center"/>
              <w:rPr>
                <w:rFonts w:ascii="宋体" w:hAnsi="宋体" w:cs="宋体"/>
                <w:color w:val="auto"/>
                <w:sz w:val="24"/>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43D7A089">
            <w:pPr>
              <w:snapToGrid w:val="0"/>
              <w:spacing w:line="360" w:lineRule="auto"/>
              <w:jc w:val="center"/>
              <w:rPr>
                <w:rFonts w:ascii="宋体" w:hAnsi="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014FB4C0">
            <w:pPr>
              <w:snapToGrid w:val="0"/>
              <w:spacing w:line="360" w:lineRule="auto"/>
              <w:jc w:val="center"/>
              <w:rPr>
                <w:rFonts w:ascii="宋体" w:hAnsi="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247D838B">
            <w:pPr>
              <w:spacing w:line="360" w:lineRule="auto"/>
              <w:jc w:val="center"/>
              <w:rPr>
                <w:rFonts w:ascii="宋体" w:hAnsi="宋体" w:cs="宋体"/>
                <w:color w:val="auto"/>
                <w:sz w:val="24"/>
                <w:highlight w:val="none"/>
              </w:rPr>
            </w:pPr>
          </w:p>
        </w:tc>
        <w:tc>
          <w:tcPr>
            <w:tcW w:w="1777" w:type="dxa"/>
            <w:tcBorders>
              <w:top w:val="single" w:color="auto" w:sz="4" w:space="0"/>
              <w:left w:val="single" w:color="auto" w:sz="4" w:space="0"/>
              <w:bottom w:val="single" w:color="auto" w:sz="4" w:space="0"/>
              <w:right w:val="single" w:color="auto" w:sz="4" w:space="0"/>
            </w:tcBorders>
            <w:vAlign w:val="center"/>
          </w:tcPr>
          <w:p w14:paraId="0D5AB0D6">
            <w:pPr>
              <w:spacing w:line="360" w:lineRule="auto"/>
              <w:jc w:val="center"/>
              <w:rPr>
                <w:rFonts w:ascii="宋体" w:hAnsi="宋体" w:cs="宋体"/>
                <w:color w:val="auto"/>
                <w:sz w:val="24"/>
                <w:highlight w:val="none"/>
              </w:rPr>
            </w:pPr>
          </w:p>
        </w:tc>
      </w:tr>
      <w:tr w14:paraId="56FC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C9958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1FB60B5">
            <w:pPr>
              <w:snapToGrid w:val="0"/>
              <w:spacing w:line="360" w:lineRule="auto"/>
              <w:jc w:val="center"/>
              <w:rPr>
                <w:rFonts w:ascii="宋体" w:hAnsi="宋体" w:cs="宋体"/>
                <w:color w:val="auto"/>
                <w:sz w:val="24"/>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01C04716">
            <w:pPr>
              <w:snapToGrid w:val="0"/>
              <w:spacing w:line="360" w:lineRule="auto"/>
              <w:jc w:val="center"/>
              <w:rPr>
                <w:rFonts w:ascii="宋体" w:hAnsi="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509499CC">
            <w:pPr>
              <w:snapToGrid w:val="0"/>
              <w:spacing w:line="360" w:lineRule="auto"/>
              <w:jc w:val="center"/>
              <w:rPr>
                <w:rFonts w:ascii="宋体" w:hAnsi="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56FCFB2D">
            <w:pPr>
              <w:spacing w:line="360" w:lineRule="auto"/>
              <w:jc w:val="center"/>
              <w:rPr>
                <w:rFonts w:ascii="宋体" w:hAnsi="宋体" w:cs="宋体"/>
                <w:color w:val="auto"/>
                <w:sz w:val="24"/>
                <w:highlight w:val="none"/>
              </w:rPr>
            </w:pPr>
          </w:p>
        </w:tc>
        <w:tc>
          <w:tcPr>
            <w:tcW w:w="1777" w:type="dxa"/>
            <w:tcBorders>
              <w:top w:val="single" w:color="auto" w:sz="4" w:space="0"/>
              <w:left w:val="single" w:color="auto" w:sz="4" w:space="0"/>
              <w:bottom w:val="single" w:color="auto" w:sz="4" w:space="0"/>
              <w:right w:val="single" w:color="auto" w:sz="4" w:space="0"/>
            </w:tcBorders>
            <w:vAlign w:val="center"/>
          </w:tcPr>
          <w:p w14:paraId="2B82D520">
            <w:pPr>
              <w:spacing w:line="360" w:lineRule="auto"/>
              <w:jc w:val="center"/>
              <w:rPr>
                <w:rFonts w:ascii="宋体" w:hAnsi="宋体" w:cs="宋体"/>
                <w:color w:val="auto"/>
                <w:sz w:val="24"/>
                <w:highlight w:val="none"/>
              </w:rPr>
            </w:pPr>
          </w:p>
        </w:tc>
      </w:tr>
      <w:tr w14:paraId="38E4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E24F9E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CF54560">
            <w:pPr>
              <w:snapToGrid w:val="0"/>
              <w:spacing w:line="360" w:lineRule="auto"/>
              <w:jc w:val="center"/>
              <w:rPr>
                <w:rFonts w:ascii="宋体" w:hAnsi="宋体" w:cs="宋体"/>
                <w:color w:val="auto"/>
                <w:sz w:val="24"/>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70F1ABB9">
            <w:pPr>
              <w:snapToGrid w:val="0"/>
              <w:spacing w:line="360" w:lineRule="auto"/>
              <w:jc w:val="center"/>
              <w:rPr>
                <w:rFonts w:ascii="宋体" w:hAnsi="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0B89969C">
            <w:pPr>
              <w:snapToGrid w:val="0"/>
              <w:spacing w:line="360" w:lineRule="auto"/>
              <w:jc w:val="center"/>
              <w:rPr>
                <w:rFonts w:ascii="宋体" w:hAnsi="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35CF774B">
            <w:pPr>
              <w:spacing w:line="360" w:lineRule="auto"/>
              <w:jc w:val="center"/>
              <w:rPr>
                <w:rFonts w:ascii="宋体" w:hAnsi="宋体" w:cs="宋体"/>
                <w:color w:val="auto"/>
                <w:sz w:val="24"/>
                <w:highlight w:val="none"/>
              </w:rPr>
            </w:pPr>
          </w:p>
        </w:tc>
        <w:tc>
          <w:tcPr>
            <w:tcW w:w="1777" w:type="dxa"/>
            <w:tcBorders>
              <w:top w:val="single" w:color="auto" w:sz="4" w:space="0"/>
              <w:left w:val="single" w:color="auto" w:sz="4" w:space="0"/>
              <w:bottom w:val="single" w:color="auto" w:sz="4" w:space="0"/>
              <w:right w:val="single" w:color="auto" w:sz="4" w:space="0"/>
            </w:tcBorders>
            <w:vAlign w:val="center"/>
          </w:tcPr>
          <w:p w14:paraId="1FEC7737">
            <w:pPr>
              <w:spacing w:line="360" w:lineRule="auto"/>
              <w:jc w:val="center"/>
              <w:rPr>
                <w:rFonts w:ascii="宋体" w:hAnsi="宋体" w:cs="宋体"/>
                <w:color w:val="auto"/>
                <w:sz w:val="24"/>
                <w:highlight w:val="none"/>
              </w:rPr>
            </w:pPr>
          </w:p>
        </w:tc>
      </w:tr>
    </w:tbl>
    <w:p w14:paraId="5E12FC3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4732FE1">
      <w:pPr>
        <w:jc w:val="center"/>
        <w:rPr>
          <w:rFonts w:ascii="宋体" w:hAnsi="宋体" w:cs="宋体"/>
          <w:b/>
          <w:color w:val="auto"/>
          <w:kern w:val="0"/>
          <w:sz w:val="32"/>
          <w:szCs w:val="32"/>
          <w:highlight w:val="none"/>
        </w:rPr>
      </w:pPr>
    </w:p>
    <w:p w14:paraId="494F88E5">
      <w:pPr>
        <w:jc w:val="center"/>
        <w:rPr>
          <w:rFonts w:ascii="宋体" w:hAnsi="宋体" w:cs="宋体"/>
          <w:b/>
          <w:color w:val="auto"/>
          <w:kern w:val="0"/>
          <w:sz w:val="32"/>
          <w:szCs w:val="32"/>
          <w:highlight w:val="none"/>
        </w:rPr>
      </w:pPr>
    </w:p>
    <w:p w14:paraId="46BE28E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00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328"/>
        <w:gridCol w:w="3287"/>
        <w:gridCol w:w="1425"/>
      </w:tblGrid>
      <w:tr w14:paraId="7553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1063C5F5">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328" w:type="dxa"/>
          </w:tcPr>
          <w:p w14:paraId="7FA8E98C">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287" w:type="dxa"/>
          </w:tcPr>
          <w:p w14:paraId="5ED554AC">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425" w:type="dxa"/>
          </w:tcPr>
          <w:p w14:paraId="11BD4C6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CAA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08E848F0">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328" w:type="dxa"/>
          </w:tcPr>
          <w:p w14:paraId="77ABFDA7">
            <w:pPr>
              <w:jc w:val="center"/>
              <w:rPr>
                <w:rFonts w:ascii="宋体" w:hAnsi="宋体" w:cs="宋体"/>
                <w:b/>
                <w:color w:val="auto"/>
                <w:kern w:val="0"/>
                <w:sz w:val="32"/>
                <w:szCs w:val="32"/>
                <w:highlight w:val="none"/>
              </w:rPr>
            </w:pPr>
          </w:p>
        </w:tc>
        <w:tc>
          <w:tcPr>
            <w:tcW w:w="3287" w:type="dxa"/>
          </w:tcPr>
          <w:p w14:paraId="4119847A">
            <w:pPr>
              <w:jc w:val="center"/>
              <w:rPr>
                <w:rFonts w:ascii="宋体" w:hAnsi="宋体" w:cs="宋体"/>
                <w:b/>
                <w:color w:val="auto"/>
                <w:kern w:val="0"/>
                <w:sz w:val="32"/>
                <w:szCs w:val="32"/>
                <w:highlight w:val="none"/>
              </w:rPr>
            </w:pPr>
          </w:p>
        </w:tc>
        <w:tc>
          <w:tcPr>
            <w:tcW w:w="1425" w:type="dxa"/>
          </w:tcPr>
          <w:p w14:paraId="666989EC">
            <w:pPr>
              <w:jc w:val="center"/>
              <w:rPr>
                <w:rFonts w:ascii="宋体" w:hAnsi="宋体" w:cs="宋体"/>
                <w:b/>
                <w:color w:val="auto"/>
                <w:kern w:val="0"/>
                <w:sz w:val="32"/>
                <w:szCs w:val="32"/>
                <w:highlight w:val="none"/>
              </w:rPr>
            </w:pPr>
          </w:p>
        </w:tc>
      </w:tr>
      <w:tr w14:paraId="6525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4449320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328" w:type="dxa"/>
          </w:tcPr>
          <w:p w14:paraId="56E1F101">
            <w:pPr>
              <w:jc w:val="center"/>
              <w:rPr>
                <w:rFonts w:ascii="宋体" w:hAnsi="宋体" w:cs="宋体"/>
                <w:b/>
                <w:color w:val="auto"/>
                <w:kern w:val="0"/>
                <w:sz w:val="32"/>
                <w:szCs w:val="32"/>
                <w:highlight w:val="none"/>
              </w:rPr>
            </w:pPr>
          </w:p>
        </w:tc>
        <w:tc>
          <w:tcPr>
            <w:tcW w:w="3287" w:type="dxa"/>
          </w:tcPr>
          <w:p w14:paraId="79E3D0ED">
            <w:pPr>
              <w:jc w:val="center"/>
              <w:rPr>
                <w:rFonts w:ascii="宋体" w:hAnsi="宋体" w:cs="宋体"/>
                <w:b/>
                <w:color w:val="auto"/>
                <w:kern w:val="0"/>
                <w:sz w:val="32"/>
                <w:szCs w:val="32"/>
                <w:highlight w:val="none"/>
              </w:rPr>
            </w:pPr>
          </w:p>
        </w:tc>
        <w:tc>
          <w:tcPr>
            <w:tcW w:w="1425" w:type="dxa"/>
          </w:tcPr>
          <w:p w14:paraId="7495849C">
            <w:pPr>
              <w:jc w:val="center"/>
              <w:rPr>
                <w:rFonts w:ascii="宋体" w:hAnsi="宋体" w:cs="宋体"/>
                <w:b/>
                <w:color w:val="auto"/>
                <w:kern w:val="0"/>
                <w:sz w:val="32"/>
                <w:szCs w:val="32"/>
                <w:highlight w:val="none"/>
              </w:rPr>
            </w:pPr>
          </w:p>
        </w:tc>
      </w:tr>
      <w:tr w14:paraId="1B80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1E5C1C9D">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328" w:type="dxa"/>
          </w:tcPr>
          <w:p w14:paraId="5C1392CB">
            <w:pPr>
              <w:jc w:val="center"/>
              <w:rPr>
                <w:rFonts w:ascii="宋体" w:hAnsi="宋体" w:cs="宋体"/>
                <w:b/>
                <w:color w:val="auto"/>
                <w:kern w:val="0"/>
                <w:sz w:val="32"/>
                <w:szCs w:val="32"/>
                <w:highlight w:val="none"/>
              </w:rPr>
            </w:pPr>
          </w:p>
        </w:tc>
        <w:tc>
          <w:tcPr>
            <w:tcW w:w="3287" w:type="dxa"/>
          </w:tcPr>
          <w:p w14:paraId="13737533">
            <w:pPr>
              <w:jc w:val="center"/>
              <w:rPr>
                <w:rFonts w:ascii="宋体" w:hAnsi="宋体" w:cs="宋体"/>
                <w:b/>
                <w:color w:val="auto"/>
                <w:kern w:val="0"/>
                <w:sz w:val="32"/>
                <w:szCs w:val="32"/>
                <w:highlight w:val="none"/>
              </w:rPr>
            </w:pPr>
          </w:p>
        </w:tc>
        <w:tc>
          <w:tcPr>
            <w:tcW w:w="1425" w:type="dxa"/>
          </w:tcPr>
          <w:p w14:paraId="57C7A914">
            <w:pPr>
              <w:jc w:val="center"/>
              <w:rPr>
                <w:rFonts w:ascii="宋体" w:hAnsi="宋体" w:cs="宋体"/>
                <w:b/>
                <w:color w:val="auto"/>
                <w:kern w:val="0"/>
                <w:sz w:val="32"/>
                <w:szCs w:val="32"/>
                <w:highlight w:val="none"/>
              </w:rPr>
            </w:pPr>
          </w:p>
        </w:tc>
      </w:tr>
    </w:tbl>
    <w:p w14:paraId="35BA2645">
      <w:pPr>
        <w:jc w:val="center"/>
        <w:rPr>
          <w:rFonts w:ascii="宋体" w:hAnsi="宋体" w:cs="宋体"/>
          <w:b/>
          <w:color w:val="auto"/>
          <w:kern w:val="0"/>
          <w:sz w:val="32"/>
          <w:szCs w:val="32"/>
          <w:highlight w:val="none"/>
        </w:rPr>
      </w:pPr>
    </w:p>
    <w:p w14:paraId="400B4742">
      <w:pPr>
        <w:adjustRightInd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『编制说明』：</w:t>
      </w:r>
    </w:p>
    <w:p w14:paraId="54669A93">
      <w:pPr>
        <w:numPr>
          <w:ilvl w:val="0"/>
          <w:numId w:val="8"/>
        </w:numPr>
        <w:adjustRightInd w:val="0"/>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投标人需按“第三部分  采购需求”中各项要求（包含技术需求及商务、其他要求）一一对应,在本表中如实填写具体响应(有技术参数的提供响应的技术参数)，未按要求填写的，有可能作负偏离处理。</w:t>
      </w:r>
    </w:p>
    <w:p w14:paraId="18AE3339">
      <w:pPr>
        <w:numPr>
          <w:ilvl w:val="0"/>
          <w:numId w:val="8"/>
        </w:numPr>
        <w:adjustRightInd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偏离说明是指对</w:t>
      </w:r>
      <w:r>
        <w:rPr>
          <w:rFonts w:hint="eastAsia" w:ascii="宋体" w:hAnsi="宋体" w:eastAsia="宋体" w:cs="宋体"/>
          <w:b/>
          <w:bCs/>
          <w:color w:val="auto"/>
          <w:sz w:val="21"/>
          <w:szCs w:val="21"/>
          <w:highlight w:val="none"/>
          <w:lang w:val="en-US" w:eastAsia="zh-CN"/>
        </w:rPr>
        <w:t>招标</w:t>
      </w:r>
      <w:r>
        <w:rPr>
          <w:rFonts w:hint="eastAsia" w:ascii="宋体" w:hAnsi="宋体" w:eastAsia="宋体" w:cs="宋体"/>
          <w:b/>
          <w:bCs/>
          <w:color w:val="auto"/>
          <w:sz w:val="21"/>
          <w:szCs w:val="21"/>
          <w:highlight w:val="none"/>
        </w:rPr>
        <w:t>文件要求存在不同之处的解释说明。偏离系指：正偏离（高于采购需求）、负偏离（低于采购需求）、无偏离（满足采购需求）</w:t>
      </w:r>
    </w:p>
    <w:p w14:paraId="561F00CF">
      <w:pPr>
        <w:widowControl/>
        <w:spacing w:line="360" w:lineRule="auto"/>
        <w:jc w:val="left"/>
        <w:outlineLvl w:val="9"/>
        <w:rPr>
          <w:rFonts w:hint="eastAsia" w:ascii="宋体" w:hAnsi="宋体" w:eastAsia="宋体" w:cs="宋体"/>
          <w:b/>
          <w:bCs/>
          <w:color w:val="auto"/>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技术指标若有要求供应商提供相应佐证材料的，供应商未提供相应佐证材料或者供应商的响应承诺与其佐证材料不一致的，评审小组会将以不利于供应商的内容为准进行评审（负偏离）。</w:t>
      </w:r>
    </w:p>
    <w:p w14:paraId="1C153C77">
      <w:pPr>
        <w:pStyle w:val="63"/>
        <w:rPr>
          <w:color w:val="auto"/>
          <w:highlight w:val="none"/>
        </w:rPr>
      </w:pPr>
    </w:p>
    <w:p w14:paraId="1F708E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4D65BEE">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489E6FA">
      <w:pPr>
        <w:snapToGrid w:val="0"/>
        <w:spacing w:line="360" w:lineRule="auto"/>
        <w:ind w:firstLine="964" w:firstLineChars="400"/>
        <w:jc w:val="center"/>
        <w:rPr>
          <w:rFonts w:hint="eastAsia" w:ascii="宋体" w:hAnsi="宋体" w:eastAsia="宋体" w:cs="宋体"/>
          <w:b/>
          <w:bCs/>
          <w:color w:val="auto"/>
          <w:sz w:val="24"/>
          <w:highlight w:val="none"/>
        </w:rPr>
      </w:pPr>
    </w:p>
    <w:p w14:paraId="7D180BF8">
      <w:pPr>
        <w:rPr>
          <w:rFonts w:hint="eastAsia" w:ascii="宋体" w:hAnsi="宋体" w:cs="宋体"/>
          <w:b/>
          <w:color w:val="auto"/>
          <w:kern w:val="0"/>
          <w:sz w:val="32"/>
          <w:szCs w:val="32"/>
          <w:highlight w:val="none"/>
          <w:lang w:val="en-US" w:eastAsia="zh-CN"/>
        </w:rPr>
      </w:pPr>
    </w:p>
    <w:p w14:paraId="13897E1E">
      <w:pPr>
        <w:jc w:val="center"/>
        <w:rPr>
          <w:rFonts w:ascii="宋体" w:hAnsi="宋体" w:cs="宋体"/>
          <w:color w:val="auto"/>
          <w:highlight w:val="none"/>
        </w:rPr>
      </w:pPr>
      <w:r>
        <w:rPr>
          <w:rFonts w:hint="eastAsia" w:ascii="宋体" w:hAnsi="宋体" w:cs="宋体"/>
          <w:b/>
          <w:color w:val="auto"/>
          <w:kern w:val="0"/>
          <w:sz w:val="32"/>
          <w:szCs w:val="32"/>
          <w:highlight w:val="none"/>
          <w:lang w:val="en-US" w:eastAsia="zh-CN"/>
        </w:rPr>
        <w:t>八</w:t>
      </w:r>
      <w:r>
        <w:rPr>
          <w:rFonts w:hint="eastAsia" w:ascii="宋体" w:hAnsi="宋体" w:cs="宋体"/>
          <w:b/>
          <w:color w:val="auto"/>
          <w:kern w:val="0"/>
          <w:sz w:val="32"/>
          <w:szCs w:val="32"/>
          <w:highlight w:val="none"/>
        </w:rPr>
        <w:t>、评标标准相应的商务技术资料</w:t>
      </w:r>
    </w:p>
    <w:p w14:paraId="439E5954">
      <w:pPr>
        <w:snapToGrid w:val="0"/>
        <w:spacing w:line="360" w:lineRule="auto"/>
        <w:ind w:firstLine="960" w:firstLineChars="400"/>
        <w:rPr>
          <w:rFonts w:hint="eastAsia" w:ascii="宋体" w:hAnsi="宋体" w:eastAsia="宋体" w:cs="宋体"/>
          <w:color w:val="auto"/>
          <w:sz w:val="24"/>
          <w:highlight w:val="none"/>
          <w:lang w:val="en-US" w:eastAsia="zh-CN"/>
        </w:rPr>
      </w:pPr>
    </w:p>
    <w:p w14:paraId="2EA657B1">
      <w:pPr>
        <w:numPr>
          <w:ilvl w:val="0"/>
          <w:numId w:val="9"/>
        </w:numPr>
        <w:snapToGrid w:val="0"/>
        <w:spacing w:line="360" w:lineRule="auto"/>
        <w:ind w:leftChars="456"/>
        <w:rPr>
          <w:rFonts w:hint="eastAsia" w:ascii="宋体" w:hAnsi="宋体" w:cs="宋体"/>
          <w:snapToGrid/>
          <w:color w:val="auto"/>
          <w:kern w:val="2"/>
          <w:sz w:val="24"/>
          <w:szCs w:val="24"/>
          <w:highlight w:val="none"/>
          <w:lang w:val="en-US" w:eastAsia="zh-CN" w:bidi="ar-SA"/>
        </w:rPr>
      </w:pPr>
      <w:r>
        <w:rPr>
          <w:rFonts w:hint="eastAsia" w:ascii="宋体" w:hAnsi="宋体" w:cs="宋体"/>
          <w:snapToGrid/>
          <w:color w:val="auto"/>
          <w:kern w:val="2"/>
          <w:sz w:val="24"/>
          <w:szCs w:val="24"/>
          <w:highlight w:val="none"/>
          <w:lang w:val="en-US" w:eastAsia="zh-CN" w:bidi="ar-SA"/>
        </w:rPr>
        <w:t>技术方案</w:t>
      </w:r>
    </w:p>
    <w:p w14:paraId="3D22B546">
      <w:pPr>
        <w:numPr>
          <w:ilvl w:val="0"/>
          <w:numId w:val="9"/>
        </w:numPr>
        <w:snapToGrid w:val="0"/>
        <w:spacing w:line="360" w:lineRule="auto"/>
        <w:ind w:leftChars="456"/>
        <w:rPr>
          <w:rFonts w:hint="eastAsia" w:ascii="宋体" w:hAnsi="宋体" w:cs="宋体"/>
          <w:snapToGrid/>
          <w:color w:val="auto"/>
          <w:kern w:val="2"/>
          <w:sz w:val="24"/>
          <w:szCs w:val="24"/>
          <w:highlight w:val="none"/>
          <w:lang w:val="en-US" w:eastAsia="zh-CN" w:bidi="ar-SA"/>
        </w:rPr>
      </w:pPr>
      <w:r>
        <w:rPr>
          <w:rFonts w:hint="eastAsia" w:ascii="宋体" w:hAnsi="宋体" w:cs="宋体"/>
          <w:snapToGrid/>
          <w:color w:val="auto"/>
          <w:kern w:val="2"/>
          <w:sz w:val="24"/>
          <w:szCs w:val="24"/>
          <w:highlight w:val="none"/>
          <w:lang w:val="en-US" w:eastAsia="zh-CN" w:bidi="ar-SA"/>
        </w:rPr>
        <w:t>供货方案</w:t>
      </w:r>
    </w:p>
    <w:p w14:paraId="7213A816">
      <w:pPr>
        <w:numPr>
          <w:ilvl w:val="0"/>
          <w:numId w:val="9"/>
        </w:numPr>
        <w:snapToGrid w:val="0"/>
        <w:spacing w:line="360" w:lineRule="auto"/>
        <w:ind w:leftChars="456"/>
        <w:rPr>
          <w:rFonts w:hint="eastAsia" w:ascii="宋体" w:hAnsi="宋体" w:cs="宋体"/>
          <w:snapToGrid/>
          <w:color w:val="auto"/>
          <w:kern w:val="2"/>
          <w:sz w:val="24"/>
          <w:szCs w:val="24"/>
          <w:highlight w:val="none"/>
          <w:lang w:val="en-US" w:eastAsia="zh-CN" w:bidi="ar-SA"/>
        </w:rPr>
      </w:pPr>
      <w:r>
        <w:rPr>
          <w:rFonts w:hint="eastAsia" w:ascii="宋体" w:hAnsi="宋体" w:cs="宋体"/>
          <w:snapToGrid/>
          <w:color w:val="auto"/>
          <w:kern w:val="2"/>
          <w:sz w:val="24"/>
          <w:szCs w:val="24"/>
          <w:highlight w:val="none"/>
          <w:lang w:val="en-US" w:eastAsia="zh-CN" w:bidi="ar-SA"/>
        </w:rPr>
        <w:t>安装与调试方案</w:t>
      </w:r>
    </w:p>
    <w:p w14:paraId="064711EF">
      <w:pPr>
        <w:numPr>
          <w:ilvl w:val="0"/>
          <w:numId w:val="9"/>
        </w:numPr>
        <w:snapToGrid w:val="0"/>
        <w:spacing w:line="360" w:lineRule="auto"/>
        <w:ind w:leftChars="456"/>
        <w:rPr>
          <w:rFonts w:hint="eastAsia" w:ascii="宋体" w:hAnsi="宋体" w:cs="宋体"/>
          <w:snapToGrid/>
          <w:color w:val="auto"/>
          <w:kern w:val="2"/>
          <w:sz w:val="24"/>
          <w:szCs w:val="24"/>
          <w:highlight w:val="none"/>
          <w:lang w:val="en-US" w:eastAsia="zh-CN" w:bidi="ar-SA"/>
        </w:rPr>
      </w:pPr>
      <w:r>
        <w:rPr>
          <w:rFonts w:hint="eastAsia" w:ascii="宋体" w:hAnsi="宋体" w:cs="宋体"/>
          <w:snapToGrid/>
          <w:color w:val="auto"/>
          <w:kern w:val="2"/>
          <w:sz w:val="24"/>
          <w:szCs w:val="24"/>
          <w:highlight w:val="none"/>
          <w:lang w:val="en-US" w:eastAsia="zh-CN" w:bidi="ar-SA"/>
        </w:rPr>
        <w:t>售后服务方案</w:t>
      </w:r>
    </w:p>
    <w:p w14:paraId="2825FC97">
      <w:pPr>
        <w:numPr>
          <w:ilvl w:val="0"/>
          <w:numId w:val="9"/>
        </w:numPr>
        <w:snapToGrid w:val="0"/>
        <w:spacing w:line="360" w:lineRule="auto"/>
        <w:ind w:leftChars="456"/>
        <w:rPr>
          <w:rFonts w:hint="eastAsia" w:ascii="宋体" w:hAnsi="宋体" w:cs="宋体"/>
          <w:snapToGrid/>
          <w:color w:val="auto"/>
          <w:kern w:val="2"/>
          <w:sz w:val="24"/>
          <w:szCs w:val="24"/>
          <w:highlight w:val="none"/>
          <w:lang w:val="en-US" w:eastAsia="zh-CN" w:bidi="ar-SA"/>
        </w:rPr>
      </w:pPr>
      <w:r>
        <w:rPr>
          <w:rFonts w:hint="eastAsia" w:ascii="宋体" w:hAnsi="宋体" w:cs="宋体"/>
          <w:snapToGrid/>
          <w:color w:val="auto"/>
          <w:kern w:val="2"/>
          <w:sz w:val="24"/>
          <w:szCs w:val="24"/>
          <w:highlight w:val="none"/>
          <w:lang w:val="en-US" w:eastAsia="zh-CN" w:bidi="ar-SA"/>
        </w:rPr>
        <w:t>应急方案</w:t>
      </w:r>
    </w:p>
    <w:p w14:paraId="2BA97BA6">
      <w:pPr>
        <w:numPr>
          <w:ilvl w:val="0"/>
          <w:numId w:val="9"/>
        </w:numPr>
        <w:snapToGrid w:val="0"/>
        <w:spacing w:line="360" w:lineRule="auto"/>
        <w:ind w:leftChars="456"/>
        <w:rPr>
          <w:rFonts w:hint="eastAsia" w:ascii="宋体" w:hAnsi="宋体" w:cs="宋体"/>
          <w:snapToGrid/>
          <w:color w:val="auto"/>
          <w:kern w:val="2"/>
          <w:sz w:val="24"/>
          <w:szCs w:val="24"/>
          <w:highlight w:val="none"/>
          <w:lang w:val="en-US" w:eastAsia="zh-CN" w:bidi="ar-SA"/>
        </w:rPr>
      </w:pPr>
      <w:r>
        <w:rPr>
          <w:rFonts w:hint="eastAsia" w:ascii="宋体" w:hAnsi="宋体" w:cs="宋体"/>
          <w:snapToGrid/>
          <w:color w:val="auto"/>
          <w:kern w:val="2"/>
          <w:sz w:val="24"/>
          <w:szCs w:val="24"/>
          <w:highlight w:val="none"/>
          <w:lang w:val="en-US" w:eastAsia="zh-CN" w:bidi="ar-SA"/>
        </w:rPr>
        <w:t>培训方案</w:t>
      </w:r>
    </w:p>
    <w:p w14:paraId="56C9C0E1">
      <w:pPr>
        <w:numPr>
          <w:ilvl w:val="0"/>
          <w:numId w:val="9"/>
        </w:numPr>
        <w:snapToGrid w:val="0"/>
        <w:spacing w:line="360" w:lineRule="auto"/>
        <w:ind w:leftChars="456"/>
        <w:rPr>
          <w:rFonts w:hint="eastAsia" w:ascii="宋体" w:hAnsi="宋体" w:cs="宋体"/>
          <w:snapToGrid/>
          <w:color w:val="auto"/>
          <w:kern w:val="2"/>
          <w:sz w:val="24"/>
          <w:szCs w:val="24"/>
          <w:highlight w:val="none"/>
          <w:lang w:val="en-US" w:eastAsia="zh-CN" w:bidi="ar-SA"/>
        </w:rPr>
      </w:pPr>
      <w:r>
        <w:rPr>
          <w:rFonts w:hint="eastAsia" w:ascii="宋体" w:hAnsi="宋体" w:cs="宋体"/>
          <w:snapToGrid/>
          <w:color w:val="auto"/>
          <w:kern w:val="2"/>
          <w:sz w:val="24"/>
          <w:szCs w:val="24"/>
          <w:highlight w:val="none"/>
          <w:lang w:val="en-US" w:eastAsia="zh-CN" w:bidi="ar-SA"/>
        </w:rPr>
        <w:t>人员配备</w:t>
      </w:r>
    </w:p>
    <w:p w14:paraId="047504D2">
      <w:pPr>
        <w:numPr>
          <w:ilvl w:val="0"/>
          <w:numId w:val="9"/>
        </w:numPr>
        <w:snapToGrid w:val="0"/>
        <w:spacing w:line="360" w:lineRule="auto"/>
        <w:ind w:leftChars="456"/>
        <w:rPr>
          <w:rFonts w:hint="default" w:ascii="宋体" w:hAnsi="宋体" w:eastAsia="宋体" w:cs="宋体"/>
          <w:snapToGrid/>
          <w:color w:val="auto"/>
          <w:kern w:val="2"/>
          <w:sz w:val="24"/>
          <w:szCs w:val="24"/>
          <w:highlight w:val="none"/>
          <w:lang w:val="en-US" w:eastAsia="zh-CN" w:bidi="ar-SA"/>
        </w:rPr>
      </w:pPr>
      <w:r>
        <w:rPr>
          <w:rFonts w:hint="eastAsia" w:ascii="宋体" w:hAnsi="宋体" w:cs="宋体"/>
          <w:snapToGrid/>
          <w:color w:val="auto"/>
          <w:kern w:val="2"/>
          <w:sz w:val="24"/>
          <w:szCs w:val="24"/>
          <w:highlight w:val="none"/>
          <w:lang w:val="en-US" w:eastAsia="zh-CN" w:bidi="ar-SA"/>
        </w:rPr>
        <w:t>评分标准中要求提供的其他资料</w:t>
      </w:r>
    </w:p>
    <w:p w14:paraId="0DA4FFB0">
      <w:pPr>
        <w:snapToGrid w:val="0"/>
        <w:spacing w:line="360" w:lineRule="auto"/>
        <w:ind w:firstLine="960" w:firstLineChars="400"/>
        <w:rPr>
          <w:rFonts w:hint="eastAsia" w:ascii="宋体" w:hAnsi="宋体" w:eastAsia="宋体" w:cs="宋体"/>
          <w:snapToGrid/>
          <w:color w:val="auto"/>
          <w:kern w:val="2"/>
          <w:sz w:val="24"/>
          <w:szCs w:val="24"/>
          <w:highlight w:val="none"/>
          <w:lang w:val="en-US" w:eastAsia="zh-CN" w:bidi="ar-SA"/>
        </w:rPr>
      </w:pPr>
    </w:p>
    <w:p w14:paraId="6EB93B1D">
      <w:pPr>
        <w:snapToGrid w:val="0"/>
        <w:spacing w:line="360" w:lineRule="auto"/>
        <w:ind w:firstLine="960" w:firstLineChars="400"/>
        <w:rPr>
          <w:rFonts w:hint="eastAsia" w:ascii="宋体" w:hAnsi="宋体" w:eastAsia="宋体" w:cs="宋体"/>
          <w:snapToGrid/>
          <w:color w:val="auto"/>
          <w:kern w:val="2"/>
          <w:sz w:val="24"/>
          <w:szCs w:val="24"/>
          <w:highlight w:val="none"/>
          <w:lang w:val="en-US" w:eastAsia="zh-CN" w:bidi="ar-SA"/>
        </w:rPr>
      </w:pPr>
    </w:p>
    <w:p w14:paraId="12C0FD85">
      <w:pPr>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九、投标人认为需要提供的其他资料</w:t>
      </w:r>
    </w:p>
    <w:p w14:paraId="2529480D">
      <w:pPr>
        <w:pStyle w:val="3"/>
        <w:numPr>
          <w:ilvl w:val="0"/>
          <w:numId w:val="0"/>
        </w:numPr>
        <w:ind w:leftChars="200"/>
        <w:rPr>
          <w:rFonts w:hint="default"/>
          <w:color w:val="auto"/>
          <w:highlight w:val="none"/>
          <w:lang w:val="en-US" w:eastAsia="zh-CN"/>
        </w:rPr>
      </w:pPr>
    </w:p>
    <w:p w14:paraId="0549DAD4">
      <w:pPr>
        <w:rPr>
          <w:rFonts w:hint="eastAsia"/>
          <w:color w:val="auto"/>
          <w:highlight w:val="none"/>
        </w:rPr>
      </w:pPr>
    </w:p>
    <w:p w14:paraId="7A840A3E">
      <w:pPr>
        <w:pStyle w:val="82"/>
        <w:rPr>
          <w:rFonts w:hint="eastAsia"/>
          <w:color w:val="auto"/>
          <w:highlight w:val="none"/>
        </w:rPr>
      </w:pPr>
    </w:p>
    <w:p w14:paraId="65C9F2CC">
      <w:pPr>
        <w:pStyle w:val="23"/>
        <w:rPr>
          <w:rFonts w:hint="eastAsia"/>
          <w:color w:val="auto"/>
          <w:highlight w:val="none"/>
        </w:rPr>
      </w:pPr>
    </w:p>
    <w:p w14:paraId="24D0E247">
      <w:pPr>
        <w:pStyle w:val="82"/>
        <w:rPr>
          <w:rFonts w:hint="eastAsia"/>
          <w:color w:val="auto"/>
          <w:highlight w:val="none"/>
        </w:rPr>
        <w:sectPr>
          <w:pgSz w:w="11905" w:h="16838"/>
          <w:pgMar w:top="1134" w:right="1417" w:bottom="1134" w:left="1417" w:header="851" w:footer="992" w:gutter="0"/>
          <w:pgBorders>
            <w:top w:val="none" w:sz="0" w:space="0"/>
            <w:left w:val="none" w:sz="0" w:space="0"/>
            <w:bottom w:val="none" w:sz="0" w:space="0"/>
            <w:right w:val="none" w:sz="0" w:space="0"/>
          </w:pgBorders>
          <w:cols w:space="0" w:num="1"/>
          <w:titlePg/>
          <w:rtlGutter w:val="0"/>
          <w:docGrid w:linePitch="312" w:charSpace="0"/>
        </w:sectPr>
      </w:pPr>
    </w:p>
    <w:p w14:paraId="1F60D35D">
      <w:pPr>
        <w:snapToGrid w:val="0"/>
        <w:spacing w:line="360" w:lineRule="auto"/>
        <w:ind w:firstLine="960" w:firstLineChars="400"/>
        <w:rPr>
          <w:rFonts w:hint="eastAsia" w:ascii="宋体" w:hAnsi="宋体" w:eastAsia="宋体" w:cs="宋体"/>
          <w:snapToGrid/>
          <w:color w:val="auto"/>
          <w:kern w:val="2"/>
          <w:sz w:val="24"/>
          <w:szCs w:val="24"/>
          <w:highlight w:val="none"/>
          <w:lang w:val="en-US" w:eastAsia="zh-CN" w:bidi="ar-SA"/>
        </w:rPr>
      </w:pPr>
    </w:p>
    <w:p w14:paraId="2654C166">
      <w:pPr>
        <w:bidi w:val="0"/>
        <w:jc w:val="center"/>
        <w:rPr>
          <w:b/>
          <w:bCs/>
          <w:color w:val="auto"/>
          <w:sz w:val="36"/>
          <w:szCs w:val="36"/>
          <w:highlight w:val="none"/>
        </w:rPr>
      </w:pPr>
      <w:bookmarkStart w:id="526" w:name="_Toc16712"/>
      <w:r>
        <w:rPr>
          <w:rFonts w:hint="eastAsia"/>
          <w:b/>
          <w:bCs/>
          <w:color w:val="auto"/>
          <w:sz w:val="36"/>
          <w:szCs w:val="36"/>
          <w:highlight w:val="none"/>
        </w:rPr>
        <w:t>报价文件部分</w:t>
      </w:r>
      <w:bookmarkEnd w:id="526"/>
    </w:p>
    <w:p w14:paraId="0EC21581">
      <w:pPr>
        <w:spacing w:line="360" w:lineRule="auto"/>
        <w:jc w:val="center"/>
        <w:outlineLvl w:val="0"/>
        <w:rPr>
          <w:rFonts w:hint="eastAsia" w:ascii="宋体" w:hAnsi="宋体" w:cs="宋体"/>
          <w:b/>
          <w:color w:val="auto"/>
          <w:kern w:val="0"/>
          <w:sz w:val="36"/>
          <w:szCs w:val="36"/>
          <w:highlight w:val="none"/>
        </w:rPr>
      </w:pPr>
      <w:bookmarkStart w:id="527" w:name="_Toc31513"/>
    </w:p>
    <w:bookmarkEnd w:id="527"/>
    <w:p w14:paraId="0BF31F63">
      <w:pPr>
        <w:bidi w:val="0"/>
        <w:jc w:val="center"/>
        <w:rPr>
          <w:rFonts w:hint="eastAsia" w:eastAsia="宋体"/>
          <w:b/>
          <w:bCs/>
          <w:color w:val="auto"/>
          <w:sz w:val="30"/>
          <w:szCs w:val="30"/>
          <w:highlight w:val="none"/>
          <w:lang w:eastAsia="zh-CN"/>
        </w:rPr>
      </w:pPr>
      <w:bookmarkStart w:id="528" w:name="_Toc21159"/>
      <w:r>
        <w:rPr>
          <w:rFonts w:hint="eastAsia"/>
          <w:b/>
          <w:bCs/>
          <w:color w:val="auto"/>
          <w:sz w:val="30"/>
          <w:szCs w:val="30"/>
          <w:highlight w:val="none"/>
          <w:lang w:val="en-US" w:eastAsia="zh-CN"/>
        </w:rPr>
        <w:t>一、</w:t>
      </w:r>
      <w:r>
        <w:rPr>
          <w:rFonts w:hint="eastAsia"/>
          <w:b/>
          <w:bCs/>
          <w:color w:val="auto"/>
          <w:sz w:val="30"/>
          <w:szCs w:val="30"/>
          <w:highlight w:val="none"/>
        </w:rPr>
        <w:t>开标一览表</w:t>
      </w:r>
      <w:bookmarkEnd w:id="528"/>
    </w:p>
    <w:p w14:paraId="6C29BEAD">
      <w:pPr>
        <w:snapToGrid w:val="0"/>
        <w:spacing w:before="50" w:after="50" w:line="360" w:lineRule="auto"/>
        <w:ind w:firstLine="630" w:firstLineChars="300"/>
        <w:rPr>
          <w:rFonts w:hint="eastAsia" w:ascii="宋体" w:hAnsi="宋体" w:cs="宋体"/>
          <w:color w:val="auto"/>
          <w:szCs w:val="21"/>
          <w:highlight w:val="none"/>
        </w:rPr>
      </w:pPr>
    </w:p>
    <w:tbl>
      <w:tblPr>
        <w:tblStyle w:val="64"/>
        <w:tblW w:w="85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6"/>
        <w:gridCol w:w="3850"/>
        <w:gridCol w:w="3183"/>
      </w:tblGrid>
      <w:tr w14:paraId="1C851C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7" w:hRule="atLeast"/>
          <w:jc w:val="center"/>
        </w:trPr>
        <w:tc>
          <w:tcPr>
            <w:tcW w:w="1566" w:type="dxa"/>
            <w:noWrap w:val="0"/>
            <w:vAlign w:val="center"/>
          </w:tcPr>
          <w:p w14:paraId="2D62C59C">
            <w:pPr>
              <w:spacing w:line="400" w:lineRule="exact"/>
              <w:jc w:val="center"/>
              <w:rPr>
                <w:rFonts w:hint="default" w:ascii="宋体" w:hAnsi="宋体" w:eastAsia="宋体" w:cs="宋体"/>
                <w:b/>
                <w:color w:val="auto"/>
                <w:sz w:val="24"/>
                <w:szCs w:val="24"/>
                <w:highlight w:val="none"/>
                <w:shd w:val="clear" w:color="auto" w:fill="auto"/>
                <w:lang w:val="en-US" w:eastAsia="zh-CN"/>
              </w:rPr>
            </w:pPr>
            <w:r>
              <w:rPr>
                <w:rFonts w:hint="eastAsia" w:ascii="宋体" w:hAnsi="宋体" w:cs="宋体"/>
                <w:b/>
                <w:color w:val="auto"/>
                <w:sz w:val="24"/>
                <w:szCs w:val="24"/>
                <w:highlight w:val="none"/>
                <w:shd w:val="clear" w:color="auto" w:fill="auto"/>
                <w:lang w:val="en-US" w:eastAsia="zh-CN"/>
              </w:rPr>
              <w:t>序号</w:t>
            </w:r>
          </w:p>
        </w:tc>
        <w:tc>
          <w:tcPr>
            <w:tcW w:w="3850" w:type="dxa"/>
            <w:noWrap w:val="0"/>
            <w:vAlign w:val="center"/>
          </w:tcPr>
          <w:p w14:paraId="60C553FF">
            <w:pPr>
              <w:spacing w:line="400" w:lineRule="exact"/>
              <w:jc w:val="center"/>
              <w:rPr>
                <w:rFonts w:hint="eastAsia" w:ascii="宋体" w:hAnsi="宋体" w:eastAsia="宋体" w:cs="宋体"/>
                <w:b/>
                <w:color w:val="auto"/>
                <w:sz w:val="24"/>
                <w:szCs w:val="24"/>
                <w:highlight w:val="none"/>
                <w:shd w:val="clear" w:color="auto" w:fill="auto"/>
                <w:lang w:eastAsia="zh-CN"/>
              </w:rPr>
            </w:pPr>
            <w:r>
              <w:rPr>
                <w:rFonts w:hint="eastAsia" w:ascii="宋体" w:hAnsi="宋体" w:cs="宋体"/>
                <w:b/>
                <w:color w:val="auto"/>
                <w:sz w:val="24"/>
                <w:szCs w:val="24"/>
                <w:highlight w:val="none"/>
                <w:shd w:val="clear" w:color="auto" w:fill="auto"/>
                <w:lang w:eastAsia="zh-CN"/>
              </w:rPr>
              <w:t>采购内容</w:t>
            </w:r>
          </w:p>
        </w:tc>
        <w:tc>
          <w:tcPr>
            <w:tcW w:w="3183" w:type="dxa"/>
            <w:noWrap w:val="0"/>
            <w:vAlign w:val="center"/>
          </w:tcPr>
          <w:p w14:paraId="6965AE66">
            <w:pPr>
              <w:spacing w:line="400" w:lineRule="exact"/>
              <w:jc w:val="center"/>
              <w:rPr>
                <w:rFonts w:hint="eastAsia" w:ascii="宋体" w:hAnsi="宋体" w:cs="宋体"/>
                <w:b/>
                <w:color w:val="auto"/>
                <w:sz w:val="24"/>
                <w:szCs w:val="24"/>
                <w:highlight w:val="none"/>
                <w:shd w:val="clear" w:color="auto" w:fill="auto"/>
              </w:rPr>
            </w:pPr>
            <w:r>
              <w:rPr>
                <w:rFonts w:hint="eastAsia" w:ascii="宋体" w:hAnsi="宋体" w:cs="宋体"/>
                <w:b/>
                <w:color w:val="auto"/>
                <w:sz w:val="24"/>
                <w:szCs w:val="24"/>
                <w:highlight w:val="none"/>
                <w:shd w:val="clear" w:color="auto" w:fill="auto"/>
              </w:rPr>
              <w:t>投标</w:t>
            </w:r>
            <w:r>
              <w:rPr>
                <w:rFonts w:hint="eastAsia" w:ascii="宋体" w:hAnsi="宋体" w:cs="宋体"/>
                <w:b/>
                <w:color w:val="auto"/>
                <w:sz w:val="24"/>
                <w:szCs w:val="24"/>
                <w:highlight w:val="none"/>
                <w:shd w:val="clear" w:color="auto" w:fill="auto"/>
                <w:lang w:val="en-US" w:eastAsia="zh-CN"/>
              </w:rPr>
              <w:t>总</w:t>
            </w:r>
            <w:r>
              <w:rPr>
                <w:rFonts w:hint="eastAsia" w:ascii="宋体" w:hAnsi="宋体" w:cs="宋体"/>
                <w:b/>
                <w:color w:val="auto"/>
                <w:sz w:val="24"/>
                <w:szCs w:val="24"/>
                <w:highlight w:val="none"/>
                <w:shd w:val="clear" w:color="auto" w:fill="auto"/>
              </w:rPr>
              <w:t>价（元）</w:t>
            </w:r>
          </w:p>
        </w:tc>
      </w:tr>
      <w:tr w14:paraId="5FB0F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1566" w:type="dxa"/>
            <w:noWrap w:val="0"/>
            <w:vAlign w:val="center"/>
          </w:tcPr>
          <w:p w14:paraId="5116465A">
            <w:pPr>
              <w:spacing w:line="400" w:lineRule="exact"/>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w:t>
            </w:r>
          </w:p>
        </w:tc>
        <w:tc>
          <w:tcPr>
            <w:tcW w:w="3850" w:type="dxa"/>
            <w:noWrap w:val="0"/>
            <w:vAlign w:val="center"/>
          </w:tcPr>
          <w:p w14:paraId="6396529E">
            <w:pPr>
              <w:spacing w:line="400" w:lineRule="exact"/>
              <w:jc w:val="center"/>
              <w:rPr>
                <w:rFonts w:hint="eastAsia" w:ascii="宋体" w:hAnsi="宋体" w:eastAsia="宋体" w:cs="宋体"/>
                <w:color w:val="auto"/>
                <w:sz w:val="24"/>
                <w:szCs w:val="24"/>
                <w:highlight w:val="none"/>
                <w:shd w:val="clear" w:color="auto" w:fill="auto"/>
                <w:lang w:val="en-US" w:eastAsia="zh-CN"/>
              </w:rPr>
            </w:pPr>
          </w:p>
        </w:tc>
        <w:tc>
          <w:tcPr>
            <w:tcW w:w="3183" w:type="dxa"/>
            <w:noWrap w:val="0"/>
            <w:vAlign w:val="center"/>
          </w:tcPr>
          <w:p w14:paraId="239CA14F">
            <w:pPr>
              <w:spacing w:line="400" w:lineRule="exact"/>
              <w:jc w:val="center"/>
              <w:rPr>
                <w:rFonts w:hint="eastAsia" w:ascii="宋体" w:hAnsi="宋体" w:cs="宋体"/>
                <w:color w:val="auto"/>
                <w:sz w:val="24"/>
                <w:szCs w:val="24"/>
                <w:highlight w:val="none"/>
                <w:shd w:val="clear" w:color="auto" w:fill="auto"/>
              </w:rPr>
            </w:pPr>
          </w:p>
        </w:tc>
      </w:tr>
    </w:tbl>
    <w:p w14:paraId="3D893084">
      <w:pPr>
        <w:snapToGrid w:val="0"/>
        <w:spacing w:before="50" w:after="50"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2200C4C7">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 报价一经涂改，应在涂改处加盖单位公章或者由法定代表人或授权委托人签字或盖章，否则其投标作无效标处理。</w:t>
      </w:r>
    </w:p>
    <w:p w14:paraId="3BB3FFC6">
      <w:pPr>
        <w:snapToGrid w:val="0"/>
        <w:spacing w:line="360" w:lineRule="auto"/>
        <w:ind w:left="-3" w:leftChars="-72" w:right="-817" w:rightChars="-389" w:hanging="148" w:hangingChars="62"/>
        <w:rPr>
          <w:rFonts w:hint="eastAsia" w:ascii="宋体" w:hAnsi="宋体" w:eastAsia="宋体" w:cs="宋体"/>
          <w:color w:val="auto"/>
          <w:sz w:val="24"/>
          <w:szCs w:val="24"/>
          <w:highlight w:val="none"/>
        </w:rPr>
      </w:pPr>
    </w:p>
    <w:p w14:paraId="1999F32F">
      <w:pPr>
        <w:snapToGrid w:val="0"/>
        <w:spacing w:line="360" w:lineRule="auto"/>
        <w:ind w:left="-3" w:leftChars="-72" w:right="-817" w:rightChars="-389" w:hanging="148" w:hangingChars="62"/>
        <w:rPr>
          <w:rFonts w:hint="eastAsia" w:ascii="宋体" w:hAnsi="宋体" w:eastAsia="宋体" w:cs="宋体"/>
          <w:color w:val="auto"/>
          <w:sz w:val="24"/>
          <w:szCs w:val="24"/>
          <w:highlight w:val="none"/>
        </w:rPr>
      </w:pPr>
    </w:p>
    <w:p w14:paraId="38685737">
      <w:pPr>
        <w:autoSpaceDE w:val="0"/>
        <w:autoSpaceDN w:val="0"/>
        <w:spacing w:line="360" w:lineRule="auto"/>
        <w:ind w:left="2"/>
        <w:jc w:val="left"/>
        <w:rPr>
          <w:rFonts w:hint="eastAsia" w:ascii="宋体" w:hAnsi="宋体" w:eastAsia="宋体" w:cs="宋体"/>
          <w:color w:val="auto"/>
          <w:kern w:val="0"/>
          <w:sz w:val="24"/>
          <w:szCs w:val="24"/>
          <w:highlight w:val="none"/>
          <w:lang w:val="zh-CN"/>
        </w:rPr>
      </w:pPr>
    </w:p>
    <w:p w14:paraId="2DE69132">
      <w:pPr>
        <w:autoSpaceDE w:val="0"/>
        <w:autoSpaceDN w:val="0"/>
        <w:spacing w:line="360" w:lineRule="auto"/>
        <w:ind w:left="2" w:leftChars="1" w:right="1120" w:firstLine="4560" w:firstLineChars="19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投标人名称(</w:t>
      </w:r>
      <w:r>
        <w:rPr>
          <w:rFonts w:hint="eastAsia" w:ascii="宋体" w:hAnsi="宋体" w:eastAsia="宋体" w:cs="宋体"/>
          <w:color w:val="auto"/>
          <w:sz w:val="24"/>
          <w:szCs w:val="24"/>
          <w:highlight w:val="none"/>
          <w:lang w:val="en-US" w:eastAsia="zh-CN"/>
        </w:rPr>
        <w:t>电子</w:t>
      </w:r>
      <w:r>
        <w:rPr>
          <w:rFonts w:hint="eastAsia" w:ascii="宋体" w:hAnsi="宋体" w:eastAsia="宋体" w:cs="宋体"/>
          <w:color w:val="auto"/>
          <w:sz w:val="24"/>
          <w:szCs w:val="24"/>
          <w:highlight w:val="none"/>
        </w:rPr>
        <w:t>签</w:t>
      </w:r>
      <w:r>
        <w:rPr>
          <w:rFonts w:hint="eastAsia" w:ascii="宋体" w:hAnsi="宋体" w:eastAsia="宋体" w:cs="宋体"/>
          <w:color w:val="auto"/>
          <w:sz w:val="24"/>
          <w:szCs w:val="24"/>
          <w:highlight w:val="none"/>
          <w:lang w:val="en-US" w:eastAsia="zh-CN"/>
        </w:rPr>
        <w:t>章</w:t>
      </w:r>
      <w:r>
        <w:rPr>
          <w:rFonts w:hint="eastAsia" w:ascii="宋体" w:hAnsi="宋体" w:eastAsia="宋体" w:cs="宋体"/>
          <w:color w:val="auto"/>
          <w:kern w:val="0"/>
          <w:sz w:val="24"/>
          <w:szCs w:val="24"/>
          <w:highlight w:val="none"/>
          <w:lang w:val="zh-CN"/>
        </w:rPr>
        <w:t xml:space="preserve">)：                                                                                                                                                                                                               </w:t>
      </w:r>
    </w:p>
    <w:p w14:paraId="178F8236">
      <w:pPr>
        <w:spacing w:line="360" w:lineRule="auto"/>
        <w:ind w:left="4620" w:leftChars="2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 xml:space="preserve">   年   月   日</w:t>
      </w:r>
    </w:p>
    <w:p w14:paraId="375A2087">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7BC92711">
      <w:pPr>
        <w:bidi w:val="0"/>
        <w:jc w:val="center"/>
        <w:rPr>
          <w:rFonts w:hint="eastAsia" w:ascii="Times New Roman" w:hAnsi="Times New Roman" w:eastAsia="宋体" w:cs="Times New Roman"/>
          <w:b/>
          <w:bCs/>
          <w:color w:val="auto"/>
          <w:sz w:val="30"/>
          <w:szCs w:val="30"/>
          <w:highlight w:val="none"/>
          <w:lang w:val="en-US" w:eastAsia="zh-CN"/>
        </w:rPr>
      </w:pPr>
      <w:r>
        <w:rPr>
          <w:rFonts w:hint="eastAsia" w:ascii="Times New Roman" w:hAnsi="Times New Roman" w:eastAsia="宋体" w:cs="Times New Roman"/>
          <w:b/>
          <w:bCs/>
          <w:color w:val="auto"/>
          <w:sz w:val="30"/>
          <w:szCs w:val="30"/>
          <w:highlight w:val="none"/>
          <w:lang w:val="en-US" w:eastAsia="zh-CN"/>
        </w:rPr>
        <w:t>二、投标报价明细表</w:t>
      </w:r>
    </w:p>
    <w:tbl>
      <w:tblPr>
        <w:tblStyle w:val="6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689"/>
        <w:gridCol w:w="988"/>
        <w:gridCol w:w="1056"/>
        <w:gridCol w:w="982"/>
        <w:gridCol w:w="1175"/>
        <w:gridCol w:w="1324"/>
        <w:gridCol w:w="1298"/>
      </w:tblGrid>
      <w:tr w14:paraId="3A9A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trPr>
        <w:tc>
          <w:tcPr>
            <w:tcW w:w="414" w:type="pct"/>
            <w:noWrap/>
            <w:vAlign w:val="center"/>
          </w:tcPr>
          <w:p w14:paraId="0E5B192A">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910" w:type="pct"/>
            <w:noWrap/>
            <w:vAlign w:val="center"/>
          </w:tcPr>
          <w:p w14:paraId="3D346FBB">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设备名称</w:t>
            </w:r>
          </w:p>
        </w:tc>
        <w:tc>
          <w:tcPr>
            <w:tcW w:w="532" w:type="pct"/>
            <w:noWrap/>
            <w:vAlign w:val="center"/>
          </w:tcPr>
          <w:p w14:paraId="60E4FEC9">
            <w:pPr>
              <w:widowControl/>
              <w:spacing w:line="24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品牌</w:t>
            </w:r>
          </w:p>
        </w:tc>
        <w:tc>
          <w:tcPr>
            <w:tcW w:w="567" w:type="pct"/>
            <w:noWrap/>
            <w:vAlign w:val="center"/>
          </w:tcPr>
          <w:p w14:paraId="7D502997">
            <w:pPr>
              <w:widowControl/>
              <w:spacing w:line="240" w:lineRule="exact"/>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型号</w:t>
            </w:r>
          </w:p>
        </w:tc>
        <w:tc>
          <w:tcPr>
            <w:tcW w:w="529" w:type="pct"/>
            <w:noWrap/>
            <w:vAlign w:val="center"/>
          </w:tcPr>
          <w:p w14:paraId="02784975">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单位</w:t>
            </w:r>
          </w:p>
        </w:tc>
        <w:tc>
          <w:tcPr>
            <w:tcW w:w="633" w:type="pct"/>
            <w:noWrap/>
            <w:vAlign w:val="center"/>
          </w:tcPr>
          <w:p w14:paraId="44A86912">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数量</w:t>
            </w:r>
          </w:p>
        </w:tc>
        <w:tc>
          <w:tcPr>
            <w:tcW w:w="713" w:type="pct"/>
            <w:noWrap/>
            <w:vAlign w:val="center"/>
          </w:tcPr>
          <w:p w14:paraId="435EBBDE">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单价（元）</w:t>
            </w:r>
          </w:p>
        </w:tc>
        <w:tc>
          <w:tcPr>
            <w:tcW w:w="697" w:type="pct"/>
            <w:noWrap/>
            <w:vAlign w:val="center"/>
          </w:tcPr>
          <w:p w14:paraId="7121099D">
            <w:pPr>
              <w:widowControl/>
              <w:spacing w:line="24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小计（元）</w:t>
            </w:r>
          </w:p>
        </w:tc>
      </w:tr>
      <w:tr w14:paraId="4D76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14" w:type="pct"/>
            <w:noWrap/>
            <w:vAlign w:val="center"/>
          </w:tcPr>
          <w:p w14:paraId="1BABD47A">
            <w:pPr>
              <w:widowControl/>
              <w:spacing w:line="240" w:lineRule="exact"/>
              <w:jc w:val="center"/>
              <w:textAlignment w:val="center"/>
              <w:rPr>
                <w:rFonts w:ascii="宋体" w:hAnsi="宋体" w:cs="宋体"/>
                <w:color w:val="auto"/>
                <w:szCs w:val="21"/>
                <w:highlight w:val="none"/>
              </w:rPr>
            </w:pPr>
          </w:p>
        </w:tc>
        <w:tc>
          <w:tcPr>
            <w:tcW w:w="910" w:type="pct"/>
            <w:noWrap/>
            <w:vAlign w:val="center"/>
          </w:tcPr>
          <w:p w14:paraId="5E7C0073">
            <w:pPr>
              <w:widowControl/>
              <w:spacing w:line="240" w:lineRule="exact"/>
              <w:jc w:val="center"/>
              <w:textAlignment w:val="center"/>
              <w:rPr>
                <w:rFonts w:ascii="宋体" w:hAnsi="宋体" w:cs="宋体"/>
                <w:color w:val="auto"/>
                <w:szCs w:val="21"/>
                <w:highlight w:val="none"/>
              </w:rPr>
            </w:pPr>
          </w:p>
        </w:tc>
        <w:tc>
          <w:tcPr>
            <w:tcW w:w="532" w:type="pct"/>
            <w:vAlign w:val="center"/>
          </w:tcPr>
          <w:p w14:paraId="5CA6C8E3">
            <w:pPr>
              <w:widowControl/>
              <w:spacing w:line="240" w:lineRule="exact"/>
              <w:jc w:val="left"/>
              <w:textAlignment w:val="center"/>
              <w:rPr>
                <w:rFonts w:ascii="宋体" w:hAnsi="宋体" w:cs="宋体"/>
                <w:color w:val="auto"/>
                <w:szCs w:val="21"/>
                <w:highlight w:val="none"/>
              </w:rPr>
            </w:pPr>
          </w:p>
        </w:tc>
        <w:tc>
          <w:tcPr>
            <w:tcW w:w="567" w:type="pct"/>
            <w:vAlign w:val="center"/>
          </w:tcPr>
          <w:p w14:paraId="145D2E50">
            <w:pPr>
              <w:widowControl/>
              <w:spacing w:line="240" w:lineRule="exact"/>
              <w:jc w:val="left"/>
              <w:textAlignment w:val="center"/>
              <w:rPr>
                <w:rFonts w:ascii="宋体" w:hAnsi="宋体" w:cs="宋体"/>
                <w:color w:val="auto"/>
                <w:szCs w:val="21"/>
                <w:highlight w:val="none"/>
              </w:rPr>
            </w:pPr>
          </w:p>
        </w:tc>
        <w:tc>
          <w:tcPr>
            <w:tcW w:w="529" w:type="pct"/>
            <w:vAlign w:val="center"/>
          </w:tcPr>
          <w:p w14:paraId="0EE7EBF4">
            <w:pPr>
              <w:widowControl/>
              <w:spacing w:line="240" w:lineRule="exact"/>
              <w:jc w:val="center"/>
              <w:textAlignment w:val="center"/>
              <w:rPr>
                <w:rFonts w:ascii="宋体" w:hAnsi="宋体" w:cs="宋体"/>
                <w:color w:val="auto"/>
                <w:szCs w:val="21"/>
                <w:highlight w:val="none"/>
              </w:rPr>
            </w:pPr>
          </w:p>
        </w:tc>
        <w:tc>
          <w:tcPr>
            <w:tcW w:w="633" w:type="pct"/>
            <w:noWrap/>
            <w:vAlign w:val="center"/>
          </w:tcPr>
          <w:p w14:paraId="76180DBC">
            <w:pPr>
              <w:widowControl/>
              <w:spacing w:line="240" w:lineRule="exact"/>
              <w:jc w:val="center"/>
              <w:textAlignment w:val="center"/>
              <w:rPr>
                <w:rFonts w:ascii="宋体" w:hAnsi="宋体" w:cs="宋体"/>
                <w:color w:val="auto"/>
                <w:szCs w:val="21"/>
                <w:highlight w:val="none"/>
              </w:rPr>
            </w:pPr>
          </w:p>
        </w:tc>
        <w:tc>
          <w:tcPr>
            <w:tcW w:w="713" w:type="pct"/>
            <w:noWrap/>
            <w:vAlign w:val="center"/>
          </w:tcPr>
          <w:p w14:paraId="410B723F">
            <w:pPr>
              <w:widowControl/>
              <w:spacing w:line="240" w:lineRule="exact"/>
              <w:rPr>
                <w:rFonts w:ascii="宋体" w:hAnsi="宋体" w:cs="宋体"/>
                <w:color w:val="auto"/>
                <w:szCs w:val="21"/>
                <w:highlight w:val="none"/>
              </w:rPr>
            </w:pPr>
          </w:p>
        </w:tc>
        <w:tc>
          <w:tcPr>
            <w:tcW w:w="697" w:type="pct"/>
            <w:noWrap/>
            <w:vAlign w:val="center"/>
          </w:tcPr>
          <w:p w14:paraId="4EEB7CA9">
            <w:pPr>
              <w:widowControl/>
              <w:spacing w:line="240" w:lineRule="exact"/>
              <w:rPr>
                <w:rFonts w:ascii="宋体" w:hAnsi="宋体" w:cs="宋体"/>
                <w:color w:val="auto"/>
                <w:szCs w:val="21"/>
                <w:highlight w:val="none"/>
              </w:rPr>
            </w:pPr>
          </w:p>
        </w:tc>
      </w:tr>
      <w:tr w14:paraId="7B78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14" w:type="pct"/>
            <w:noWrap/>
            <w:vAlign w:val="center"/>
          </w:tcPr>
          <w:p w14:paraId="33F0CE62">
            <w:pPr>
              <w:widowControl/>
              <w:spacing w:line="240" w:lineRule="exact"/>
              <w:jc w:val="center"/>
              <w:textAlignment w:val="center"/>
              <w:rPr>
                <w:rFonts w:ascii="宋体" w:hAnsi="宋体" w:cs="宋体"/>
                <w:color w:val="auto"/>
                <w:szCs w:val="21"/>
                <w:highlight w:val="none"/>
              </w:rPr>
            </w:pPr>
          </w:p>
        </w:tc>
        <w:tc>
          <w:tcPr>
            <w:tcW w:w="910" w:type="pct"/>
            <w:vAlign w:val="center"/>
          </w:tcPr>
          <w:p w14:paraId="57ABF979">
            <w:pPr>
              <w:widowControl/>
              <w:spacing w:line="240" w:lineRule="exact"/>
              <w:jc w:val="center"/>
              <w:textAlignment w:val="center"/>
              <w:rPr>
                <w:rFonts w:ascii="宋体" w:hAnsi="宋体" w:cs="宋体"/>
                <w:color w:val="auto"/>
                <w:szCs w:val="21"/>
                <w:highlight w:val="none"/>
              </w:rPr>
            </w:pPr>
          </w:p>
        </w:tc>
        <w:tc>
          <w:tcPr>
            <w:tcW w:w="532" w:type="pct"/>
            <w:vAlign w:val="center"/>
          </w:tcPr>
          <w:p w14:paraId="241CFACD">
            <w:pPr>
              <w:widowControl/>
              <w:spacing w:line="240" w:lineRule="exact"/>
              <w:jc w:val="left"/>
              <w:textAlignment w:val="center"/>
              <w:rPr>
                <w:rFonts w:ascii="宋体" w:hAnsi="宋体" w:cs="宋体"/>
                <w:color w:val="auto"/>
                <w:szCs w:val="21"/>
                <w:highlight w:val="none"/>
              </w:rPr>
            </w:pPr>
          </w:p>
        </w:tc>
        <w:tc>
          <w:tcPr>
            <w:tcW w:w="567" w:type="pct"/>
            <w:vAlign w:val="center"/>
          </w:tcPr>
          <w:p w14:paraId="18748373">
            <w:pPr>
              <w:widowControl/>
              <w:spacing w:line="240" w:lineRule="exact"/>
              <w:jc w:val="left"/>
              <w:textAlignment w:val="center"/>
              <w:rPr>
                <w:rFonts w:ascii="宋体" w:hAnsi="宋体" w:cs="宋体"/>
                <w:color w:val="auto"/>
                <w:szCs w:val="21"/>
                <w:highlight w:val="none"/>
              </w:rPr>
            </w:pPr>
          </w:p>
        </w:tc>
        <w:tc>
          <w:tcPr>
            <w:tcW w:w="529" w:type="pct"/>
            <w:vAlign w:val="center"/>
          </w:tcPr>
          <w:p w14:paraId="73BA991A">
            <w:pPr>
              <w:widowControl/>
              <w:spacing w:line="240" w:lineRule="exact"/>
              <w:jc w:val="center"/>
              <w:textAlignment w:val="center"/>
              <w:rPr>
                <w:rFonts w:ascii="宋体" w:hAnsi="宋体" w:cs="宋体"/>
                <w:color w:val="auto"/>
                <w:szCs w:val="21"/>
                <w:highlight w:val="none"/>
              </w:rPr>
            </w:pPr>
          </w:p>
        </w:tc>
        <w:tc>
          <w:tcPr>
            <w:tcW w:w="633" w:type="pct"/>
            <w:noWrap/>
            <w:vAlign w:val="center"/>
          </w:tcPr>
          <w:p w14:paraId="5F699819">
            <w:pPr>
              <w:widowControl/>
              <w:spacing w:line="240" w:lineRule="exact"/>
              <w:jc w:val="center"/>
              <w:textAlignment w:val="center"/>
              <w:rPr>
                <w:rFonts w:ascii="宋体" w:hAnsi="宋体" w:cs="宋体"/>
                <w:color w:val="auto"/>
                <w:szCs w:val="21"/>
                <w:highlight w:val="none"/>
              </w:rPr>
            </w:pPr>
          </w:p>
        </w:tc>
        <w:tc>
          <w:tcPr>
            <w:tcW w:w="713" w:type="pct"/>
            <w:noWrap/>
            <w:vAlign w:val="center"/>
          </w:tcPr>
          <w:p w14:paraId="119F56C2">
            <w:pPr>
              <w:widowControl/>
              <w:spacing w:line="240" w:lineRule="exact"/>
              <w:rPr>
                <w:rFonts w:ascii="宋体" w:hAnsi="宋体" w:cs="宋体"/>
                <w:color w:val="auto"/>
                <w:szCs w:val="21"/>
                <w:highlight w:val="none"/>
              </w:rPr>
            </w:pPr>
          </w:p>
        </w:tc>
        <w:tc>
          <w:tcPr>
            <w:tcW w:w="697" w:type="pct"/>
            <w:noWrap/>
            <w:vAlign w:val="center"/>
          </w:tcPr>
          <w:p w14:paraId="4C67D48E">
            <w:pPr>
              <w:widowControl/>
              <w:spacing w:line="240" w:lineRule="exact"/>
              <w:rPr>
                <w:rFonts w:ascii="宋体" w:hAnsi="宋体" w:cs="宋体"/>
                <w:color w:val="auto"/>
                <w:szCs w:val="21"/>
                <w:highlight w:val="none"/>
              </w:rPr>
            </w:pPr>
          </w:p>
        </w:tc>
      </w:tr>
      <w:tr w14:paraId="446D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14" w:type="pct"/>
            <w:noWrap/>
            <w:vAlign w:val="center"/>
          </w:tcPr>
          <w:p w14:paraId="01B128E1">
            <w:pPr>
              <w:widowControl/>
              <w:spacing w:line="240" w:lineRule="exact"/>
              <w:jc w:val="center"/>
              <w:textAlignment w:val="center"/>
              <w:rPr>
                <w:rFonts w:ascii="宋体" w:hAnsi="宋体" w:cs="宋体"/>
                <w:color w:val="auto"/>
                <w:szCs w:val="21"/>
                <w:highlight w:val="none"/>
              </w:rPr>
            </w:pPr>
          </w:p>
        </w:tc>
        <w:tc>
          <w:tcPr>
            <w:tcW w:w="910" w:type="pct"/>
            <w:noWrap/>
            <w:vAlign w:val="center"/>
          </w:tcPr>
          <w:p w14:paraId="7EF20B26">
            <w:pPr>
              <w:widowControl/>
              <w:spacing w:line="240" w:lineRule="exact"/>
              <w:jc w:val="center"/>
              <w:textAlignment w:val="center"/>
              <w:rPr>
                <w:rFonts w:ascii="宋体" w:hAnsi="宋体" w:cs="宋体"/>
                <w:color w:val="auto"/>
                <w:szCs w:val="21"/>
                <w:highlight w:val="none"/>
              </w:rPr>
            </w:pPr>
          </w:p>
        </w:tc>
        <w:tc>
          <w:tcPr>
            <w:tcW w:w="532" w:type="pct"/>
            <w:vAlign w:val="center"/>
          </w:tcPr>
          <w:p w14:paraId="5D7B1622">
            <w:pPr>
              <w:widowControl/>
              <w:spacing w:line="240" w:lineRule="exact"/>
              <w:jc w:val="left"/>
              <w:textAlignment w:val="center"/>
              <w:rPr>
                <w:rFonts w:ascii="宋体" w:hAnsi="宋体" w:cs="宋体"/>
                <w:color w:val="auto"/>
                <w:szCs w:val="21"/>
                <w:highlight w:val="none"/>
              </w:rPr>
            </w:pPr>
          </w:p>
        </w:tc>
        <w:tc>
          <w:tcPr>
            <w:tcW w:w="567" w:type="pct"/>
            <w:vAlign w:val="center"/>
          </w:tcPr>
          <w:p w14:paraId="6C89438E">
            <w:pPr>
              <w:widowControl/>
              <w:spacing w:line="240" w:lineRule="exact"/>
              <w:jc w:val="left"/>
              <w:textAlignment w:val="center"/>
              <w:rPr>
                <w:rFonts w:ascii="宋体" w:hAnsi="宋体" w:cs="宋体"/>
                <w:color w:val="auto"/>
                <w:szCs w:val="21"/>
                <w:highlight w:val="none"/>
              </w:rPr>
            </w:pPr>
          </w:p>
        </w:tc>
        <w:tc>
          <w:tcPr>
            <w:tcW w:w="529" w:type="pct"/>
            <w:vAlign w:val="center"/>
          </w:tcPr>
          <w:p w14:paraId="79CC13CA">
            <w:pPr>
              <w:widowControl/>
              <w:spacing w:line="240" w:lineRule="exact"/>
              <w:jc w:val="center"/>
              <w:textAlignment w:val="center"/>
              <w:rPr>
                <w:rFonts w:ascii="宋体" w:hAnsi="宋体" w:cs="宋体"/>
                <w:color w:val="auto"/>
                <w:szCs w:val="21"/>
                <w:highlight w:val="none"/>
              </w:rPr>
            </w:pPr>
          </w:p>
        </w:tc>
        <w:tc>
          <w:tcPr>
            <w:tcW w:w="633" w:type="pct"/>
            <w:noWrap/>
            <w:vAlign w:val="center"/>
          </w:tcPr>
          <w:p w14:paraId="1A084AC1">
            <w:pPr>
              <w:widowControl/>
              <w:spacing w:line="240" w:lineRule="exact"/>
              <w:jc w:val="center"/>
              <w:textAlignment w:val="center"/>
              <w:rPr>
                <w:rFonts w:ascii="宋体" w:hAnsi="宋体" w:cs="宋体"/>
                <w:color w:val="auto"/>
                <w:szCs w:val="21"/>
                <w:highlight w:val="none"/>
              </w:rPr>
            </w:pPr>
          </w:p>
        </w:tc>
        <w:tc>
          <w:tcPr>
            <w:tcW w:w="713" w:type="pct"/>
            <w:noWrap/>
            <w:vAlign w:val="center"/>
          </w:tcPr>
          <w:p w14:paraId="1767059D">
            <w:pPr>
              <w:widowControl/>
              <w:spacing w:line="240" w:lineRule="exact"/>
              <w:jc w:val="left"/>
              <w:rPr>
                <w:rFonts w:ascii="宋体" w:hAnsi="宋体" w:cs="宋体"/>
                <w:color w:val="auto"/>
                <w:szCs w:val="21"/>
                <w:highlight w:val="none"/>
              </w:rPr>
            </w:pPr>
          </w:p>
        </w:tc>
        <w:tc>
          <w:tcPr>
            <w:tcW w:w="697" w:type="pct"/>
            <w:noWrap/>
            <w:vAlign w:val="center"/>
          </w:tcPr>
          <w:p w14:paraId="34319DB0">
            <w:pPr>
              <w:widowControl/>
              <w:spacing w:line="240" w:lineRule="exact"/>
              <w:jc w:val="left"/>
              <w:rPr>
                <w:rFonts w:ascii="宋体" w:hAnsi="宋体" w:cs="宋体"/>
                <w:color w:val="auto"/>
                <w:szCs w:val="21"/>
                <w:highlight w:val="none"/>
              </w:rPr>
            </w:pPr>
          </w:p>
        </w:tc>
      </w:tr>
      <w:tr w14:paraId="1B9A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14" w:type="pct"/>
            <w:noWrap/>
            <w:vAlign w:val="center"/>
          </w:tcPr>
          <w:p w14:paraId="347FDC23">
            <w:pPr>
              <w:widowControl/>
              <w:spacing w:line="240" w:lineRule="exact"/>
              <w:jc w:val="center"/>
              <w:textAlignment w:val="center"/>
              <w:rPr>
                <w:rFonts w:ascii="宋体" w:hAnsi="宋体" w:cs="宋体"/>
                <w:color w:val="auto"/>
                <w:szCs w:val="21"/>
                <w:highlight w:val="none"/>
              </w:rPr>
            </w:pPr>
          </w:p>
        </w:tc>
        <w:tc>
          <w:tcPr>
            <w:tcW w:w="910" w:type="pct"/>
            <w:noWrap/>
            <w:vAlign w:val="center"/>
          </w:tcPr>
          <w:p w14:paraId="13BA9520">
            <w:pPr>
              <w:widowControl/>
              <w:spacing w:line="240" w:lineRule="exact"/>
              <w:jc w:val="center"/>
              <w:textAlignment w:val="center"/>
              <w:rPr>
                <w:rFonts w:ascii="宋体" w:hAnsi="宋体" w:cs="宋体"/>
                <w:color w:val="auto"/>
                <w:szCs w:val="21"/>
                <w:highlight w:val="none"/>
              </w:rPr>
            </w:pPr>
          </w:p>
        </w:tc>
        <w:tc>
          <w:tcPr>
            <w:tcW w:w="532" w:type="pct"/>
            <w:vAlign w:val="center"/>
          </w:tcPr>
          <w:p w14:paraId="20E118A6">
            <w:pPr>
              <w:widowControl/>
              <w:spacing w:line="240" w:lineRule="exact"/>
              <w:jc w:val="left"/>
              <w:textAlignment w:val="center"/>
              <w:rPr>
                <w:rFonts w:ascii="宋体" w:hAnsi="宋体" w:cs="宋体"/>
                <w:color w:val="auto"/>
                <w:szCs w:val="21"/>
                <w:highlight w:val="none"/>
              </w:rPr>
            </w:pPr>
          </w:p>
        </w:tc>
        <w:tc>
          <w:tcPr>
            <w:tcW w:w="567" w:type="pct"/>
            <w:vAlign w:val="center"/>
          </w:tcPr>
          <w:p w14:paraId="692FBB00">
            <w:pPr>
              <w:widowControl/>
              <w:spacing w:line="240" w:lineRule="exact"/>
              <w:jc w:val="left"/>
              <w:textAlignment w:val="center"/>
              <w:rPr>
                <w:rFonts w:ascii="宋体" w:hAnsi="宋体" w:cs="宋体"/>
                <w:color w:val="auto"/>
                <w:szCs w:val="21"/>
                <w:highlight w:val="none"/>
              </w:rPr>
            </w:pPr>
          </w:p>
        </w:tc>
        <w:tc>
          <w:tcPr>
            <w:tcW w:w="529" w:type="pct"/>
            <w:vAlign w:val="center"/>
          </w:tcPr>
          <w:p w14:paraId="7B3237B3">
            <w:pPr>
              <w:widowControl/>
              <w:spacing w:line="240" w:lineRule="exact"/>
              <w:jc w:val="center"/>
              <w:textAlignment w:val="center"/>
              <w:rPr>
                <w:rFonts w:ascii="宋体" w:hAnsi="宋体" w:cs="宋体"/>
                <w:color w:val="auto"/>
                <w:szCs w:val="21"/>
                <w:highlight w:val="none"/>
              </w:rPr>
            </w:pPr>
          </w:p>
        </w:tc>
        <w:tc>
          <w:tcPr>
            <w:tcW w:w="633" w:type="pct"/>
            <w:noWrap/>
            <w:vAlign w:val="center"/>
          </w:tcPr>
          <w:p w14:paraId="79BB2A18">
            <w:pPr>
              <w:widowControl/>
              <w:spacing w:line="240" w:lineRule="exact"/>
              <w:jc w:val="center"/>
              <w:textAlignment w:val="center"/>
              <w:rPr>
                <w:rFonts w:ascii="宋体" w:hAnsi="宋体" w:cs="宋体"/>
                <w:color w:val="auto"/>
                <w:szCs w:val="21"/>
                <w:highlight w:val="none"/>
              </w:rPr>
            </w:pPr>
          </w:p>
        </w:tc>
        <w:tc>
          <w:tcPr>
            <w:tcW w:w="713" w:type="pct"/>
            <w:noWrap/>
            <w:vAlign w:val="center"/>
          </w:tcPr>
          <w:p w14:paraId="156D7B3B">
            <w:pPr>
              <w:widowControl/>
              <w:spacing w:line="240" w:lineRule="exact"/>
              <w:rPr>
                <w:rFonts w:ascii="宋体" w:hAnsi="宋体" w:cs="宋体"/>
                <w:color w:val="auto"/>
                <w:szCs w:val="21"/>
                <w:highlight w:val="none"/>
              </w:rPr>
            </w:pPr>
          </w:p>
        </w:tc>
        <w:tc>
          <w:tcPr>
            <w:tcW w:w="697" w:type="pct"/>
            <w:noWrap/>
            <w:vAlign w:val="center"/>
          </w:tcPr>
          <w:p w14:paraId="7B390544">
            <w:pPr>
              <w:widowControl/>
              <w:spacing w:line="240" w:lineRule="exact"/>
              <w:rPr>
                <w:rFonts w:ascii="宋体" w:hAnsi="宋体" w:cs="宋体"/>
                <w:color w:val="auto"/>
                <w:szCs w:val="21"/>
                <w:highlight w:val="none"/>
              </w:rPr>
            </w:pPr>
          </w:p>
        </w:tc>
      </w:tr>
      <w:tr w14:paraId="55C7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14" w:type="pct"/>
            <w:noWrap/>
            <w:vAlign w:val="center"/>
          </w:tcPr>
          <w:p w14:paraId="23747B1B">
            <w:pPr>
              <w:widowControl/>
              <w:spacing w:line="240" w:lineRule="exact"/>
              <w:jc w:val="center"/>
              <w:textAlignment w:val="center"/>
              <w:rPr>
                <w:rFonts w:ascii="宋体" w:hAnsi="宋体" w:cs="宋体"/>
                <w:color w:val="auto"/>
                <w:szCs w:val="21"/>
                <w:highlight w:val="none"/>
              </w:rPr>
            </w:pPr>
          </w:p>
        </w:tc>
        <w:tc>
          <w:tcPr>
            <w:tcW w:w="910" w:type="pct"/>
            <w:vAlign w:val="center"/>
          </w:tcPr>
          <w:p w14:paraId="7F6FA05D">
            <w:pPr>
              <w:widowControl/>
              <w:spacing w:line="240" w:lineRule="exact"/>
              <w:jc w:val="center"/>
              <w:textAlignment w:val="center"/>
              <w:rPr>
                <w:rFonts w:ascii="宋体" w:hAnsi="宋体" w:cs="宋体"/>
                <w:color w:val="auto"/>
                <w:szCs w:val="21"/>
                <w:highlight w:val="none"/>
              </w:rPr>
            </w:pPr>
          </w:p>
        </w:tc>
        <w:tc>
          <w:tcPr>
            <w:tcW w:w="532" w:type="pct"/>
            <w:vAlign w:val="center"/>
          </w:tcPr>
          <w:p w14:paraId="3D9798F2">
            <w:pPr>
              <w:widowControl/>
              <w:spacing w:line="240" w:lineRule="exact"/>
              <w:jc w:val="left"/>
              <w:textAlignment w:val="center"/>
              <w:rPr>
                <w:rFonts w:ascii="宋体" w:hAnsi="宋体" w:cs="宋体"/>
                <w:color w:val="auto"/>
                <w:szCs w:val="21"/>
                <w:highlight w:val="none"/>
              </w:rPr>
            </w:pPr>
          </w:p>
        </w:tc>
        <w:tc>
          <w:tcPr>
            <w:tcW w:w="567" w:type="pct"/>
            <w:vAlign w:val="center"/>
          </w:tcPr>
          <w:p w14:paraId="41032709">
            <w:pPr>
              <w:widowControl/>
              <w:spacing w:line="240" w:lineRule="exact"/>
              <w:jc w:val="left"/>
              <w:textAlignment w:val="center"/>
              <w:rPr>
                <w:rFonts w:ascii="宋体" w:hAnsi="宋体" w:cs="宋体"/>
                <w:color w:val="auto"/>
                <w:szCs w:val="21"/>
                <w:highlight w:val="none"/>
              </w:rPr>
            </w:pPr>
          </w:p>
        </w:tc>
        <w:tc>
          <w:tcPr>
            <w:tcW w:w="529" w:type="pct"/>
            <w:vAlign w:val="center"/>
          </w:tcPr>
          <w:p w14:paraId="3722FE6F">
            <w:pPr>
              <w:widowControl/>
              <w:spacing w:line="240" w:lineRule="exact"/>
              <w:jc w:val="center"/>
              <w:textAlignment w:val="center"/>
              <w:rPr>
                <w:rFonts w:ascii="宋体" w:hAnsi="宋体" w:cs="宋体"/>
                <w:color w:val="auto"/>
                <w:szCs w:val="21"/>
                <w:highlight w:val="none"/>
              </w:rPr>
            </w:pPr>
          </w:p>
        </w:tc>
        <w:tc>
          <w:tcPr>
            <w:tcW w:w="633" w:type="pct"/>
            <w:noWrap/>
            <w:vAlign w:val="center"/>
          </w:tcPr>
          <w:p w14:paraId="216A2388">
            <w:pPr>
              <w:widowControl/>
              <w:spacing w:line="240" w:lineRule="exact"/>
              <w:jc w:val="center"/>
              <w:textAlignment w:val="center"/>
              <w:rPr>
                <w:rFonts w:ascii="宋体" w:hAnsi="宋体" w:cs="宋体"/>
                <w:color w:val="auto"/>
                <w:szCs w:val="21"/>
                <w:highlight w:val="none"/>
              </w:rPr>
            </w:pPr>
          </w:p>
        </w:tc>
        <w:tc>
          <w:tcPr>
            <w:tcW w:w="713" w:type="pct"/>
            <w:noWrap/>
            <w:vAlign w:val="center"/>
          </w:tcPr>
          <w:p w14:paraId="12BC075E">
            <w:pPr>
              <w:widowControl/>
              <w:spacing w:line="240" w:lineRule="exact"/>
              <w:jc w:val="left"/>
              <w:rPr>
                <w:rFonts w:ascii="宋体" w:hAnsi="宋体" w:cs="宋体"/>
                <w:color w:val="auto"/>
                <w:szCs w:val="21"/>
                <w:highlight w:val="none"/>
              </w:rPr>
            </w:pPr>
          </w:p>
        </w:tc>
        <w:tc>
          <w:tcPr>
            <w:tcW w:w="697" w:type="pct"/>
            <w:noWrap/>
            <w:vAlign w:val="center"/>
          </w:tcPr>
          <w:p w14:paraId="5D5E5767">
            <w:pPr>
              <w:widowControl/>
              <w:spacing w:line="240" w:lineRule="exact"/>
              <w:jc w:val="left"/>
              <w:rPr>
                <w:rFonts w:ascii="宋体" w:hAnsi="宋体" w:cs="宋体"/>
                <w:color w:val="auto"/>
                <w:szCs w:val="21"/>
                <w:highlight w:val="none"/>
              </w:rPr>
            </w:pPr>
          </w:p>
        </w:tc>
      </w:tr>
      <w:tr w14:paraId="6B6E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14" w:type="pct"/>
            <w:noWrap/>
            <w:vAlign w:val="center"/>
          </w:tcPr>
          <w:p w14:paraId="5D4B2E44">
            <w:pPr>
              <w:widowControl/>
              <w:spacing w:line="240" w:lineRule="exact"/>
              <w:jc w:val="center"/>
              <w:textAlignment w:val="center"/>
              <w:rPr>
                <w:rFonts w:ascii="宋体" w:hAnsi="宋体" w:cs="宋体"/>
                <w:color w:val="auto"/>
                <w:szCs w:val="21"/>
                <w:highlight w:val="none"/>
              </w:rPr>
            </w:pPr>
          </w:p>
        </w:tc>
        <w:tc>
          <w:tcPr>
            <w:tcW w:w="910" w:type="pct"/>
            <w:vAlign w:val="center"/>
          </w:tcPr>
          <w:p w14:paraId="3FBA36C5">
            <w:pPr>
              <w:widowControl/>
              <w:spacing w:line="240" w:lineRule="exact"/>
              <w:jc w:val="center"/>
              <w:textAlignment w:val="center"/>
              <w:rPr>
                <w:rFonts w:ascii="宋体" w:hAnsi="宋体" w:cs="宋体"/>
                <w:color w:val="auto"/>
                <w:szCs w:val="21"/>
                <w:highlight w:val="none"/>
              </w:rPr>
            </w:pPr>
          </w:p>
        </w:tc>
        <w:tc>
          <w:tcPr>
            <w:tcW w:w="532" w:type="pct"/>
            <w:vAlign w:val="center"/>
          </w:tcPr>
          <w:p w14:paraId="007098A4">
            <w:pPr>
              <w:widowControl/>
              <w:spacing w:line="240" w:lineRule="exact"/>
              <w:jc w:val="left"/>
              <w:textAlignment w:val="center"/>
              <w:rPr>
                <w:rFonts w:ascii="宋体" w:hAnsi="宋体" w:cs="宋体"/>
                <w:color w:val="auto"/>
                <w:szCs w:val="21"/>
                <w:highlight w:val="none"/>
              </w:rPr>
            </w:pPr>
          </w:p>
        </w:tc>
        <w:tc>
          <w:tcPr>
            <w:tcW w:w="567" w:type="pct"/>
            <w:vAlign w:val="center"/>
          </w:tcPr>
          <w:p w14:paraId="5EA78EEC">
            <w:pPr>
              <w:widowControl/>
              <w:spacing w:line="240" w:lineRule="exact"/>
              <w:jc w:val="left"/>
              <w:textAlignment w:val="center"/>
              <w:rPr>
                <w:rFonts w:ascii="宋体" w:hAnsi="宋体" w:cs="宋体"/>
                <w:color w:val="auto"/>
                <w:szCs w:val="21"/>
                <w:highlight w:val="none"/>
              </w:rPr>
            </w:pPr>
          </w:p>
        </w:tc>
        <w:tc>
          <w:tcPr>
            <w:tcW w:w="529" w:type="pct"/>
            <w:vAlign w:val="center"/>
          </w:tcPr>
          <w:p w14:paraId="105CFE31">
            <w:pPr>
              <w:widowControl/>
              <w:spacing w:line="240" w:lineRule="exact"/>
              <w:jc w:val="center"/>
              <w:textAlignment w:val="center"/>
              <w:rPr>
                <w:rFonts w:ascii="宋体" w:hAnsi="宋体" w:cs="宋体"/>
                <w:color w:val="auto"/>
                <w:szCs w:val="21"/>
                <w:highlight w:val="none"/>
              </w:rPr>
            </w:pPr>
          </w:p>
        </w:tc>
        <w:tc>
          <w:tcPr>
            <w:tcW w:w="633" w:type="pct"/>
            <w:noWrap/>
            <w:vAlign w:val="center"/>
          </w:tcPr>
          <w:p w14:paraId="6DD0BEFD">
            <w:pPr>
              <w:widowControl/>
              <w:spacing w:line="240" w:lineRule="exact"/>
              <w:jc w:val="center"/>
              <w:textAlignment w:val="center"/>
              <w:rPr>
                <w:rFonts w:ascii="宋体" w:hAnsi="宋体" w:cs="宋体"/>
                <w:color w:val="auto"/>
                <w:szCs w:val="21"/>
                <w:highlight w:val="none"/>
              </w:rPr>
            </w:pPr>
          </w:p>
        </w:tc>
        <w:tc>
          <w:tcPr>
            <w:tcW w:w="713" w:type="pct"/>
            <w:vAlign w:val="center"/>
          </w:tcPr>
          <w:p w14:paraId="6F08E600">
            <w:pPr>
              <w:widowControl/>
              <w:spacing w:line="240" w:lineRule="exact"/>
              <w:jc w:val="left"/>
              <w:rPr>
                <w:rFonts w:ascii="宋体" w:hAnsi="宋体" w:cs="宋体"/>
                <w:color w:val="auto"/>
                <w:szCs w:val="21"/>
                <w:highlight w:val="none"/>
              </w:rPr>
            </w:pPr>
          </w:p>
        </w:tc>
        <w:tc>
          <w:tcPr>
            <w:tcW w:w="697" w:type="pct"/>
            <w:vAlign w:val="center"/>
          </w:tcPr>
          <w:p w14:paraId="1825612D">
            <w:pPr>
              <w:widowControl/>
              <w:spacing w:line="240" w:lineRule="exact"/>
              <w:jc w:val="left"/>
              <w:rPr>
                <w:rFonts w:ascii="宋体" w:hAnsi="宋体" w:cs="宋体"/>
                <w:color w:val="auto"/>
                <w:szCs w:val="21"/>
                <w:highlight w:val="none"/>
              </w:rPr>
            </w:pPr>
          </w:p>
        </w:tc>
      </w:tr>
      <w:tr w14:paraId="0511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14" w:type="pct"/>
            <w:noWrap/>
            <w:vAlign w:val="center"/>
          </w:tcPr>
          <w:p w14:paraId="0C4AC619">
            <w:pPr>
              <w:widowControl/>
              <w:spacing w:line="240" w:lineRule="exact"/>
              <w:jc w:val="center"/>
              <w:textAlignment w:val="center"/>
              <w:rPr>
                <w:rFonts w:ascii="宋体" w:hAnsi="宋体" w:cs="宋体"/>
                <w:color w:val="auto"/>
                <w:szCs w:val="21"/>
                <w:highlight w:val="none"/>
              </w:rPr>
            </w:pPr>
          </w:p>
        </w:tc>
        <w:tc>
          <w:tcPr>
            <w:tcW w:w="910" w:type="pct"/>
            <w:vAlign w:val="center"/>
          </w:tcPr>
          <w:p w14:paraId="5131CF97">
            <w:pPr>
              <w:widowControl/>
              <w:spacing w:line="240" w:lineRule="exact"/>
              <w:jc w:val="center"/>
              <w:textAlignment w:val="center"/>
              <w:rPr>
                <w:rFonts w:ascii="宋体" w:hAnsi="宋体" w:cs="宋体"/>
                <w:color w:val="auto"/>
                <w:szCs w:val="21"/>
                <w:highlight w:val="none"/>
              </w:rPr>
            </w:pPr>
          </w:p>
        </w:tc>
        <w:tc>
          <w:tcPr>
            <w:tcW w:w="532" w:type="pct"/>
            <w:vAlign w:val="center"/>
          </w:tcPr>
          <w:p w14:paraId="5EEDB0A9">
            <w:pPr>
              <w:widowControl/>
              <w:spacing w:line="240" w:lineRule="exact"/>
              <w:jc w:val="left"/>
              <w:textAlignment w:val="center"/>
              <w:rPr>
                <w:rFonts w:ascii="宋体" w:hAnsi="宋体" w:cs="宋体"/>
                <w:color w:val="auto"/>
                <w:szCs w:val="21"/>
                <w:highlight w:val="none"/>
              </w:rPr>
            </w:pPr>
          </w:p>
        </w:tc>
        <w:tc>
          <w:tcPr>
            <w:tcW w:w="567" w:type="pct"/>
            <w:vAlign w:val="center"/>
          </w:tcPr>
          <w:p w14:paraId="7123B69A">
            <w:pPr>
              <w:widowControl/>
              <w:spacing w:line="240" w:lineRule="exact"/>
              <w:jc w:val="left"/>
              <w:textAlignment w:val="center"/>
              <w:rPr>
                <w:rFonts w:ascii="宋体" w:hAnsi="宋体" w:cs="宋体"/>
                <w:color w:val="auto"/>
                <w:szCs w:val="21"/>
                <w:highlight w:val="none"/>
              </w:rPr>
            </w:pPr>
          </w:p>
        </w:tc>
        <w:tc>
          <w:tcPr>
            <w:tcW w:w="529" w:type="pct"/>
            <w:vAlign w:val="center"/>
          </w:tcPr>
          <w:p w14:paraId="1F23B061">
            <w:pPr>
              <w:widowControl/>
              <w:spacing w:line="240" w:lineRule="exact"/>
              <w:jc w:val="center"/>
              <w:textAlignment w:val="center"/>
              <w:rPr>
                <w:rFonts w:ascii="宋体" w:hAnsi="宋体" w:cs="宋体"/>
                <w:color w:val="auto"/>
                <w:szCs w:val="21"/>
                <w:highlight w:val="none"/>
              </w:rPr>
            </w:pPr>
          </w:p>
        </w:tc>
        <w:tc>
          <w:tcPr>
            <w:tcW w:w="633" w:type="pct"/>
            <w:noWrap/>
            <w:vAlign w:val="center"/>
          </w:tcPr>
          <w:p w14:paraId="322482D4">
            <w:pPr>
              <w:widowControl/>
              <w:spacing w:line="240" w:lineRule="exact"/>
              <w:jc w:val="center"/>
              <w:textAlignment w:val="center"/>
              <w:rPr>
                <w:rFonts w:ascii="宋体" w:hAnsi="宋体" w:cs="宋体"/>
                <w:color w:val="auto"/>
                <w:szCs w:val="21"/>
                <w:highlight w:val="none"/>
              </w:rPr>
            </w:pPr>
          </w:p>
        </w:tc>
        <w:tc>
          <w:tcPr>
            <w:tcW w:w="713" w:type="pct"/>
            <w:noWrap/>
            <w:vAlign w:val="center"/>
          </w:tcPr>
          <w:p w14:paraId="3512E1FF">
            <w:pPr>
              <w:widowControl/>
              <w:spacing w:line="240" w:lineRule="exact"/>
              <w:jc w:val="left"/>
              <w:rPr>
                <w:rFonts w:ascii="宋体" w:hAnsi="宋体" w:cs="宋体"/>
                <w:color w:val="auto"/>
                <w:szCs w:val="21"/>
                <w:highlight w:val="none"/>
              </w:rPr>
            </w:pPr>
          </w:p>
        </w:tc>
        <w:tc>
          <w:tcPr>
            <w:tcW w:w="697" w:type="pct"/>
            <w:noWrap/>
            <w:vAlign w:val="center"/>
          </w:tcPr>
          <w:p w14:paraId="674A5049">
            <w:pPr>
              <w:widowControl/>
              <w:spacing w:line="240" w:lineRule="exact"/>
              <w:jc w:val="left"/>
              <w:rPr>
                <w:rFonts w:ascii="宋体" w:hAnsi="宋体" w:cs="宋体"/>
                <w:color w:val="auto"/>
                <w:szCs w:val="21"/>
                <w:highlight w:val="none"/>
              </w:rPr>
            </w:pPr>
          </w:p>
        </w:tc>
      </w:tr>
      <w:tr w14:paraId="2A7E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14" w:type="pct"/>
            <w:noWrap/>
            <w:vAlign w:val="center"/>
          </w:tcPr>
          <w:p w14:paraId="5F2B13FC">
            <w:pPr>
              <w:widowControl/>
              <w:spacing w:line="240" w:lineRule="exact"/>
              <w:jc w:val="center"/>
              <w:textAlignment w:val="center"/>
              <w:rPr>
                <w:rFonts w:ascii="宋体" w:hAnsi="宋体" w:cs="宋体"/>
                <w:color w:val="auto"/>
                <w:szCs w:val="21"/>
                <w:highlight w:val="none"/>
              </w:rPr>
            </w:pPr>
          </w:p>
        </w:tc>
        <w:tc>
          <w:tcPr>
            <w:tcW w:w="910" w:type="pct"/>
            <w:vAlign w:val="center"/>
          </w:tcPr>
          <w:p w14:paraId="299B5C2F">
            <w:pPr>
              <w:widowControl/>
              <w:spacing w:line="240" w:lineRule="exact"/>
              <w:jc w:val="center"/>
              <w:textAlignment w:val="center"/>
              <w:rPr>
                <w:rFonts w:ascii="宋体" w:hAnsi="宋体" w:cs="宋体"/>
                <w:color w:val="auto"/>
                <w:szCs w:val="21"/>
                <w:highlight w:val="none"/>
              </w:rPr>
            </w:pPr>
          </w:p>
        </w:tc>
        <w:tc>
          <w:tcPr>
            <w:tcW w:w="532" w:type="pct"/>
            <w:vAlign w:val="center"/>
          </w:tcPr>
          <w:p w14:paraId="3962BC88">
            <w:pPr>
              <w:widowControl/>
              <w:spacing w:line="240" w:lineRule="exact"/>
              <w:jc w:val="left"/>
              <w:textAlignment w:val="center"/>
              <w:rPr>
                <w:rFonts w:ascii="宋体" w:hAnsi="宋体" w:cs="宋体"/>
                <w:color w:val="auto"/>
                <w:szCs w:val="21"/>
                <w:highlight w:val="none"/>
              </w:rPr>
            </w:pPr>
          </w:p>
        </w:tc>
        <w:tc>
          <w:tcPr>
            <w:tcW w:w="567" w:type="pct"/>
            <w:vAlign w:val="center"/>
          </w:tcPr>
          <w:p w14:paraId="1D2B1C7D">
            <w:pPr>
              <w:widowControl/>
              <w:spacing w:line="240" w:lineRule="exact"/>
              <w:jc w:val="left"/>
              <w:textAlignment w:val="center"/>
              <w:rPr>
                <w:rFonts w:ascii="宋体" w:hAnsi="宋体" w:cs="宋体"/>
                <w:color w:val="auto"/>
                <w:szCs w:val="21"/>
                <w:highlight w:val="none"/>
              </w:rPr>
            </w:pPr>
          </w:p>
        </w:tc>
        <w:tc>
          <w:tcPr>
            <w:tcW w:w="529" w:type="pct"/>
            <w:vAlign w:val="center"/>
          </w:tcPr>
          <w:p w14:paraId="34B25D68">
            <w:pPr>
              <w:widowControl/>
              <w:spacing w:line="240" w:lineRule="exact"/>
              <w:jc w:val="center"/>
              <w:textAlignment w:val="center"/>
              <w:rPr>
                <w:rFonts w:ascii="宋体" w:hAnsi="宋体" w:cs="宋体"/>
                <w:color w:val="auto"/>
                <w:szCs w:val="21"/>
                <w:highlight w:val="none"/>
              </w:rPr>
            </w:pPr>
          </w:p>
        </w:tc>
        <w:tc>
          <w:tcPr>
            <w:tcW w:w="633" w:type="pct"/>
            <w:noWrap/>
            <w:vAlign w:val="center"/>
          </w:tcPr>
          <w:p w14:paraId="63FFD9C3">
            <w:pPr>
              <w:widowControl/>
              <w:spacing w:line="240" w:lineRule="exact"/>
              <w:jc w:val="center"/>
              <w:textAlignment w:val="center"/>
              <w:rPr>
                <w:rFonts w:ascii="宋体" w:hAnsi="宋体" w:cs="宋体"/>
                <w:color w:val="auto"/>
                <w:szCs w:val="21"/>
                <w:highlight w:val="none"/>
              </w:rPr>
            </w:pPr>
          </w:p>
        </w:tc>
        <w:tc>
          <w:tcPr>
            <w:tcW w:w="713" w:type="pct"/>
            <w:noWrap/>
            <w:vAlign w:val="center"/>
          </w:tcPr>
          <w:p w14:paraId="430FEFBA">
            <w:pPr>
              <w:widowControl/>
              <w:spacing w:line="240" w:lineRule="exact"/>
              <w:jc w:val="left"/>
              <w:rPr>
                <w:rFonts w:ascii="宋体" w:hAnsi="宋体" w:cs="宋体"/>
                <w:color w:val="auto"/>
                <w:szCs w:val="21"/>
                <w:highlight w:val="none"/>
              </w:rPr>
            </w:pPr>
          </w:p>
        </w:tc>
        <w:tc>
          <w:tcPr>
            <w:tcW w:w="697" w:type="pct"/>
            <w:noWrap/>
            <w:vAlign w:val="center"/>
          </w:tcPr>
          <w:p w14:paraId="449ABB10">
            <w:pPr>
              <w:widowControl/>
              <w:spacing w:line="240" w:lineRule="exact"/>
              <w:jc w:val="left"/>
              <w:rPr>
                <w:rFonts w:ascii="宋体" w:hAnsi="宋体" w:cs="宋体"/>
                <w:color w:val="auto"/>
                <w:szCs w:val="21"/>
                <w:highlight w:val="none"/>
              </w:rPr>
            </w:pPr>
          </w:p>
        </w:tc>
      </w:tr>
      <w:tr w14:paraId="0E95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25" w:type="pct"/>
            <w:gridSpan w:val="4"/>
            <w:noWrap/>
            <w:vAlign w:val="center"/>
          </w:tcPr>
          <w:p w14:paraId="7952586F">
            <w:pPr>
              <w:widowControl/>
              <w:spacing w:line="24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投标总价（元）</w:t>
            </w:r>
          </w:p>
        </w:tc>
        <w:tc>
          <w:tcPr>
            <w:tcW w:w="2574" w:type="pct"/>
            <w:gridSpan w:val="4"/>
            <w:noWrap/>
            <w:vAlign w:val="center"/>
          </w:tcPr>
          <w:p w14:paraId="59499001">
            <w:pPr>
              <w:widowControl/>
              <w:spacing w:line="240" w:lineRule="exact"/>
              <w:jc w:val="left"/>
              <w:rPr>
                <w:rFonts w:ascii="宋体" w:hAnsi="宋体" w:cs="宋体"/>
                <w:color w:val="auto"/>
                <w:szCs w:val="21"/>
                <w:highlight w:val="none"/>
              </w:rPr>
            </w:pPr>
          </w:p>
        </w:tc>
      </w:tr>
    </w:tbl>
    <w:p w14:paraId="392BE16A">
      <w:pPr>
        <w:snapToGrid w:val="0"/>
        <w:spacing w:line="360" w:lineRule="auto"/>
        <w:ind w:firstLine="480" w:firstLineChars="200"/>
        <w:jc w:val="left"/>
        <w:rPr>
          <w:rFonts w:hint="eastAsia" w:ascii="宋体" w:hAnsi="宋体" w:cs="宋体"/>
          <w:color w:val="auto"/>
          <w:sz w:val="24"/>
          <w:szCs w:val="24"/>
          <w:highlight w:val="none"/>
          <w:shd w:val="clear" w:color="auto" w:fill="auto"/>
        </w:rPr>
      </w:pPr>
    </w:p>
    <w:p w14:paraId="4AFE7673">
      <w:pPr>
        <w:snapToGrid w:val="0"/>
        <w:spacing w:line="360" w:lineRule="auto"/>
        <w:ind w:firstLine="480" w:firstLineChars="20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注: 1、报价一经涂改，应在涂改处加盖单位公章或者由法定代表人或被授权委托人签字或盖章，否则其投标作无效标处理。</w:t>
      </w:r>
    </w:p>
    <w:p w14:paraId="186FAF69">
      <w:pPr>
        <w:snapToGrid w:val="0"/>
        <w:spacing w:line="360" w:lineRule="auto"/>
        <w:ind w:firstLine="480" w:firstLineChars="20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2、以上报价应与“开标一览表”中的“投标总价”相一致。</w:t>
      </w:r>
    </w:p>
    <w:p w14:paraId="26A613BE">
      <w:pPr>
        <w:tabs>
          <w:tab w:val="left" w:pos="1418"/>
        </w:tabs>
        <w:snapToGrid w:val="0"/>
        <w:spacing w:before="50" w:after="50"/>
        <w:ind w:left="1418" w:hanging="567"/>
        <w:jc w:val="center"/>
        <w:rPr>
          <w:rFonts w:hint="eastAsia" w:ascii="宋体" w:hAnsi="宋体" w:cs="宋体"/>
          <w:color w:val="auto"/>
          <w:spacing w:val="20"/>
          <w:sz w:val="24"/>
          <w:szCs w:val="24"/>
          <w:highlight w:val="none"/>
          <w:u w:val="single"/>
          <w:shd w:val="clear" w:color="auto" w:fill="auto"/>
        </w:rPr>
      </w:pPr>
    </w:p>
    <w:p w14:paraId="32C2D00A">
      <w:pPr>
        <w:pStyle w:val="83"/>
        <w:rPr>
          <w:rFonts w:hint="eastAsia"/>
          <w:color w:val="auto"/>
          <w:sz w:val="24"/>
          <w:szCs w:val="24"/>
          <w:highlight w:val="none"/>
        </w:rPr>
      </w:pPr>
    </w:p>
    <w:p w14:paraId="2A61BEDA">
      <w:pPr>
        <w:autoSpaceDE w:val="0"/>
        <w:autoSpaceDN w:val="0"/>
        <w:spacing w:line="360" w:lineRule="auto"/>
        <w:ind w:left="2"/>
        <w:jc w:val="left"/>
        <w:rPr>
          <w:rFonts w:ascii="宋体" w:hAnsi="宋体" w:cs="宋体"/>
          <w:color w:val="auto"/>
          <w:kern w:val="0"/>
          <w:sz w:val="24"/>
          <w:szCs w:val="24"/>
          <w:highlight w:val="none"/>
          <w:lang w:val="zh-CN"/>
        </w:rPr>
      </w:pPr>
    </w:p>
    <w:p w14:paraId="6F0003F6">
      <w:pPr>
        <w:autoSpaceDE w:val="0"/>
        <w:autoSpaceDN w:val="0"/>
        <w:spacing w:line="360" w:lineRule="auto"/>
        <w:ind w:left="2" w:leftChars="1" w:right="1120" w:firstLine="4560" w:firstLineChars="19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投标人名称(</w:t>
      </w:r>
      <w:r>
        <w:rPr>
          <w:rFonts w:hint="eastAsia" w:ascii="宋体" w:hAnsi="宋体" w:cs="宋体"/>
          <w:color w:val="auto"/>
          <w:sz w:val="24"/>
          <w:szCs w:val="24"/>
          <w:highlight w:val="none"/>
          <w:lang w:val="en-US" w:eastAsia="zh-CN"/>
        </w:rPr>
        <w:t>电子</w:t>
      </w:r>
      <w:r>
        <w:rPr>
          <w:rFonts w:hint="eastAsia" w:ascii="宋体" w:hAnsi="宋体" w:cs="宋体"/>
          <w:color w:val="auto"/>
          <w:sz w:val="24"/>
          <w:szCs w:val="24"/>
          <w:highlight w:val="none"/>
        </w:rPr>
        <w:t>签</w:t>
      </w:r>
      <w:r>
        <w:rPr>
          <w:rFonts w:hint="eastAsia" w:ascii="宋体" w:hAnsi="宋体" w:cs="宋体"/>
          <w:color w:val="auto"/>
          <w:sz w:val="24"/>
          <w:szCs w:val="24"/>
          <w:highlight w:val="none"/>
          <w:lang w:val="en-US" w:eastAsia="zh-CN"/>
        </w:rPr>
        <w:t>章</w:t>
      </w:r>
      <w:r>
        <w:rPr>
          <w:rFonts w:hint="eastAsia" w:ascii="宋体" w:hAnsi="宋体" w:cs="宋体"/>
          <w:color w:val="auto"/>
          <w:kern w:val="0"/>
          <w:sz w:val="24"/>
          <w:szCs w:val="24"/>
          <w:highlight w:val="none"/>
          <w:lang w:val="zh-CN"/>
        </w:rPr>
        <w:t xml:space="preserve">)：                                                                                                                                                                                                               </w:t>
      </w:r>
    </w:p>
    <w:p w14:paraId="718086E3">
      <w:pPr>
        <w:spacing w:line="360" w:lineRule="auto"/>
        <w:ind w:left="4620" w:leftChars="2200"/>
        <w:rPr>
          <w:rFonts w:ascii="宋体" w:hAnsi="宋体" w:cs="宋体"/>
          <w:color w:val="auto"/>
          <w:sz w:val="24"/>
          <w:szCs w:val="24"/>
          <w:highlight w:val="none"/>
        </w:rPr>
      </w:pPr>
      <w:r>
        <w:rPr>
          <w:rFonts w:hint="eastAsia" w:ascii="宋体" w:hAnsi="宋体" w:cs="宋体"/>
          <w:color w:val="auto"/>
          <w:kern w:val="0"/>
          <w:sz w:val="24"/>
          <w:szCs w:val="24"/>
          <w:highlight w:val="none"/>
          <w:lang w:val="zh-CN"/>
        </w:rPr>
        <w:t>日期</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 xml:space="preserve">   年   月   日</w:t>
      </w:r>
    </w:p>
    <w:p w14:paraId="0ABE5C97">
      <w:pPr>
        <w:pStyle w:val="32"/>
        <w:snapToGrid w:val="0"/>
        <w:spacing w:before="295" w:beforeLines="0" w:after="295" w:afterLines="0" w:line="240" w:lineRule="auto"/>
        <w:rPr>
          <w:rFonts w:hint="eastAsia" w:hAnsi="宋体" w:cs="宋体"/>
          <w:color w:val="auto"/>
          <w:sz w:val="24"/>
          <w:szCs w:val="24"/>
          <w:highlight w:val="none"/>
          <w:shd w:val="clear" w:color="auto" w:fill="auto"/>
        </w:rPr>
      </w:pPr>
    </w:p>
    <w:p w14:paraId="5D6BCEC9">
      <w:pPr>
        <w:rPr>
          <w:rFonts w:hint="eastAsia"/>
          <w:color w:val="auto"/>
          <w:sz w:val="24"/>
          <w:szCs w:val="24"/>
          <w:highlight w:val="none"/>
        </w:rPr>
      </w:pPr>
    </w:p>
    <w:p w14:paraId="7F3B2A84">
      <w:pPr>
        <w:rPr>
          <w:rFonts w:hint="eastAsia" w:hAnsi="宋体" w:cs="宋体"/>
          <w:b/>
          <w:color w:val="auto"/>
          <w:sz w:val="24"/>
          <w:szCs w:val="24"/>
          <w:highlight w:val="none"/>
        </w:rPr>
      </w:pPr>
      <w:r>
        <w:rPr>
          <w:rFonts w:hint="eastAsia" w:hAnsi="宋体" w:cs="宋体"/>
          <w:b/>
          <w:color w:val="auto"/>
          <w:sz w:val="24"/>
          <w:szCs w:val="24"/>
          <w:highlight w:val="none"/>
        </w:rPr>
        <w:br w:type="page"/>
      </w:r>
    </w:p>
    <w:p w14:paraId="2D241B87">
      <w:pPr>
        <w:pStyle w:val="32"/>
        <w:snapToGrid w:val="0"/>
        <w:spacing w:before="295" w:beforeLines="0" w:after="295" w:afterLines="0" w:line="240" w:lineRule="auto"/>
        <w:rPr>
          <w:color w:val="auto"/>
          <w:highlight w:val="none"/>
        </w:rPr>
      </w:pPr>
      <w:r>
        <w:rPr>
          <w:rFonts w:hint="eastAsia" w:hAnsi="宋体" w:cs="宋体"/>
          <w:b/>
          <w:color w:val="auto"/>
          <w:sz w:val="21"/>
          <w:szCs w:val="21"/>
          <w:highlight w:val="none"/>
        </w:rPr>
        <w:t xml:space="preserve">       </w:t>
      </w:r>
    </w:p>
    <w:p w14:paraId="263785FD">
      <w:pPr>
        <w:pStyle w:val="694"/>
        <w:numPr>
          <w:ilvl w:val="0"/>
          <w:numId w:val="0"/>
        </w:numPr>
        <w:bidi w:val="0"/>
        <w:jc w:val="center"/>
        <w:rPr>
          <w:rFonts w:hint="eastAsia"/>
          <w:b/>
          <w:bCs/>
          <w:color w:val="auto"/>
          <w:sz w:val="32"/>
          <w:szCs w:val="32"/>
          <w:highlight w:val="none"/>
        </w:rPr>
      </w:pPr>
      <w:bookmarkStart w:id="529" w:name="_Toc8239"/>
      <w:r>
        <w:rPr>
          <w:rFonts w:hint="eastAsia"/>
          <w:b/>
          <w:bCs/>
          <w:color w:val="auto"/>
          <w:sz w:val="32"/>
          <w:szCs w:val="32"/>
          <w:highlight w:val="none"/>
          <w:lang w:val="en-US" w:eastAsia="zh-CN"/>
        </w:rPr>
        <w:t>三、</w:t>
      </w:r>
      <w:r>
        <w:rPr>
          <w:rFonts w:hint="eastAsia"/>
          <w:b/>
          <w:bCs/>
          <w:color w:val="auto"/>
          <w:sz w:val="32"/>
          <w:szCs w:val="32"/>
          <w:highlight w:val="none"/>
        </w:rPr>
        <w:t>中小企业声明函</w:t>
      </w:r>
      <w:bookmarkEnd w:id="529"/>
    </w:p>
    <w:p w14:paraId="11EE8252">
      <w:pPr>
        <w:pStyle w:val="694"/>
        <w:numPr>
          <w:ilvl w:val="0"/>
          <w:numId w:val="0"/>
        </w:numPr>
        <w:bidi w:val="0"/>
        <w:ind w:leftChars="0"/>
        <w:jc w:val="both"/>
        <w:rPr>
          <w:rFonts w:hint="eastAsia"/>
          <w:b/>
          <w:bCs/>
          <w:color w:val="auto"/>
          <w:sz w:val="32"/>
          <w:szCs w:val="32"/>
          <w:highlight w:val="none"/>
        </w:rPr>
      </w:pPr>
    </w:p>
    <w:p w14:paraId="5C006900">
      <w:pPr>
        <w:widowControl/>
        <w:spacing w:line="360" w:lineRule="auto"/>
        <w:ind w:firstLine="120" w:firstLineChars="50"/>
        <w:jc w:val="center"/>
        <w:rPr>
          <w:rFonts w:ascii="宋体" w:hAnsi="宋体" w:cs="宋体"/>
          <w:b/>
          <w:color w:val="auto"/>
          <w:sz w:val="24"/>
          <w:highlight w:val="none"/>
        </w:rPr>
      </w:pPr>
      <w:r>
        <w:rPr>
          <w:rFonts w:hint="eastAsia" w:ascii="宋体" w:hAnsi="宋体" w:cs="宋体"/>
          <w:b/>
          <w:color w:val="auto"/>
          <w:sz w:val="24"/>
          <w:highlight w:val="none"/>
        </w:rPr>
        <w:t>提供中小企业声明函（</w:t>
      </w:r>
      <w:r>
        <w:rPr>
          <w:rFonts w:hint="eastAsia" w:ascii="宋体" w:hAnsi="宋体" w:cs="宋体"/>
          <w:b/>
          <w:color w:val="auto"/>
          <w:sz w:val="24"/>
          <w:highlight w:val="none"/>
          <w:lang w:val="en-US" w:eastAsia="zh-CN"/>
        </w:rPr>
        <w:t>格式见</w:t>
      </w:r>
      <w:r>
        <w:rPr>
          <w:rFonts w:hint="eastAsia" w:ascii="宋体" w:hAnsi="宋体" w:cs="宋体"/>
          <w:b/>
          <w:color w:val="auto"/>
          <w:sz w:val="24"/>
          <w:highlight w:val="none"/>
        </w:rPr>
        <w:t>附件</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w:t>
      </w:r>
    </w:p>
    <w:p w14:paraId="42B9975F">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01796F99">
      <w:pPr>
        <w:spacing w:line="360" w:lineRule="auto"/>
        <w:ind w:right="420" w:firstLine="3614" w:firstLineChars="1000"/>
        <w:rPr>
          <w:rFonts w:ascii="宋体" w:hAnsi="宋体" w:cs="宋体"/>
          <w:b/>
          <w:color w:val="auto"/>
          <w:kern w:val="0"/>
          <w:sz w:val="36"/>
          <w:szCs w:val="36"/>
          <w:highlight w:val="none"/>
        </w:rPr>
      </w:pPr>
    </w:p>
    <w:p w14:paraId="6194FBB9">
      <w:pPr>
        <w:spacing w:line="360" w:lineRule="auto"/>
        <w:ind w:right="420" w:firstLine="3614" w:firstLineChars="1000"/>
        <w:rPr>
          <w:rFonts w:ascii="宋体" w:hAnsi="宋体" w:cs="宋体"/>
          <w:b/>
          <w:color w:val="auto"/>
          <w:kern w:val="0"/>
          <w:sz w:val="36"/>
          <w:szCs w:val="36"/>
          <w:highlight w:val="none"/>
        </w:rPr>
      </w:pPr>
    </w:p>
    <w:p w14:paraId="6534B7F6">
      <w:pPr>
        <w:spacing w:line="360" w:lineRule="auto"/>
        <w:ind w:right="420" w:firstLine="3614" w:firstLineChars="1000"/>
        <w:rPr>
          <w:rFonts w:ascii="宋体" w:hAnsi="宋体" w:cs="宋体"/>
          <w:b/>
          <w:color w:val="auto"/>
          <w:kern w:val="0"/>
          <w:sz w:val="36"/>
          <w:szCs w:val="36"/>
          <w:highlight w:val="none"/>
        </w:rPr>
      </w:pPr>
    </w:p>
    <w:p w14:paraId="41713679">
      <w:pPr>
        <w:spacing w:line="360" w:lineRule="auto"/>
        <w:ind w:right="420" w:firstLine="3614" w:firstLineChars="1000"/>
        <w:rPr>
          <w:rFonts w:ascii="宋体" w:hAnsi="宋体" w:cs="宋体"/>
          <w:b/>
          <w:color w:val="auto"/>
          <w:kern w:val="0"/>
          <w:sz w:val="36"/>
          <w:szCs w:val="36"/>
          <w:highlight w:val="none"/>
        </w:rPr>
      </w:pPr>
    </w:p>
    <w:p w14:paraId="0D9FC119">
      <w:pPr>
        <w:spacing w:line="360" w:lineRule="auto"/>
        <w:ind w:right="420" w:firstLine="3614" w:firstLineChars="1000"/>
        <w:rPr>
          <w:rFonts w:ascii="宋体" w:hAnsi="宋体" w:cs="宋体"/>
          <w:b/>
          <w:color w:val="auto"/>
          <w:kern w:val="0"/>
          <w:sz w:val="36"/>
          <w:szCs w:val="36"/>
          <w:highlight w:val="none"/>
        </w:rPr>
      </w:pPr>
    </w:p>
    <w:p w14:paraId="5DA815A8">
      <w:pPr>
        <w:spacing w:line="360" w:lineRule="auto"/>
        <w:ind w:right="420" w:firstLine="3614" w:firstLineChars="1000"/>
        <w:rPr>
          <w:rFonts w:ascii="宋体" w:hAnsi="宋体" w:cs="宋体"/>
          <w:b/>
          <w:color w:val="auto"/>
          <w:kern w:val="0"/>
          <w:sz w:val="36"/>
          <w:szCs w:val="36"/>
          <w:highlight w:val="none"/>
        </w:rPr>
      </w:pPr>
    </w:p>
    <w:p w14:paraId="62B2BE06">
      <w:pPr>
        <w:spacing w:line="360" w:lineRule="auto"/>
        <w:ind w:right="420" w:firstLine="3614" w:firstLineChars="1000"/>
        <w:rPr>
          <w:rFonts w:ascii="宋体" w:hAnsi="宋体" w:cs="宋体"/>
          <w:b/>
          <w:color w:val="auto"/>
          <w:kern w:val="0"/>
          <w:sz w:val="36"/>
          <w:szCs w:val="36"/>
          <w:highlight w:val="none"/>
        </w:rPr>
      </w:pPr>
    </w:p>
    <w:p w14:paraId="7FBF1801">
      <w:pPr>
        <w:spacing w:line="360" w:lineRule="auto"/>
        <w:ind w:right="420" w:firstLine="3614" w:firstLineChars="1000"/>
        <w:rPr>
          <w:rFonts w:ascii="宋体" w:hAnsi="宋体" w:cs="宋体"/>
          <w:b/>
          <w:color w:val="auto"/>
          <w:kern w:val="0"/>
          <w:sz w:val="36"/>
          <w:szCs w:val="36"/>
          <w:highlight w:val="none"/>
        </w:rPr>
      </w:pPr>
    </w:p>
    <w:p w14:paraId="23CD7E32">
      <w:pPr>
        <w:spacing w:line="360" w:lineRule="auto"/>
        <w:ind w:right="420" w:firstLine="3614" w:firstLineChars="1000"/>
        <w:rPr>
          <w:rFonts w:ascii="宋体" w:hAnsi="宋体" w:cs="宋体"/>
          <w:b/>
          <w:color w:val="auto"/>
          <w:kern w:val="0"/>
          <w:sz w:val="36"/>
          <w:szCs w:val="36"/>
          <w:highlight w:val="none"/>
        </w:rPr>
      </w:pPr>
    </w:p>
    <w:p w14:paraId="3811B0D0">
      <w:pPr>
        <w:spacing w:line="360" w:lineRule="auto"/>
        <w:ind w:right="420" w:firstLine="3614" w:firstLineChars="1000"/>
        <w:rPr>
          <w:rFonts w:ascii="宋体" w:hAnsi="宋体" w:cs="宋体"/>
          <w:b/>
          <w:color w:val="auto"/>
          <w:kern w:val="0"/>
          <w:sz w:val="36"/>
          <w:szCs w:val="36"/>
          <w:highlight w:val="none"/>
        </w:rPr>
      </w:pPr>
    </w:p>
    <w:p w14:paraId="21ACF22A">
      <w:pPr>
        <w:spacing w:line="360" w:lineRule="auto"/>
        <w:ind w:right="420" w:firstLine="3614" w:firstLineChars="1000"/>
        <w:rPr>
          <w:rFonts w:ascii="宋体" w:hAnsi="宋体" w:cs="宋体"/>
          <w:b/>
          <w:color w:val="auto"/>
          <w:kern w:val="0"/>
          <w:sz w:val="36"/>
          <w:szCs w:val="36"/>
          <w:highlight w:val="none"/>
        </w:rPr>
      </w:pPr>
    </w:p>
    <w:p w14:paraId="3AA21D30">
      <w:pPr>
        <w:spacing w:line="360" w:lineRule="auto"/>
        <w:ind w:right="420" w:firstLine="3614" w:firstLineChars="1000"/>
        <w:rPr>
          <w:rFonts w:ascii="宋体" w:hAnsi="宋体" w:cs="宋体"/>
          <w:b/>
          <w:color w:val="auto"/>
          <w:kern w:val="0"/>
          <w:sz w:val="36"/>
          <w:szCs w:val="36"/>
          <w:highlight w:val="none"/>
        </w:rPr>
      </w:pPr>
    </w:p>
    <w:p w14:paraId="192A8FB8">
      <w:pPr>
        <w:spacing w:line="360" w:lineRule="auto"/>
        <w:ind w:right="420" w:firstLine="3614" w:firstLineChars="1000"/>
        <w:rPr>
          <w:rFonts w:ascii="宋体" w:hAnsi="宋体" w:cs="宋体"/>
          <w:b/>
          <w:color w:val="auto"/>
          <w:kern w:val="0"/>
          <w:sz w:val="36"/>
          <w:szCs w:val="36"/>
          <w:highlight w:val="none"/>
        </w:rPr>
      </w:pPr>
    </w:p>
    <w:p w14:paraId="0608ECA5">
      <w:pPr>
        <w:spacing w:line="360" w:lineRule="auto"/>
        <w:ind w:right="420" w:firstLine="3614" w:firstLineChars="1000"/>
        <w:rPr>
          <w:rFonts w:ascii="宋体" w:hAnsi="宋体" w:cs="宋体"/>
          <w:b/>
          <w:color w:val="auto"/>
          <w:kern w:val="0"/>
          <w:sz w:val="36"/>
          <w:szCs w:val="36"/>
          <w:highlight w:val="none"/>
        </w:rPr>
      </w:pPr>
    </w:p>
    <w:p w14:paraId="2288069F">
      <w:pPr>
        <w:spacing w:line="360" w:lineRule="auto"/>
        <w:ind w:right="420" w:firstLine="3614" w:firstLineChars="1000"/>
        <w:rPr>
          <w:rFonts w:ascii="宋体" w:hAnsi="宋体" w:cs="宋体"/>
          <w:b/>
          <w:color w:val="auto"/>
          <w:kern w:val="0"/>
          <w:sz w:val="36"/>
          <w:szCs w:val="36"/>
          <w:highlight w:val="none"/>
        </w:rPr>
      </w:pPr>
    </w:p>
    <w:p w14:paraId="7B200490">
      <w:pPr>
        <w:spacing w:line="360" w:lineRule="auto"/>
        <w:ind w:right="420" w:firstLine="3614" w:firstLineChars="1000"/>
        <w:rPr>
          <w:rFonts w:ascii="宋体" w:hAnsi="宋体" w:cs="宋体"/>
          <w:b/>
          <w:color w:val="auto"/>
          <w:kern w:val="0"/>
          <w:sz w:val="36"/>
          <w:szCs w:val="36"/>
          <w:highlight w:val="none"/>
        </w:rPr>
      </w:pPr>
    </w:p>
    <w:p w14:paraId="47F85585">
      <w:pPr>
        <w:rPr>
          <w:rFonts w:hint="eastAsia"/>
          <w:b/>
          <w:bCs/>
          <w:color w:val="auto"/>
          <w:sz w:val="44"/>
          <w:szCs w:val="44"/>
          <w:highlight w:val="none"/>
        </w:rPr>
      </w:pPr>
      <w:bookmarkStart w:id="530" w:name="_Toc465665161"/>
      <w:bookmarkStart w:id="531" w:name="_Toc20847"/>
      <w:r>
        <w:rPr>
          <w:rFonts w:hint="eastAsia"/>
          <w:b/>
          <w:bCs/>
          <w:color w:val="auto"/>
          <w:sz w:val="44"/>
          <w:szCs w:val="44"/>
          <w:highlight w:val="none"/>
        </w:rPr>
        <w:br w:type="page"/>
      </w:r>
    </w:p>
    <w:p w14:paraId="6677AFC7">
      <w:pPr>
        <w:bidi w:val="0"/>
        <w:jc w:val="center"/>
        <w:rPr>
          <w:b/>
          <w:bCs/>
          <w:color w:val="auto"/>
          <w:sz w:val="44"/>
          <w:szCs w:val="44"/>
          <w:highlight w:val="none"/>
        </w:rPr>
      </w:pPr>
      <w:r>
        <w:rPr>
          <w:rFonts w:hint="eastAsia"/>
          <w:b/>
          <w:bCs/>
          <w:color w:val="auto"/>
          <w:sz w:val="44"/>
          <w:szCs w:val="44"/>
          <w:highlight w:val="none"/>
        </w:rPr>
        <w:t>附件</w:t>
      </w:r>
      <w:bookmarkEnd w:id="530"/>
      <w:bookmarkEnd w:id="531"/>
    </w:p>
    <w:p w14:paraId="202F7A65">
      <w:pPr>
        <w:spacing w:line="360" w:lineRule="auto"/>
        <w:rPr>
          <w:rFonts w:hint="eastAsia" w:ascii="宋体" w:hAnsi="宋体" w:cs="宋体"/>
          <w:b/>
          <w:color w:val="auto"/>
          <w:spacing w:val="6"/>
          <w:sz w:val="32"/>
          <w:szCs w:val="32"/>
          <w:highlight w:val="none"/>
        </w:rPr>
      </w:pPr>
    </w:p>
    <w:p w14:paraId="21E1D2A9">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AA3FD80">
      <w:pPr>
        <w:spacing w:line="360" w:lineRule="auto"/>
        <w:jc w:val="center"/>
        <w:rPr>
          <w:rFonts w:ascii="宋体" w:hAnsi="宋体" w:cs="宋体"/>
          <w:b/>
          <w:color w:val="auto"/>
          <w:spacing w:val="6"/>
          <w:sz w:val="32"/>
          <w:szCs w:val="32"/>
          <w:highlight w:val="none"/>
        </w:rPr>
      </w:pPr>
      <w:bookmarkStart w:id="532" w:name="OLE_LINK14"/>
      <w:bookmarkStart w:id="533" w:name="OLE_LINK13"/>
      <w:r>
        <w:rPr>
          <w:rFonts w:hint="eastAsia" w:ascii="宋体" w:hAnsi="宋体" w:cs="宋体"/>
          <w:b/>
          <w:color w:val="auto"/>
          <w:spacing w:val="6"/>
          <w:sz w:val="32"/>
          <w:szCs w:val="32"/>
          <w:highlight w:val="none"/>
        </w:rPr>
        <w:t>残疾人福利性单位声明函</w:t>
      </w:r>
    </w:p>
    <w:bookmarkEnd w:id="532"/>
    <w:bookmarkEnd w:id="533"/>
    <w:p w14:paraId="34D80E32">
      <w:pPr>
        <w:spacing w:line="360" w:lineRule="auto"/>
        <w:rPr>
          <w:rFonts w:ascii="宋体" w:hAnsi="宋体" w:cs="宋体"/>
          <w:b/>
          <w:color w:val="auto"/>
          <w:spacing w:val="6"/>
          <w:sz w:val="30"/>
          <w:szCs w:val="30"/>
          <w:highlight w:val="none"/>
        </w:rPr>
      </w:pPr>
    </w:p>
    <w:p w14:paraId="49C3EA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5D01F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C8404AB">
      <w:pPr>
        <w:spacing w:line="360" w:lineRule="auto"/>
        <w:ind w:firstLine="480" w:firstLineChars="200"/>
        <w:rPr>
          <w:rFonts w:ascii="宋体" w:hAnsi="宋体" w:cs="宋体"/>
          <w:color w:val="auto"/>
          <w:sz w:val="24"/>
          <w:highlight w:val="none"/>
        </w:rPr>
      </w:pPr>
    </w:p>
    <w:p w14:paraId="3B4A38FD">
      <w:pPr>
        <w:spacing w:line="360" w:lineRule="auto"/>
        <w:ind w:firstLine="480" w:firstLineChars="200"/>
        <w:rPr>
          <w:rFonts w:ascii="宋体" w:hAnsi="宋体" w:cs="宋体"/>
          <w:color w:val="auto"/>
          <w:sz w:val="24"/>
          <w:highlight w:val="none"/>
        </w:rPr>
      </w:pPr>
    </w:p>
    <w:p w14:paraId="0DD3237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lang w:val="en-US" w:eastAsia="zh-CN"/>
        </w:rPr>
        <w:t>电子盖章</w:t>
      </w:r>
      <w:r>
        <w:rPr>
          <w:rFonts w:hint="eastAsia" w:ascii="宋体" w:hAnsi="宋体" w:cs="宋体"/>
          <w:color w:val="auto"/>
          <w:kern w:val="0"/>
          <w:sz w:val="24"/>
          <w:highlight w:val="none"/>
          <w:lang w:val="zh-CN"/>
        </w:rPr>
        <w:t>）：</w:t>
      </w:r>
    </w:p>
    <w:p w14:paraId="0A03E78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D17F6AF">
      <w:pPr>
        <w:spacing w:line="360" w:lineRule="auto"/>
        <w:ind w:firstLine="480" w:firstLineChars="200"/>
        <w:rPr>
          <w:rFonts w:ascii="宋体" w:hAnsi="宋体" w:cs="宋体"/>
          <w:color w:val="auto"/>
          <w:sz w:val="24"/>
          <w:highlight w:val="none"/>
        </w:rPr>
      </w:pPr>
    </w:p>
    <w:p w14:paraId="55B9CE5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注：</w:t>
      </w:r>
    </w:p>
    <w:p w14:paraId="612479F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享受政府采购支持政策的残疾人福利性单位应当同时满足以下条件：</w:t>
      </w:r>
    </w:p>
    <w:p w14:paraId="1B605EE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（一）安置的残疾人占本单位在职职工人数的比例不低于25%（含25%），并且安置的残疾人人数不少于10人（含10人）；</w:t>
      </w:r>
    </w:p>
    <w:p w14:paraId="1730A36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（二）依法与安置的每位残疾人签订了一年以上（含一年）的劳动合同或服务协议；</w:t>
      </w:r>
    </w:p>
    <w:p w14:paraId="35C50A2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（三）为安置的每位残疾人按月足额缴纳了基本养老保险、基本医疗保险、失业保险、工伤保险和生育保险等社会保险费；</w:t>
      </w:r>
    </w:p>
    <w:p w14:paraId="38F9F04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（四）通过银行等金融机构向安置的每位残疾人，按月支付了不低于单位所在区县适用的经省级人民政府批准的月最低工资标准的工资；</w:t>
      </w:r>
    </w:p>
    <w:p w14:paraId="085B29A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（五）提供本单位制造的货物、承担的工程或者服务（以下简称产品），或者提供其他残疾人福利性单位制造的货物（不包括使用非残疾人福利性单位注册商标的货物）。</w:t>
      </w:r>
    </w:p>
    <w:p w14:paraId="1D09714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126D27E">
      <w:pPr>
        <w:spacing w:line="360" w:lineRule="auto"/>
        <w:ind w:firstLine="420" w:firstLineChars="200"/>
        <w:rPr>
          <w:rFonts w:ascii="宋体" w:hAnsi="宋体" w:cs="宋体"/>
          <w:color w:val="auto"/>
          <w:highlight w:val="none"/>
        </w:rPr>
      </w:pPr>
    </w:p>
    <w:p w14:paraId="76113F17">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1CC9F0B5">
      <w:pPr>
        <w:spacing w:line="360" w:lineRule="auto"/>
        <w:rPr>
          <w:rFonts w:ascii="宋体" w:hAnsi="宋体" w:cs="宋体"/>
          <w:color w:val="auto"/>
          <w:sz w:val="24"/>
          <w:highlight w:val="none"/>
          <w:u w:val="single"/>
        </w:rPr>
      </w:pPr>
    </w:p>
    <w:p w14:paraId="14A8003C">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6CEDC4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836C5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D9005AD">
      <w:pPr>
        <w:spacing w:line="360" w:lineRule="auto"/>
        <w:ind w:firstLine="494"/>
        <w:rPr>
          <w:rFonts w:ascii="宋体" w:hAnsi="宋体" w:cs="宋体"/>
          <w:color w:val="auto"/>
          <w:sz w:val="24"/>
          <w:highlight w:val="none"/>
        </w:rPr>
      </w:pPr>
    </w:p>
    <w:p w14:paraId="7D58F65C">
      <w:pPr>
        <w:spacing w:line="360" w:lineRule="auto"/>
        <w:ind w:firstLine="494"/>
        <w:rPr>
          <w:rFonts w:ascii="宋体" w:hAnsi="宋体" w:cs="宋体"/>
          <w:color w:val="auto"/>
          <w:sz w:val="24"/>
          <w:highlight w:val="none"/>
        </w:rPr>
      </w:pPr>
    </w:p>
    <w:p w14:paraId="5909BAEB">
      <w:pPr>
        <w:spacing w:line="360" w:lineRule="auto"/>
        <w:ind w:firstLine="494"/>
        <w:rPr>
          <w:rFonts w:ascii="宋体" w:hAnsi="宋体" w:cs="宋体"/>
          <w:color w:val="auto"/>
          <w:sz w:val="24"/>
          <w:highlight w:val="none"/>
        </w:rPr>
      </w:pPr>
    </w:p>
    <w:p w14:paraId="0DE4D437">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w:t>
      </w:r>
      <w:r>
        <w:rPr>
          <w:rFonts w:hint="eastAsia" w:ascii="宋体" w:hAnsi="宋体" w:cs="宋体"/>
          <w:color w:val="auto"/>
          <w:sz w:val="24"/>
          <w:highlight w:val="none"/>
          <w:lang w:val="en-US" w:eastAsia="zh-CN"/>
        </w:rPr>
        <w:t>电子盖章</w:t>
      </w:r>
      <w:r>
        <w:rPr>
          <w:rFonts w:hint="eastAsia" w:ascii="宋体" w:hAnsi="宋体" w:cs="宋体"/>
          <w:color w:val="auto"/>
          <w:sz w:val="24"/>
          <w:highlight w:val="none"/>
        </w:rPr>
        <w:t>）：</w:t>
      </w:r>
    </w:p>
    <w:p w14:paraId="6BF09AA3">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F9CAC3F">
      <w:pPr>
        <w:rPr>
          <w:rFonts w:ascii="宋体" w:hAnsi="宋体" w:cs="宋体"/>
          <w:color w:val="auto"/>
          <w:sz w:val="24"/>
          <w:highlight w:val="none"/>
        </w:rPr>
      </w:pPr>
      <w:r>
        <w:rPr>
          <w:rFonts w:hint="eastAsia" w:ascii="宋体" w:hAnsi="宋体" w:cs="宋体"/>
          <w:b/>
          <w:bCs/>
          <w:color w:val="auto"/>
          <w:sz w:val="24"/>
          <w:highlight w:val="none"/>
        </w:rPr>
        <w:t>附：</w:t>
      </w:r>
    </w:p>
    <w:p w14:paraId="3B9BDB8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05698FA9">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05698FA9">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5F61F87">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5F61F87">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56172E22">
      <w:pPr>
        <w:autoSpaceDE w:val="0"/>
        <w:autoSpaceDN w:val="0"/>
        <w:jc w:val="center"/>
        <w:rPr>
          <w:rFonts w:ascii="宋体" w:hAnsi="宋体" w:cs="宋体"/>
          <w:b/>
          <w:color w:val="auto"/>
          <w:spacing w:val="6"/>
          <w:sz w:val="32"/>
          <w:szCs w:val="32"/>
          <w:highlight w:val="none"/>
        </w:rPr>
      </w:pPr>
    </w:p>
    <w:p w14:paraId="1D913EC7">
      <w:pPr>
        <w:autoSpaceDE w:val="0"/>
        <w:autoSpaceDN w:val="0"/>
        <w:jc w:val="center"/>
        <w:rPr>
          <w:rFonts w:ascii="宋体" w:hAnsi="宋体" w:cs="宋体"/>
          <w:b/>
          <w:color w:val="auto"/>
          <w:spacing w:val="6"/>
          <w:sz w:val="32"/>
          <w:szCs w:val="32"/>
          <w:highlight w:val="none"/>
        </w:rPr>
      </w:pPr>
    </w:p>
    <w:p w14:paraId="03E51FBA">
      <w:pPr>
        <w:autoSpaceDE w:val="0"/>
        <w:autoSpaceDN w:val="0"/>
        <w:jc w:val="center"/>
        <w:rPr>
          <w:rFonts w:ascii="宋体" w:hAnsi="宋体" w:cs="宋体"/>
          <w:b/>
          <w:color w:val="auto"/>
          <w:spacing w:val="6"/>
          <w:sz w:val="32"/>
          <w:szCs w:val="32"/>
          <w:highlight w:val="none"/>
        </w:rPr>
      </w:pPr>
    </w:p>
    <w:p w14:paraId="691B546B">
      <w:pPr>
        <w:autoSpaceDE w:val="0"/>
        <w:autoSpaceDN w:val="0"/>
        <w:jc w:val="center"/>
        <w:rPr>
          <w:rFonts w:ascii="宋体" w:hAnsi="宋体" w:cs="宋体"/>
          <w:b/>
          <w:color w:val="auto"/>
          <w:spacing w:val="6"/>
          <w:sz w:val="32"/>
          <w:szCs w:val="32"/>
          <w:highlight w:val="none"/>
        </w:rPr>
      </w:pPr>
    </w:p>
    <w:p w14:paraId="32DA60A5">
      <w:pPr>
        <w:autoSpaceDE w:val="0"/>
        <w:autoSpaceDN w:val="0"/>
        <w:jc w:val="center"/>
        <w:rPr>
          <w:rFonts w:ascii="宋体" w:hAnsi="宋体" w:cs="宋体"/>
          <w:b/>
          <w:color w:val="auto"/>
          <w:spacing w:val="6"/>
          <w:sz w:val="32"/>
          <w:szCs w:val="32"/>
          <w:highlight w:val="none"/>
        </w:rPr>
      </w:pPr>
    </w:p>
    <w:p w14:paraId="6D03913A">
      <w:pPr>
        <w:autoSpaceDE w:val="0"/>
        <w:autoSpaceDN w:val="0"/>
        <w:jc w:val="center"/>
        <w:rPr>
          <w:rFonts w:ascii="宋体" w:hAnsi="宋体" w:cs="宋体"/>
          <w:b/>
          <w:color w:val="auto"/>
          <w:spacing w:val="6"/>
          <w:sz w:val="32"/>
          <w:szCs w:val="32"/>
          <w:highlight w:val="none"/>
        </w:rPr>
      </w:pPr>
    </w:p>
    <w:p w14:paraId="2178E8B1">
      <w:pPr>
        <w:autoSpaceDE w:val="0"/>
        <w:autoSpaceDN w:val="0"/>
        <w:jc w:val="center"/>
        <w:rPr>
          <w:rFonts w:ascii="宋体" w:hAnsi="宋体" w:cs="宋体"/>
          <w:b/>
          <w:color w:val="auto"/>
          <w:spacing w:val="6"/>
          <w:sz w:val="32"/>
          <w:szCs w:val="32"/>
          <w:highlight w:val="none"/>
        </w:rPr>
      </w:pPr>
    </w:p>
    <w:p w14:paraId="4FB8804F">
      <w:pPr>
        <w:autoSpaceDE w:val="0"/>
        <w:autoSpaceDN w:val="0"/>
        <w:jc w:val="center"/>
        <w:rPr>
          <w:rFonts w:ascii="宋体" w:hAnsi="宋体" w:cs="宋体"/>
          <w:b/>
          <w:color w:val="auto"/>
          <w:spacing w:val="6"/>
          <w:sz w:val="32"/>
          <w:szCs w:val="32"/>
          <w:highlight w:val="none"/>
        </w:rPr>
      </w:pPr>
    </w:p>
    <w:p w14:paraId="5B9DA17B">
      <w:pPr>
        <w:autoSpaceDE w:val="0"/>
        <w:autoSpaceDN w:val="0"/>
        <w:jc w:val="center"/>
        <w:rPr>
          <w:rFonts w:ascii="宋体" w:hAnsi="宋体" w:cs="宋体"/>
          <w:b/>
          <w:color w:val="auto"/>
          <w:spacing w:val="6"/>
          <w:sz w:val="32"/>
          <w:szCs w:val="32"/>
          <w:highlight w:val="none"/>
        </w:rPr>
      </w:pPr>
    </w:p>
    <w:p w14:paraId="7B5149E6">
      <w:pPr>
        <w:autoSpaceDE w:val="0"/>
        <w:autoSpaceDN w:val="0"/>
        <w:jc w:val="center"/>
        <w:rPr>
          <w:rFonts w:ascii="宋体" w:hAnsi="宋体" w:cs="宋体"/>
          <w:b/>
          <w:color w:val="auto"/>
          <w:spacing w:val="6"/>
          <w:sz w:val="32"/>
          <w:szCs w:val="32"/>
          <w:highlight w:val="none"/>
        </w:rPr>
      </w:pPr>
    </w:p>
    <w:p w14:paraId="46AB177C">
      <w:pPr>
        <w:autoSpaceDE w:val="0"/>
        <w:autoSpaceDN w:val="0"/>
        <w:jc w:val="center"/>
        <w:rPr>
          <w:rFonts w:ascii="宋体" w:hAnsi="宋体" w:cs="宋体"/>
          <w:b/>
          <w:color w:val="auto"/>
          <w:spacing w:val="6"/>
          <w:sz w:val="32"/>
          <w:szCs w:val="32"/>
          <w:highlight w:val="none"/>
        </w:rPr>
      </w:pPr>
    </w:p>
    <w:p w14:paraId="200EE854">
      <w:pPr>
        <w:autoSpaceDE w:val="0"/>
        <w:autoSpaceDN w:val="0"/>
        <w:jc w:val="center"/>
        <w:rPr>
          <w:rFonts w:ascii="宋体" w:hAnsi="宋体" w:cs="宋体"/>
          <w:b/>
          <w:color w:val="auto"/>
          <w:spacing w:val="6"/>
          <w:sz w:val="32"/>
          <w:szCs w:val="32"/>
          <w:highlight w:val="none"/>
        </w:rPr>
      </w:pPr>
    </w:p>
    <w:p w14:paraId="4A7ACE7B">
      <w:pPr>
        <w:autoSpaceDE w:val="0"/>
        <w:autoSpaceDN w:val="0"/>
        <w:jc w:val="center"/>
        <w:rPr>
          <w:rFonts w:ascii="宋体" w:hAnsi="宋体" w:cs="宋体"/>
          <w:b/>
          <w:color w:val="auto"/>
          <w:spacing w:val="6"/>
          <w:sz w:val="32"/>
          <w:szCs w:val="32"/>
          <w:highlight w:val="none"/>
        </w:rPr>
      </w:pPr>
    </w:p>
    <w:p w14:paraId="70E9675A">
      <w:pPr>
        <w:autoSpaceDE w:val="0"/>
        <w:autoSpaceDN w:val="0"/>
        <w:jc w:val="center"/>
        <w:rPr>
          <w:rFonts w:ascii="宋体" w:hAnsi="宋体" w:cs="宋体"/>
          <w:b/>
          <w:color w:val="auto"/>
          <w:spacing w:val="6"/>
          <w:sz w:val="32"/>
          <w:szCs w:val="32"/>
          <w:highlight w:val="none"/>
        </w:rPr>
      </w:pPr>
    </w:p>
    <w:p w14:paraId="592B5E61">
      <w:pPr>
        <w:autoSpaceDE w:val="0"/>
        <w:autoSpaceDN w:val="0"/>
        <w:jc w:val="center"/>
        <w:rPr>
          <w:rFonts w:ascii="宋体" w:hAnsi="宋体" w:cs="宋体"/>
          <w:b/>
          <w:color w:val="auto"/>
          <w:spacing w:val="6"/>
          <w:sz w:val="32"/>
          <w:szCs w:val="32"/>
          <w:highlight w:val="none"/>
        </w:rPr>
      </w:pPr>
    </w:p>
    <w:p w14:paraId="3414CC3B">
      <w:pPr>
        <w:autoSpaceDE w:val="0"/>
        <w:autoSpaceDN w:val="0"/>
        <w:jc w:val="center"/>
        <w:rPr>
          <w:rFonts w:ascii="宋体" w:hAnsi="宋体" w:cs="宋体"/>
          <w:b/>
          <w:color w:val="auto"/>
          <w:spacing w:val="6"/>
          <w:sz w:val="32"/>
          <w:szCs w:val="32"/>
          <w:highlight w:val="none"/>
        </w:rPr>
      </w:pPr>
    </w:p>
    <w:p w14:paraId="1BE04F47">
      <w:pPr>
        <w:autoSpaceDE w:val="0"/>
        <w:autoSpaceDN w:val="0"/>
        <w:jc w:val="center"/>
        <w:rPr>
          <w:rFonts w:ascii="宋体" w:hAnsi="宋体" w:cs="宋体"/>
          <w:b/>
          <w:color w:val="auto"/>
          <w:spacing w:val="6"/>
          <w:sz w:val="32"/>
          <w:szCs w:val="32"/>
          <w:highlight w:val="none"/>
        </w:rPr>
      </w:pPr>
    </w:p>
    <w:p w14:paraId="55E8F80D">
      <w:pPr>
        <w:rPr>
          <w:rFonts w:hint="eastAsia"/>
          <w:b/>
          <w:bCs/>
          <w:color w:val="auto"/>
          <w:sz w:val="32"/>
          <w:szCs w:val="32"/>
          <w:highlight w:val="none"/>
        </w:rPr>
      </w:pPr>
      <w:bookmarkStart w:id="534" w:name="_Toc27865"/>
      <w:r>
        <w:rPr>
          <w:rFonts w:hint="eastAsia"/>
          <w:b/>
          <w:bCs/>
          <w:color w:val="auto"/>
          <w:sz w:val="32"/>
          <w:szCs w:val="32"/>
          <w:highlight w:val="none"/>
        </w:rPr>
        <w:br w:type="page"/>
      </w:r>
    </w:p>
    <w:p w14:paraId="052FAF8D">
      <w:pPr>
        <w:bidi w:val="0"/>
        <w:jc w:val="center"/>
        <w:rPr>
          <w:rFonts w:hint="eastAsia" w:eastAsia="宋体"/>
          <w:b/>
          <w:bCs/>
          <w:color w:val="auto"/>
          <w:sz w:val="32"/>
          <w:szCs w:val="32"/>
          <w:highlight w:val="none"/>
          <w:lang w:eastAsia="zh-CN"/>
        </w:rPr>
      </w:pPr>
      <w:r>
        <w:rPr>
          <w:rFonts w:hint="eastAsia"/>
          <w:b/>
          <w:bCs/>
          <w:color w:val="auto"/>
          <w:sz w:val="32"/>
          <w:szCs w:val="32"/>
          <w:highlight w:val="none"/>
        </w:rPr>
        <w:t>附件</w:t>
      </w:r>
      <w:r>
        <w:rPr>
          <w:rFonts w:hint="eastAsia"/>
          <w:b/>
          <w:bCs/>
          <w:color w:val="auto"/>
          <w:sz w:val="32"/>
          <w:szCs w:val="32"/>
          <w:highlight w:val="none"/>
          <w:lang w:val="en-US" w:eastAsia="zh-CN"/>
        </w:rPr>
        <w:t>3</w:t>
      </w:r>
      <w:r>
        <w:rPr>
          <w:rFonts w:hint="eastAsia"/>
          <w:b/>
          <w:bCs/>
          <w:color w:val="auto"/>
          <w:sz w:val="32"/>
          <w:szCs w:val="32"/>
          <w:highlight w:val="none"/>
        </w:rPr>
        <w:t>：联合协议</w:t>
      </w:r>
      <w:bookmarkEnd w:id="534"/>
      <w:r>
        <w:rPr>
          <w:rFonts w:hint="eastAsia"/>
          <w:b/>
          <w:bCs/>
          <w:color w:val="auto"/>
          <w:sz w:val="32"/>
          <w:szCs w:val="32"/>
          <w:highlight w:val="none"/>
          <w:lang w:eastAsia="zh-CN"/>
        </w:rPr>
        <w:t>（</w:t>
      </w:r>
      <w:r>
        <w:rPr>
          <w:rFonts w:hint="eastAsia"/>
          <w:b/>
          <w:bCs/>
          <w:color w:val="auto"/>
          <w:sz w:val="32"/>
          <w:szCs w:val="32"/>
          <w:highlight w:val="none"/>
          <w:lang w:val="en-US" w:eastAsia="zh-CN"/>
        </w:rPr>
        <w:t>如适用</w:t>
      </w:r>
      <w:r>
        <w:rPr>
          <w:rFonts w:hint="eastAsia"/>
          <w:b/>
          <w:bCs/>
          <w:color w:val="auto"/>
          <w:sz w:val="32"/>
          <w:szCs w:val="32"/>
          <w:highlight w:val="none"/>
          <w:lang w:eastAsia="zh-CN"/>
        </w:rPr>
        <w:t>）</w:t>
      </w:r>
    </w:p>
    <w:p w14:paraId="4C8EA62D">
      <w:pPr>
        <w:pStyle w:val="63"/>
        <w:rPr>
          <w:color w:val="auto"/>
          <w:highlight w:val="none"/>
        </w:rPr>
      </w:pPr>
    </w:p>
    <w:p w14:paraId="524CC98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07982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招标编号：（采购编号）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71D4344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04276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482FF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F50D71C">
      <w:pPr>
        <w:snapToGrid w:val="0"/>
        <w:spacing w:line="360" w:lineRule="auto"/>
        <w:ind w:firstLine="576"/>
        <w:rPr>
          <w:rFonts w:ascii="宋体" w:hAnsi="宋体" w:cs="宋体"/>
          <w:color w:val="auto"/>
          <w:kern w:val="0"/>
          <w:sz w:val="24"/>
          <w:highlight w:val="none"/>
          <w:lang w:val="zh-CN"/>
        </w:rPr>
      </w:pPr>
      <w:bookmarkStart w:id="53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9B40A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DDE91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35"/>
    <w:p w14:paraId="002D44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B4545A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w:t>
      </w:r>
      <w:r>
        <w:rPr>
          <w:rFonts w:hint="eastAsia" w:ascii="宋体" w:hAnsi="宋体" w:cs="宋体"/>
          <w:color w:val="auto"/>
          <w:kern w:val="0"/>
          <w:sz w:val="24"/>
          <w:highlight w:val="none"/>
          <w:lang w:val="en-US" w:eastAsia="zh-CN"/>
        </w:rPr>
        <w:t>货物</w:t>
      </w:r>
      <w:r>
        <w:rPr>
          <w:rFonts w:hint="eastAsia" w:ascii="宋体" w:hAnsi="宋体" w:cs="宋体"/>
          <w:color w:val="auto"/>
          <w:kern w:val="0"/>
          <w:sz w:val="24"/>
          <w:highlight w:val="none"/>
        </w:rPr>
        <w:t>由小微企业</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943B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568545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6D5F7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F8118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197B74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2E765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F5FE6A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hint="eastAsia" w:ascii="宋体" w:hAnsi="宋体" w:cs="宋体"/>
          <w:color w:val="auto"/>
          <w:kern w:val="0"/>
          <w:sz w:val="24"/>
          <w:highlight w:val="none"/>
          <w:lang w:val="en-US" w:eastAsia="zh-CN"/>
        </w:rPr>
        <w:t>电子签章/公章）</w:t>
      </w:r>
      <w:r>
        <w:rPr>
          <w:rFonts w:hint="eastAsia" w:ascii="宋体" w:hAnsi="宋体" w:cs="宋体"/>
          <w:color w:val="auto"/>
          <w:kern w:val="0"/>
          <w:sz w:val="24"/>
          <w:highlight w:val="none"/>
          <w:lang w:val="zh-CN"/>
        </w:rPr>
        <w:t>：</w:t>
      </w:r>
    </w:p>
    <w:p w14:paraId="51D136E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hint="eastAsia" w:ascii="宋体" w:hAnsi="宋体" w:cs="宋体"/>
          <w:color w:val="auto"/>
          <w:kern w:val="0"/>
          <w:sz w:val="24"/>
          <w:highlight w:val="none"/>
          <w:lang w:val="en-US" w:eastAsia="zh-CN"/>
        </w:rPr>
        <w:t>电子签章/公章）</w:t>
      </w:r>
      <w:r>
        <w:rPr>
          <w:rFonts w:hint="eastAsia" w:ascii="宋体" w:hAnsi="宋体" w:cs="宋体"/>
          <w:color w:val="auto"/>
          <w:kern w:val="0"/>
          <w:sz w:val="24"/>
          <w:highlight w:val="none"/>
          <w:lang w:val="zh-CN"/>
        </w:rPr>
        <w:t>：</w:t>
      </w:r>
    </w:p>
    <w:p w14:paraId="796727C5">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92A5DA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CED06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C5934B3">
      <w:pPr>
        <w:autoSpaceDE w:val="0"/>
        <w:autoSpaceDN w:val="0"/>
        <w:jc w:val="center"/>
        <w:rPr>
          <w:rFonts w:ascii="宋体" w:hAnsi="宋体" w:cs="宋体"/>
          <w:b/>
          <w:color w:val="auto"/>
          <w:spacing w:val="6"/>
          <w:sz w:val="32"/>
          <w:szCs w:val="32"/>
          <w:highlight w:val="none"/>
        </w:rPr>
      </w:pPr>
    </w:p>
    <w:p w14:paraId="1A912A1F">
      <w:pPr>
        <w:autoSpaceDE w:val="0"/>
        <w:autoSpaceDN w:val="0"/>
        <w:jc w:val="center"/>
        <w:rPr>
          <w:rFonts w:ascii="宋体" w:hAnsi="宋体" w:cs="宋体"/>
          <w:b/>
          <w:color w:val="auto"/>
          <w:spacing w:val="6"/>
          <w:sz w:val="32"/>
          <w:szCs w:val="32"/>
          <w:highlight w:val="none"/>
        </w:rPr>
      </w:pPr>
    </w:p>
    <w:p w14:paraId="0BA28EEF">
      <w:pPr>
        <w:autoSpaceDE w:val="0"/>
        <w:autoSpaceDN w:val="0"/>
        <w:jc w:val="center"/>
        <w:rPr>
          <w:rFonts w:ascii="宋体" w:hAnsi="宋体" w:cs="宋体"/>
          <w:b/>
          <w:color w:val="auto"/>
          <w:spacing w:val="6"/>
          <w:sz w:val="32"/>
          <w:szCs w:val="32"/>
          <w:highlight w:val="none"/>
        </w:rPr>
      </w:pPr>
    </w:p>
    <w:p w14:paraId="1B31F911">
      <w:pPr>
        <w:autoSpaceDE w:val="0"/>
        <w:autoSpaceDN w:val="0"/>
        <w:jc w:val="center"/>
        <w:rPr>
          <w:rFonts w:ascii="宋体" w:hAnsi="宋体" w:cs="宋体"/>
          <w:b/>
          <w:color w:val="auto"/>
          <w:spacing w:val="6"/>
          <w:sz w:val="32"/>
          <w:szCs w:val="32"/>
          <w:highlight w:val="none"/>
        </w:rPr>
      </w:pPr>
    </w:p>
    <w:p w14:paraId="3066AD7B">
      <w:pPr>
        <w:autoSpaceDE w:val="0"/>
        <w:autoSpaceDN w:val="0"/>
        <w:jc w:val="center"/>
        <w:rPr>
          <w:rFonts w:ascii="宋体" w:hAnsi="宋体" w:cs="宋体"/>
          <w:b/>
          <w:color w:val="auto"/>
          <w:spacing w:val="6"/>
          <w:sz w:val="32"/>
          <w:szCs w:val="32"/>
          <w:highlight w:val="none"/>
        </w:rPr>
      </w:pPr>
    </w:p>
    <w:p w14:paraId="751ED555">
      <w:pPr>
        <w:autoSpaceDE w:val="0"/>
        <w:autoSpaceDN w:val="0"/>
        <w:jc w:val="center"/>
        <w:rPr>
          <w:rFonts w:ascii="宋体" w:hAnsi="宋体" w:cs="宋体"/>
          <w:b/>
          <w:color w:val="auto"/>
          <w:spacing w:val="6"/>
          <w:sz w:val="32"/>
          <w:szCs w:val="32"/>
          <w:highlight w:val="none"/>
        </w:rPr>
      </w:pPr>
    </w:p>
    <w:p w14:paraId="30EF5D55">
      <w:pPr>
        <w:autoSpaceDE w:val="0"/>
        <w:autoSpaceDN w:val="0"/>
        <w:jc w:val="center"/>
        <w:rPr>
          <w:rFonts w:ascii="宋体" w:hAnsi="宋体" w:cs="宋体"/>
          <w:b/>
          <w:color w:val="auto"/>
          <w:spacing w:val="6"/>
          <w:sz w:val="32"/>
          <w:szCs w:val="32"/>
          <w:highlight w:val="none"/>
        </w:rPr>
      </w:pPr>
    </w:p>
    <w:p w14:paraId="4C24AE37">
      <w:pPr>
        <w:autoSpaceDE w:val="0"/>
        <w:autoSpaceDN w:val="0"/>
        <w:jc w:val="center"/>
        <w:rPr>
          <w:rFonts w:ascii="宋体" w:hAnsi="宋体" w:cs="宋体"/>
          <w:b/>
          <w:color w:val="auto"/>
          <w:spacing w:val="6"/>
          <w:sz w:val="32"/>
          <w:szCs w:val="32"/>
          <w:highlight w:val="none"/>
        </w:rPr>
      </w:pPr>
    </w:p>
    <w:p w14:paraId="2DBE78B1">
      <w:pPr>
        <w:autoSpaceDE w:val="0"/>
        <w:autoSpaceDN w:val="0"/>
        <w:jc w:val="center"/>
        <w:rPr>
          <w:rFonts w:ascii="宋体" w:hAnsi="宋体" w:cs="宋体"/>
          <w:b/>
          <w:color w:val="auto"/>
          <w:spacing w:val="6"/>
          <w:sz w:val="32"/>
          <w:szCs w:val="32"/>
          <w:highlight w:val="none"/>
        </w:rPr>
      </w:pPr>
    </w:p>
    <w:p w14:paraId="14B5652C">
      <w:pPr>
        <w:autoSpaceDE w:val="0"/>
        <w:autoSpaceDN w:val="0"/>
        <w:jc w:val="center"/>
        <w:rPr>
          <w:rFonts w:ascii="宋体" w:hAnsi="宋体" w:cs="宋体"/>
          <w:b/>
          <w:color w:val="auto"/>
          <w:spacing w:val="6"/>
          <w:sz w:val="32"/>
          <w:szCs w:val="32"/>
          <w:highlight w:val="none"/>
        </w:rPr>
      </w:pPr>
    </w:p>
    <w:p w14:paraId="66E770E0">
      <w:pPr>
        <w:autoSpaceDE w:val="0"/>
        <w:autoSpaceDN w:val="0"/>
        <w:jc w:val="center"/>
        <w:rPr>
          <w:rFonts w:ascii="宋体" w:hAnsi="宋体" w:cs="宋体"/>
          <w:b/>
          <w:color w:val="auto"/>
          <w:spacing w:val="6"/>
          <w:sz w:val="32"/>
          <w:szCs w:val="32"/>
          <w:highlight w:val="none"/>
        </w:rPr>
      </w:pPr>
    </w:p>
    <w:p w14:paraId="0AF6C1BC">
      <w:pPr>
        <w:autoSpaceDE w:val="0"/>
        <w:autoSpaceDN w:val="0"/>
        <w:jc w:val="center"/>
        <w:rPr>
          <w:rFonts w:ascii="宋体" w:hAnsi="宋体" w:cs="宋体"/>
          <w:b/>
          <w:color w:val="auto"/>
          <w:spacing w:val="6"/>
          <w:sz w:val="32"/>
          <w:szCs w:val="32"/>
          <w:highlight w:val="none"/>
        </w:rPr>
      </w:pPr>
    </w:p>
    <w:p w14:paraId="54316592">
      <w:pPr>
        <w:autoSpaceDE w:val="0"/>
        <w:autoSpaceDN w:val="0"/>
        <w:jc w:val="center"/>
        <w:rPr>
          <w:rFonts w:ascii="宋体" w:hAnsi="宋体" w:cs="宋体"/>
          <w:b/>
          <w:color w:val="auto"/>
          <w:spacing w:val="6"/>
          <w:sz w:val="32"/>
          <w:szCs w:val="32"/>
          <w:highlight w:val="none"/>
        </w:rPr>
      </w:pPr>
    </w:p>
    <w:p w14:paraId="7768B566">
      <w:pPr>
        <w:autoSpaceDE w:val="0"/>
        <w:autoSpaceDN w:val="0"/>
        <w:jc w:val="center"/>
        <w:rPr>
          <w:rFonts w:ascii="宋体" w:hAnsi="宋体" w:cs="宋体"/>
          <w:b/>
          <w:color w:val="auto"/>
          <w:spacing w:val="6"/>
          <w:sz w:val="32"/>
          <w:szCs w:val="32"/>
          <w:highlight w:val="none"/>
        </w:rPr>
      </w:pPr>
    </w:p>
    <w:p w14:paraId="6BC78F26">
      <w:pPr>
        <w:autoSpaceDE w:val="0"/>
        <w:autoSpaceDN w:val="0"/>
        <w:jc w:val="center"/>
        <w:rPr>
          <w:rFonts w:ascii="宋体" w:hAnsi="宋体" w:cs="宋体"/>
          <w:b/>
          <w:color w:val="auto"/>
          <w:spacing w:val="6"/>
          <w:sz w:val="32"/>
          <w:szCs w:val="32"/>
          <w:highlight w:val="none"/>
        </w:rPr>
      </w:pPr>
    </w:p>
    <w:p w14:paraId="62C46CA6">
      <w:pPr>
        <w:autoSpaceDE w:val="0"/>
        <w:autoSpaceDN w:val="0"/>
        <w:jc w:val="center"/>
        <w:rPr>
          <w:rFonts w:ascii="宋体" w:hAnsi="宋体" w:cs="宋体"/>
          <w:b/>
          <w:color w:val="auto"/>
          <w:spacing w:val="6"/>
          <w:sz w:val="32"/>
          <w:szCs w:val="32"/>
          <w:highlight w:val="none"/>
        </w:rPr>
      </w:pPr>
    </w:p>
    <w:p w14:paraId="3EBA7D65">
      <w:pPr>
        <w:autoSpaceDE w:val="0"/>
        <w:autoSpaceDN w:val="0"/>
        <w:jc w:val="center"/>
        <w:rPr>
          <w:rFonts w:ascii="宋体" w:hAnsi="宋体" w:cs="宋体"/>
          <w:b/>
          <w:color w:val="auto"/>
          <w:spacing w:val="6"/>
          <w:sz w:val="32"/>
          <w:szCs w:val="32"/>
          <w:highlight w:val="none"/>
        </w:rPr>
      </w:pPr>
    </w:p>
    <w:p w14:paraId="4D06036C">
      <w:pPr>
        <w:autoSpaceDE w:val="0"/>
        <w:autoSpaceDN w:val="0"/>
        <w:jc w:val="center"/>
        <w:rPr>
          <w:rFonts w:ascii="宋体" w:hAnsi="宋体" w:cs="宋体"/>
          <w:b/>
          <w:color w:val="auto"/>
          <w:spacing w:val="6"/>
          <w:sz w:val="32"/>
          <w:szCs w:val="32"/>
          <w:highlight w:val="none"/>
        </w:rPr>
      </w:pPr>
    </w:p>
    <w:p w14:paraId="50D07CDD">
      <w:pPr>
        <w:autoSpaceDE w:val="0"/>
        <w:autoSpaceDN w:val="0"/>
        <w:jc w:val="center"/>
        <w:rPr>
          <w:rFonts w:ascii="宋体" w:hAnsi="宋体" w:cs="宋体"/>
          <w:b/>
          <w:color w:val="auto"/>
          <w:spacing w:val="6"/>
          <w:sz w:val="32"/>
          <w:szCs w:val="32"/>
          <w:highlight w:val="none"/>
        </w:rPr>
      </w:pPr>
    </w:p>
    <w:p w14:paraId="3ED77281">
      <w:pPr>
        <w:autoSpaceDE w:val="0"/>
        <w:autoSpaceDN w:val="0"/>
        <w:jc w:val="center"/>
        <w:rPr>
          <w:rFonts w:ascii="宋体" w:hAnsi="宋体" w:cs="宋体"/>
          <w:b/>
          <w:color w:val="auto"/>
          <w:spacing w:val="6"/>
          <w:sz w:val="32"/>
          <w:szCs w:val="32"/>
          <w:highlight w:val="none"/>
        </w:rPr>
      </w:pPr>
    </w:p>
    <w:p w14:paraId="2BAF6FA5">
      <w:pPr>
        <w:autoSpaceDE w:val="0"/>
        <w:autoSpaceDN w:val="0"/>
        <w:jc w:val="center"/>
        <w:rPr>
          <w:rFonts w:ascii="宋体" w:hAnsi="宋体" w:cs="宋体"/>
          <w:b/>
          <w:color w:val="auto"/>
          <w:spacing w:val="6"/>
          <w:sz w:val="32"/>
          <w:szCs w:val="32"/>
          <w:highlight w:val="none"/>
        </w:rPr>
      </w:pPr>
    </w:p>
    <w:p w14:paraId="1AEC4995">
      <w:pPr>
        <w:autoSpaceDE w:val="0"/>
        <w:autoSpaceDN w:val="0"/>
        <w:jc w:val="center"/>
        <w:rPr>
          <w:rFonts w:ascii="宋体" w:hAnsi="宋体" w:cs="宋体"/>
          <w:b/>
          <w:color w:val="auto"/>
          <w:spacing w:val="6"/>
          <w:sz w:val="32"/>
          <w:szCs w:val="32"/>
          <w:highlight w:val="none"/>
        </w:rPr>
      </w:pPr>
    </w:p>
    <w:p w14:paraId="175D1ADD">
      <w:pPr>
        <w:autoSpaceDE w:val="0"/>
        <w:autoSpaceDN w:val="0"/>
        <w:jc w:val="center"/>
        <w:rPr>
          <w:rFonts w:ascii="宋体" w:hAnsi="宋体" w:cs="宋体"/>
          <w:b/>
          <w:color w:val="auto"/>
          <w:spacing w:val="6"/>
          <w:sz w:val="32"/>
          <w:szCs w:val="32"/>
          <w:highlight w:val="none"/>
        </w:rPr>
      </w:pPr>
    </w:p>
    <w:p w14:paraId="72F51E25">
      <w:pPr>
        <w:autoSpaceDE w:val="0"/>
        <w:autoSpaceDN w:val="0"/>
        <w:jc w:val="center"/>
        <w:rPr>
          <w:rFonts w:ascii="宋体" w:hAnsi="宋体" w:cs="宋体"/>
          <w:b/>
          <w:color w:val="auto"/>
          <w:spacing w:val="6"/>
          <w:sz w:val="32"/>
          <w:szCs w:val="32"/>
          <w:highlight w:val="none"/>
        </w:rPr>
      </w:pPr>
    </w:p>
    <w:p w14:paraId="372F7B78">
      <w:pPr>
        <w:autoSpaceDE w:val="0"/>
        <w:autoSpaceDN w:val="0"/>
        <w:jc w:val="center"/>
        <w:rPr>
          <w:rFonts w:ascii="宋体" w:hAnsi="宋体" w:cs="宋体"/>
          <w:b/>
          <w:color w:val="auto"/>
          <w:spacing w:val="6"/>
          <w:sz w:val="32"/>
          <w:szCs w:val="32"/>
          <w:highlight w:val="none"/>
        </w:rPr>
      </w:pPr>
    </w:p>
    <w:p w14:paraId="08747A90">
      <w:pP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6F62177C">
      <w:pPr>
        <w:bidi w:val="0"/>
        <w:jc w:val="center"/>
        <w:rPr>
          <w:rFonts w:hint="eastAsia" w:eastAsia="宋体"/>
          <w:b/>
          <w:bCs/>
          <w:color w:val="auto"/>
          <w:sz w:val="32"/>
          <w:szCs w:val="32"/>
          <w:highlight w:val="none"/>
          <w:lang w:eastAsia="zh-CN"/>
        </w:rPr>
      </w:pPr>
      <w:bookmarkStart w:id="536" w:name="_Toc22286"/>
      <w:r>
        <w:rPr>
          <w:rFonts w:hint="eastAsia"/>
          <w:b/>
          <w:bCs/>
          <w:color w:val="auto"/>
          <w:sz w:val="32"/>
          <w:szCs w:val="32"/>
          <w:highlight w:val="none"/>
        </w:rPr>
        <w:t>附件</w:t>
      </w:r>
      <w:r>
        <w:rPr>
          <w:rFonts w:hint="eastAsia"/>
          <w:b/>
          <w:bCs/>
          <w:color w:val="auto"/>
          <w:sz w:val="32"/>
          <w:szCs w:val="32"/>
          <w:highlight w:val="none"/>
          <w:lang w:val="en-US" w:eastAsia="zh-CN"/>
        </w:rPr>
        <w:t>4</w:t>
      </w:r>
      <w:r>
        <w:rPr>
          <w:rFonts w:hint="eastAsia"/>
          <w:b/>
          <w:bCs/>
          <w:color w:val="auto"/>
          <w:sz w:val="32"/>
          <w:szCs w:val="32"/>
          <w:highlight w:val="none"/>
        </w:rPr>
        <w:t>：分包意向协议</w:t>
      </w:r>
      <w:bookmarkEnd w:id="536"/>
      <w:r>
        <w:rPr>
          <w:rFonts w:hint="eastAsia"/>
          <w:b/>
          <w:bCs/>
          <w:color w:val="auto"/>
          <w:sz w:val="32"/>
          <w:szCs w:val="32"/>
          <w:highlight w:val="none"/>
          <w:lang w:eastAsia="zh-CN"/>
        </w:rPr>
        <w:t>（</w:t>
      </w:r>
      <w:r>
        <w:rPr>
          <w:rFonts w:hint="eastAsia"/>
          <w:b/>
          <w:bCs/>
          <w:color w:val="auto"/>
          <w:sz w:val="32"/>
          <w:szCs w:val="32"/>
          <w:highlight w:val="none"/>
          <w:lang w:val="en-US" w:eastAsia="zh-CN"/>
        </w:rPr>
        <w:t>如有</w:t>
      </w:r>
      <w:r>
        <w:rPr>
          <w:rFonts w:hint="eastAsia"/>
          <w:b/>
          <w:bCs/>
          <w:color w:val="auto"/>
          <w:sz w:val="32"/>
          <w:szCs w:val="32"/>
          <w:highlight w:val="none"/>
          <w:lang w:eastAsia="zh-CN"/>
        </w:rPr>
        <w:t>）</w:t>
      </w:r>
    </w:p>
    <w:p w14:paraId="0236E520">
      <w:pPr>
        <w:pStyle w:val="63"/>
        <w:rPr>
          <w:color w:val="auto"/>
          <w:highlight w:val="none"/>
        </w:rPr>
      </w:pPr>
    </w:p>
    <w:p w14:paraId="1B696DD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2CA91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招标编号：（采购编号）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13C45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8FE07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3E8603C">
      <w:pPr>
        <w:pStyle w:val="3"/>
        <w:ind w:left="664" w:leftChars="316" w:firstLine="229" w:firstLineChars="95"/>
        <w:rPr>
          <w:rFonts w:ascii="宋体" w:hAnsi="宋体" w:eastAsia="宋体" w:cs="宋体"/>
          <w:color w:val="auto"/>
          <w:kern w:val="0"/>
          <w:sz w:val="24"/>
          <w:szCs w:val="24"/>
          <w:highlight w:val="none"/>
        </w:rPr>
      </w:pPr>
      <w:bookmarkStart w:id="537" w:name="_Toc17735"/>
      <w:r>
        <w:rPr>
          <w:rFonts w:hint="eastAsia" w:ascii="宋体" w:hAnsi="宋体" w:eastAsia="宋体" w:cs="宋体"/>
          <w:color w:val="auto"/>
          <w:kern w:val="0"/>
          <w:sz w:val="24"/>
          <w:szCs w:val="24"/>
          <w:highlight w:val="none"/>
        </w:rPr>
        <w:t>……</w:t>
      </w:r>
      <w:bookmarkEnd w:id="537"/>
    </w:p>
    <w:p w14:paraId="1D9FD3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ADD05D9">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w:t>
      </w:r>
      <w:r>
        <w:rPr>
          <w:rFonts w:hint="eastAsia" w:ascii="宋体" w:hAnsi="宋体" w:cs="宋体"/>
          <w:color w:val="auto"/>
          <w:kern w:val="0"/>
          <w:sz w:val="24"/>
          <w:highlight w:val="none"/>
          <w:u w:val="single"/>
          <w:lang w:val="en-US" w:eastAsia="zh-CN"/>
        </w:rPr>
        <w:t>货物</w:t>
      </w:r>
      <w:r>
        <w:rPr>
          <w:rFonts w:hint="eastAsia" w:ascii="宋体" w:hAnsi="宋体" w:cs="宋体"/>
          <w:color w:val="auto"/>
          <w:kern w:val="0"/>
          <w:sz w:val="24"/>
          <w:highlight w:val="none"/>
          <w:u w:val="single"/>
        </w:rPr>
        <w:t>全部由小微企业</w:t>
      </w:r>
      <w:r>
        <w:rPr>
          <w:rFonts w:hint="eastAsia" w:ascii="宋体" w:hAnsi="宋体" w:cs="宋体"/>
          <w:color w:val="auto"/>
          <w:kern w:val="0"/>
          <w:sz w:val="24"/>
          <w:highlight w:val="none"/>
          <w:u w:val="single"/>
          <w:lang w:val="en-US" w:eastAsia="zh-CN"/>
        </w:rPr>
        <w:t>提供</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D9B5B14">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3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38"/>
    </w:p>
    <w:p w14:paraId="3A18DFF9">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51EF391">
      <w:pPr>
        <w:snapToGrid w:val="0"/>
        <w:spacing w:line="24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8B37219">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0826F3F">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0C81CDF">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9EAEC19">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50D84A3">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EB83594">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E9DF1A2">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D4BB00F">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B305E94">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kern w:val="0"/>
          <w:sz w:val="24"/>
          <w:highlight w:val="none"/>
          <w:lang w:val="en-US" w:eastAsia="zh-CN"/>
        </w:rPr>
        <w:t>电子签章</w:t>
      </w:r>
      <w:r>
        <w:rPr>
          <w:rFonts w:hint="eastAsia" w:ascii="宋体" w:hAnsi="宋体" w:cs="宋体"/>
          <w:color w:val="auto"/>
          <w:kern w:val="0"/>
          <w:sz w:val="24"/>
          <w:highlight w:val="none"/>
          <w:lang w:val="zh-CN"/>
        </w:rPr>
        <w:t>)：</w:t>
      </w:r>
    </w:p>
    <w:p w14:paraId="71E5B581">
      <w:pPr>
        <w:snapToGrid w:val="0"/>
        <w:spacing w:line="360" w:lineRule="auto"/>
        <w:ind w:left="5746" w:leftChars="2736" w:firstLine="0" w:firstLineChars="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r>
        <w:rPr>
          <w:rFonts w:hint="eastAsia" w:ascii="宋体" w:hAnsi="宋体" w:cs="宋体"/>
          <w:color w:val="auto"/>
          <w:kern w:val="0"/>
          <w:sz w:val="24"/>
          <w:highlight w:val="none"/>
          <w:lang w:val="en-US" w:eastAsia="zh-CN"/>
        </w:rPr>
        <w:t>电子签章</w:t>
      </w:r>
      <w:r>
        <w:rPr>
          <w:rFonts w:hint="eastAsia" w:ascii="宋体" w:hAnsi="宋体" w:cs="宋体"/>
          <w:color w:val="auto"/>
          <w:kern w:val="0"/>
          <w:sz w:val="24"/>
          <w:highlight w:val="none"/>
          <w:lang w:val="zh-CN"/>
        </w:rPr>
        <w:t>)：</w:t>
      </w:r>
    </w:p>
    <w:p w14:paraId="62ED791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7DB642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BCF64A7">
      <w:pPr>
        <w:spacing w:line="360" w:lineRule="auto"/>
        <w:ind w:right="420"/>
        <w:rPr>
          <w:rFonts w:ascii="宋体" w:hAnsi="宋体" w:cs="宋体"/>
          <w:b/>
          <w:color w:val="auto"/>
          <w:spacing w:val="6"/>
          <w:sz w:val="32"/>
          <w:szCs w:val="32"/>
          <w:highlight w:val="none"/>
        </w:rPr>
      </w:pPr>
      <w:r>
        <w:rPr>
          <w:rFonts w:hint="eastAsia" w:ascii="宋体" w:hAnsi="宋体" w:cs="宋体"/>
          <w:color w:val="auto"/>
          <w:sz w:val="24"/>
          <w:highlight w:val="none"/>
        </w:rPr>
        <w:t>注：按本格式和要求提供。</w:t>
      </w:r>
    </w:p>
    <w:p w14:paraId="3A6EF3B0">
      <w:pPr>
        <w:bidi w:val="0"/>
        <w:jc w:val="center"/>
        <w:rPr>
          <w:rFonts w:hint="eastAsia" w:ascii="Times New Roman" w:hAnsi="Times New Roman" w:eastAsia="宋体" w:cs="Times New Roman"/>
          <w:b/>
          <w:bCs/>
          <w:color w:val="auto"/>
          <w:sz w:val="32"/>
          <w:szCs w:val="32"/>
          <w:highlight w:val="none"/>
        </w:rPr>
      </w:pPr>
      <w:bookmarkStart w:id="539" w:name="_Toc3460"/>
      <w:r>
        <w:rPr>
          <w:rFonts w:hint="eastAsia" w:ascii="Times New Roman" w:hAnsi="Times New Roman" w:eastAsia="宋体" w:cs="Times New Roman"/>
          <w:b/>
          <w:bCs/>
          <w:color w:val="auto"/>
          <w:sz w:val="32"/>
          <w:szCs w:val="32"/>
          <w:highlight w:val="none"/>
        </w:rPr>
        <w:t>附件</w:t>
      </w:r>
      <w:r>
        <w:rPr>
          <w:rFonts w:hint="eastAsia" w:ascii="Times New Roman" w:hAnsi="Times New Roman" w:eastAsia="宋体" w:cs="Times New Roman"/>
          <w:b/>
          <w:bCs/>
          <w:color w:val="auto"/>
          <w:sz w:val="32"/>
          <w:szCs w:val="32"/>
          <w:highlight w:val="none"/>
          <w:lang w:val="en-US" w:eastAsia="zh-CN"/>
        </w:rPr>
        <w:t>5</w:t>
      </w:r>
      <w:r>
        <w:rPr>
          <w:rFonts w:hint="eastAsia" w:ascii="Times New Roman" w:hAnsi="Times New Roman" w:eastAsia="宋体" w:cs="Times New Roman"/>
          <w:b/>
          <w:bCs/>
          <w:color w:val="auto"/>
          <w:sz w:val="32"/>
          <w:szCs w:val="32"/>
          <w:highlight w:val="none"/>
        </w:rPr>
        <w:t>：中小企业声明函</w:t>
      </w:r>
      <w:bookmarkEnd w:id="539"/>
    </w:p>
    <w:p w14:paraId="2B80CF55">
      <w:pPr>
        <w:spacing w:line="360" w:lineRule="auto"/>
        <w:jc w:val="center"/>
        <w:rPr>
          <w:rFonts w:ascii="宋体" w:hAnsi="宋体" w:cs="宋体"/>
          <w:color w:val="auto"/>
          <w:sz w:val="24"/>
          <w:highlight w:val="none"/>
          <w:u w:val="single"/>
        </w:rPr>
      </w:pPr>
    </w:p>
    <w:p w14:paraId="098B5F67">
      <w:pPr>
        <w:jc w:val="center"/>
        <w:rPr>
          <w:rFonts w:hint="eastAsia" w:ascii="宋体" w:cs="宋体"/>
          <w:b/>
          <w:color w:val="auto"/>
          <w:kern w:val="0"/>
          <w:sz w:val="32"/>
          <w:szCs w:val="32"/>
          <w:highlight w:val="none"/>
        </w:rPr>
      </w:pPr>
      <w:r>
        <w:rPr>
          <w:rFonts w:hint="eastAsia" w:ascii="宋体" w:cs="宋体"/>
          <w:b/>
          <w:color w:val="auto"/>
          <w:kern w:val="0"/>
          <w:sz w:val="32"/>
          <w:szCs w:val="32"/>
          <w:highlight w:val="none"/>
        </w:rPr>
        <w:t>中小企业声明函（</w:t>
      </w:r>
      <w:r>
        <w:rPr>
          <w:rFonts w:hint="eastAsia" w:ascii="宋体" w:cs="宋体"/>
          <w:b/>
          <w:color w:val="auto"/>
          <w:kern w:val="0"/>
          <w:sz w:val="32"/>
          <w:szCs w:val="32"/>
          <w:highlight w:val="none"/>
          <w:lang w:val="en-US" w:eastAsia="zh-CN"/>
        </w:rPr>
        <w:t>货物</w:t>
      </w:r>
      <w:r>
        <w:rPr>
          <w:rFonts w:hint="eastAsia" w:ascii="宋体" w:cs="宋体"/>
          <w:b/>
          <w:color w:val="auto"/>
          <w:kern w:val="0"/>
          <w:sz w:val="32"/>
          <w:szCs w:val="32"/>
          <w:highlight w:val="none"/>
        </w:rPr>
        <w:t>）</w:t>
      </w:r>
    </w:p>
    <w:p w14:paraId="405B2DAE">
      <w:pPr>
        <w:jc w:val="center"/>
        <w:rPr>
          <w:rFonts w:hint="eastAsia" w:ascii="宋体" w:cs="宋体"/>
          <w:b/>
          <w:color w:val="auto"/>
          <w:kern w:val="0"/>
          <w:sz w:val="28"/>
          <w:szCs w:val="28"/>
          <w:highlight w:val="none"/>
        </w:rPr>
      </w:pPr>
    </w:p>
    <w:p w14:paraId="6114D284">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本公司郑重声明，根据《政府采购促进中小企业发展管理办法》（财库﹝2020﹞46 号）的规定，本公司参加</w:t>
      </w:r>
      <w:r>
        <w:rPr>
          <w:rFonts w:hint="eastAsia" w:ascii="宋体" w:hAnsi="宋体" w:cs="宋体"/>
          <w:color w:val="auto"/>
          <w:spacing w:val="6"/>
          <w:sz w:val="24"/>
          <w:highlight w:val="none"/>
          <w:u w:val="single"/>
          <w:lang w:eastAsia="zh-CN"/>
        </w:rPr>
        <w:t>宁波市公安局镇海分局</w:t>
      </w:r>
      <w:r>
        <w:rPr>
          <w:rFonts w:hint="eastAsia" w:ascii="宋体" w:hAnsi="宋体" w:cs="宋体"/>
          <w:color w:val="auto"/>
          <w:spacing w:val="6"/>
          <w:sz w:val="24"/>
          <w:highlight w:val="none"/>
        </w:rPr>
        <w:t>的</w:t>
      </w:r>
      <w:r>
        <w:rPr>
          <w:rFonts w:hint="eastAsia" w:ascii="宋体" w:hAnsi="宋体" w:cs="宋体"/>
          <w:color w:val="auto"/>
          <w:spacing w:val="6"/>
          <w:sz w:val="24"/>
          <w:highlight w:val="none"/>
          <w:u w:val="single"/>
          <w:lang w:eastAsia="zh-CN"/>
        </w:rPr>
        <w:t>镇海区看守所智能化改造项目</w:t>
      </w:r>
      <w:r>
        <w:rPr>
          <w:rFonts w:hint="eastAsia" w:ascii="宋体" w:hAnsi="宋体" w:cs="宋体"/>
          <w:color w:val="auto"/>
          <w:spacing w:val="6"/>
          <w:sz w:val="24"/>
          <w:highlight w:val="none"/>
        </w:rPr>
        <w:t>采购活动，提供的货物全部由符合政策要求的中小企业制造。相关企业（含联合体中的中小企业、签订分包意向协议的中小企业）的具体情况如下：</w:t>
      </w:r>
    </w:p>
    <w:p w14:paraId="5A3BC0E4">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监所智能终端</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370D6932">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防脱逃系统</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4A737412">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监室全景摄像机</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7773746B">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全景防水摄像机</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4A9FF859">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拾音器</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5A6F1004">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室外防水拾音器</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76A7ED48">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高清智能球机（室内型）</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421E4838">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人脸门禁考勤机</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62BCCAD2">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智能警戒网络摄像机</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11CA3AF9">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磁盘阵列</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0342EBFB">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存储硬盘</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57BCFF58">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硬盘录像机</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221D8642">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存储硬盘</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08DE4261">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显示器</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31FEFF0B">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视频综合平台（解码）</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3A76A4EF">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监控通道数</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0106910E">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服务器</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58CE3571">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算力服务器</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77F94804">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智能分析软件改造与升级</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04993447">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核心交换机</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71A4394A">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业务板卡（电口）</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48D72AB2">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业务板卡（光口）</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3AE493A1">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接入交换机</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535A863A">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8口交换机</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359E5AE9">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机架式电源1</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20D4111C">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机架式电源2</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55FA869B">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光纤配线架</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46B090D3">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光纤终端盒</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73CE1C8B">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12U墙柜</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51EF427C">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LED灯泡</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5A9F167F">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灯座</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505CD94B">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应急照明强启开关</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7CCEC405">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网络时钟屏</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52F86CE2">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多模光模块</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7CCA6604">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单模光模块</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35C9A022">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单模光跳线</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38558BC4">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网络跳线</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4DE4823E">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电视机</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197EFC68">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电视机支架</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1A9C7F58">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电源时序器</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672E9F25">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电教终端</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3660C3C9">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监室内音箱</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48C524F5">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放风场音箱</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04B0E576">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高清编码器</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1D836039">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直播摄像机</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44DCF7B6">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直播耳麦</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055C3C3D">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电教管理平台一体机</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515FE56B">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监室信息显示终端</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7FC2FFEA">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监室信息显示软件</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46878C15">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服务器</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62EE26CD">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操作系统</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6BEA36C8">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防爆对讲分机</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5CD9B6F6">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防爆对讲分机（室外防水）</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11D2A641">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对讲分机底盒</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72598954">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对讲主机（桌面式）</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430BB2A0">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对讲软件</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5C6290D6">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窗口会见终端（含支架）</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361B673D">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窗口会见管理机</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63040AEE">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电动投影幕</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74714FAB">
      <w:pPr>
        <w:numPr>
          <w:ilvl w:val="0"/>
          <w:numId w:val="10"/>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val="en-US" w:eastAsia="zh-CN"/>
        </w:rPr>
        <w:t>投影设备</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02216EBA">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以上企业，不属于大企业的分支机构，不存在控股股东为大企业的情形，也不存在与大企业的负责人为同一人的情形。</w:t>
      </w:r>
    </w:p>
    <w:p w14:paraId="2760F4DE">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本企业对上述声明内容的真实性负责。如有虚假，将依法承担相应责任。</w:t>
      </w:r>
    </w:p>
    <w:p w14:paraId="239F5853">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 xml:space="preserve">                        </w:t>
      </w:r>
    </w:p>
    <w:p w14:paraId="56CCA84E">
      <w:pPr>
        <w:spacing w:line="360" w:lineRule="auto"/>
        <w:ind w:firstLine="3780" w:firstLineChars="1500"/>
        <w:rPr>
          <w:rFonts w:ascii="宋体" w:hAnsi="宋体" w:cs="宋体"/>
          <w:color w:val="auto"/>
          <w:spacing w:val="6"/>
          <w:sz w:val="24"/>
          <w:highlight w:val="none"/>
        </w:rPr>
      </w:pPr>
      <w:r>
        <w:rPr>
          <w:rFonts w:hint="eastAsia" w:ascii="宋体" w:hAnsi="宋体" w:cs="宋体"/>
          <w:color w:val="auto"/>
          <w:spacing w:val="6"/>
          <w:sz w:val="24"/>
          <w:highlight w:val="none"/>
        </w:rPr>
        <w:t>企业名称（盖章）：</w:t>
      </w:r>
    </w:p>
    <w:p w14:paraId="666FA638">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 xml:space="preserve">                         日期：</w:t>
      </w:r>
    </w:p>
    <w:p w14:paraId="00194433">
      <w:pPr>
        <w:spacing w:line="500" w:lineRule="exact"/>
        <w:rPr>
          <w:rFonts w:ascii="仿宋" w:hAnsi="仿宋" w:eastAsia="仿宋"/>
          <w:color w:val="auto"/>
          <w:sz w:val="32"/>
          <w:szCs w:val="32"/>
          <w:highlight w:val="none"/>
          <w:u w:val="single"/>
        </w:rPr>
      </w:pPr>
      <w:r>
        <w:rPr>
          <w:rFonts w:hint="eastAsia" w:ascii="仿宋" w:hAnsi="仿宋" w:eastAsia="仿宋"/>
          <w:color w:val="auto"/>
          <w:sz w:val="32"/>
          <w:szCs w:val="32"/>
          <w:highlight w:val="none"/>
          <w:u w:val="single"/>
        </w:rPr>
        <w:t xml:space="preserve">                                                 </w:t>
      </w:r>
    </w:p>
    <w:p w14:paraId="2D36A51A">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1、填写要求：①“标的名称”、“采购文件中明确的所属行业”依据招标文件第二部分 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6409452">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C740A1B">
      <w:pPr>
        <w:snapToGrid w:val="0"/>
        <w:spacing w:line="360" w:lineRule="auto"/>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lang w:val="en-US"/>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75579BF">
      <w:pPr>
        <w:snapToGrid w:val="0"/>
        <w:spacing w:line="360" w:lineRule="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风险提示：</w:t>
      </w:r>
    </w:p>
    <w:p w14:paraId="50493292">
      <w:pPr>
        <w:snapToGrid w:val="0"/>
        <w:spacing w:line="360" w:lineRule="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1.对于非面向联合体的项目，在货物采购项目中，供应商提供的货物既有中型企业制造，也有小微企业制造的，不享受办法规定的小微企业扶持政策。</w:t>
      </w:r>
    </w:p>
    <w:p w14:paraId="22B6D69F">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755911ED">
      <w:pPr>
        <w:snapToGrid w:val="0"/>
        <w:spacing w:line="360" w:lineRule="auto"/>
        <w:ind w:firstLine="630" w:firstLineChars="300"/>
        <w:rPr>
          <w:rFonts w:hint="eastAsia" w:ascii="宋体" w:hAnsi="宋体" w:cs="宋体"/>
          <w:bCs/>
          <w:color w:val="auto"/>
          <w:szCs w:val="21"/>
          <w:highlight w:val="none"/>
        </w:rPr>
      </w:pPr>
    </w:p>
    <w:p w14:paraId="2E93068C">
      <w:pPr>
        <w:snapToGrid w:val="0"/>
        <w:spacing w:line="360" w:lineRule="auto"/>
        <w:rPr>
          <w:rFonts w:hint="eastAsia" w:eastAsia="宋体"/>
          <w:color w:val="auto"/>
          <w:highlight w:val="none"/>
          <w:lang w:val="en-US" w:eastAsia="zh-CN"/>
        </w:rPr>
      </w:pPr>
      <w:r>
        <w:rPr>
          <w:rFonts w:hint="eastAsia" w:ascii="宋体" w:hAnsi="宋体" w:cs="宋体"/>
          <w:bCs/>
          <w:color w:val="auto"/>
          <w:szCs w:val="21"/>
          <w:highlight w:val="none"/>
        </w:rPr>
        <w:t>注：适用小微企业政策的请提供，未提供的不享受小微企业政策。</w:t>
      </w:r>
    </w:p>
    <w:p w14:paraId="184F622D">
      <w:pPr>
        <w:spacing w:line="360" w:lineRule="auto"/>
        <w:jc w:val="center"/>
        <w:rPr>
          <w:rFonts w:ascii="宋体" w:hAnsi="宋体" w:cs="宋体"/>
          <w:b/>
          <w:color w:val="auto"/>
          <w:sz w:val="32"/>
          <w:szCs w:val="32"/>
          <w:highlight w:val="none"/>
        </w:rPr>
      </w:pPr>
    </w:p>
    <w:bookmarkEnd w:id="540"/>
    <w:sectPr>
      <w:headerReference r:id="rId12" w:type="first"/>
      <w:footerReference r:id="rId14" w:type="first"/>
      <w:headerReference r:id="rId11" w:type="default"/>
      <w:footerReference r:id="rId13" w:type="default"/>
      <w:pgSz w:w="11905" w:h="16838"/>
      <w:pgMar w:top="1134" w:right="1417" w:bottom="1134" w:left="1417"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B7D2E">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E0F23">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0E0F23">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B8FF3">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85F664">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185F664">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AFBBE">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F0B1C0">
                          <w:pPr>
                            <w:pStyle w:val="3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DF0B1C0">
                    <w:pPr>
                      <w:pStyle w:val="3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C00D3">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481599">
                          <w:pPr>
                            <w:pStyle w:val="3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2481599">
                    <w:pPr>
                      <w:pStyle w:val="3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26FA5">
    <w:pPr>
      <w:pStyle w:val="39"/>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B6FA2">
                          <w:pPr>
                            <w:pStyle w:val="3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87B6FA2">
                    <w:pPr>
                      <w:pStyle w:val="3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14580">
    <w:pPr>
      <w:pStyle w:val="39"/>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8027F">
                          <w:pPr>
                            <w:pStyle w:val="3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ED8027F">
                    <w:pPr>
                      <w:pStyle w:val="3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CC69F">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20380">
    <w:pPr>
      <w:pStyle w:val="41"/>
      <w:pBdr>
        <w:bottom w:val="none" w:color="auto" w:sz="0" w:space="1"/>
      </w:pBdr>
      <w:bidi w:val="0"/>
      <w:rPr>
        <w:rFonts w:hint="eastAsia"/>
        <w:lang w:eastAsia="zh-CN"/>
      </w:rPr>
    </w:pPr>
    <w:r>
      <w:rPr>
        <w:rFonts w:hint="eastAsia"/>
        <w:lang w:eastAsia="zh-CN"/>
      </w:rPr>
      <w:tab/>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24A83">
    <w:pPr>
      <w:pStyle w:val="41"/>
      <w:pBdr>
        <w:bottom w:val="none" w:color="auto" w:sz="0" w:space="1"/>
      </w:pBdr>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00833">
    <w:pPr>
      <w:pStyle w:val="41"/>
      <w:pBdr>
        <w:bottom w:val="none" w:color="auto" w:sz="0" w:space="1"/>
      </w:pBdr>
    </w:pPr>
    <w:r>
      <w:t></w:t>
    </w:r>
    <w:r>
      <w:rPr>
        <w:rFonts w:hint="eastAsia"/>
      </w:rPr>
      <w:t xml:space="preserve">         </w:t>
    </w:r>
  </w:p>
  <w:p w14:paraId="33718178">
    <w:pPr>
      <w:pStyle w:val="41"/>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EDF3B">
    <w:pPr>
      <w:pStyle w:val="41"/>
      <w:pBdr>
        <w:bottom w:val="none" w:color="auto" w:sz="0" w:space="1"/>
      </w:pBdr>
      <w:jc w:val="right"/>
      <w:rPr>
        <w:rFonts w:ascii="仿宋_GB2312" w:eastAsia="仿宋_GB2312"/>
        <w:b/>
        <w:i/>
        <w:iCs/>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733E0">
    <w:pPr>
      <w:pStyle w:val="41"/>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C7F9"/>
    <w:multiLevelType w:val="singleLevel"/>
    <w:tmpl w:val="9726C7F9"/>
    <w:lvl w:ilvl="0" w:tentative="0">
      <w:start w:val="5"/>
      <w:numFmt w:val="chineseCounting"/>
      <w:suff w:val="space"/>
      <w:lvlText w:val="第%1部分"/>
      <w:lvlJc w:val="left"/>
      <w:rPr>
        <w:rFonts w:hint="eastAsia"/>
      </w:rPr>
    </w:lvl>
  </w:abstractNum>
  <w:abstractNum w:abstractNumId="1">
    <w:nsid w:val="DDC943C6"/>
    <w:multiLevelType w:val="singleLevel"/>
    <w:tmpl w:val="DDC943C6"/>
    <w:lvl w:ilvl="0" w:tentative="0">
      <w:start w:val="2"/>
      <w:numFmt w:val="chineseCounting"/>
      <w:suff w:val="nothing"/>
      <w:lvlText w:val="%1、"/>
      <w:lvlJc w:val="left"/>
      <w:rPr>
        <w:rFonts w:hint="eastAsia"/>
      </w:rPr>
    </w:lvl>
  </w:abstractNum>
  <w:abstractNum w:abstractNumId="2">
    <w:nsid w:val="E596B22D"/>
    <w:multiLevelType w:val="singleLevel"/>
    <w:tmpl w:val="E596B22D"/>
    <w:lvl w:ilvl="0" w:tentative="0">
      <w:start w:val="6"/>
      <w:numFmt w:val="chineseCounting"/>
      <w:suff w:val="nothing"/>
      <w:lvlText w:val="%1、"/>
      <w:lvlJc w:val="left"/>
      <w:rPr>
        <w:rFonts w:hint="eastAsia"/>
      </w:rPr>
    </w:lvl>
  </w:abstractNum>
  <w:abstractNum w:abstractNumId="3">
    <w:nsid w:val="F5E80F08"/>
    <w:multiLevelType w:val="singleLevel"/>
    <w:tmpl w:val="F5E80F08"/>
    <w:lvl w:ilvl="0" w:tentative="0">
      <w:start w:val="23"/>
      <w:numFmt w:val="decimal"/>
      <w:suff w:val="space"/>
      <w:lvlText w:val="%1."/>
      <w:lvlJc w:val="left"/>
    </w:lvl>
  </w:abstractNum>
  <w:abstractNum w:abstractNumId="4">
    <w:nsid w:val="00000003"/>
    <w:multiLevelType w:val="singleLevel"/>
    <w:tmpl w:val="00000003"/>
    <w:lvl w:ilvl="0" w:tentative="0">
      <w:start w:val="2"/>
      <w:numFmt w:val="decimal"/>
      <w:suff w:val="nothing"/>
      <w:lvlText w:val="（%1）"/>
      <w:lvlJc w:val="left"/>
    </w:lvl>
  </w:abstractNum>
  <w:abstractNum w:abstractNumId="5">
    <w:nsid w:val="0D43D065"/>
    <w:multiLevelType w:val="singleLevel"/>
    <w:tmpl w:val="0D43D065"/>
    <w:lvl w:ilvl="0" w:tentative="0">
      <w:start w:val="1"/>
      <w:numFmt w:val="chineseCounting"/>
      <w:suff w:val="nothing"/>
      <w:lvlText w:val="%1、"/>
      <w:lvlJc w:val="left"/>
      <w:pPr>
        <w:ind w:left="3360"/>
      </w:pPr>
      <w:rPr>
        <w:rFonts w:hint="eastAsia"/>
      </w:rPr>
    </w:lvl>
  </w:abstractNum>
  <w:abstractNum w:abstractNumId="6">
    <w:nsid w:val="3B500D3E"/>
    <w:multiLevelType w:val="singleLevel"/>
    <w:tmpl w:val="3B500D3E"/>
    <w:lvl w:ilvl="0" w:tentative="0">
      <w:start w:val="1"/>
      <w:numFmt w:val="decimal"/>
      <w:suff w:val="nothing"/>
      <w:lvlText w:val="%1、"/>
      <w:lvlJc w:val="left"/>
    </w:lvl>
  </w:abstractNum>
  <w:abstractNum w:abstractNumId="7">
    <w:nsid w:val="451B8359"/>
    <w:multiLevelType w:val="singleLevel"/>
    <w:tmpl w:val="451B8359"/>
    <w:lvl w:ilvl="0" w:tentative="0">
      <w:start w:val="1"/>
      <w:numFmt w:val="decimal"/>
      <w:suff w:val="space"/>
      <w:lvlText w:val="%1、"/>
      <w:lvlJc w:val="left"/>
    </w:lvl>
  </w:abstractNum>
  <w:abstractNum w:abstractNumId="8">
    <w:nsid w:val="5CBF0552"/>
    <w:multiLevelType w:val="singleLevel"/>
    <w:tmpl w:val="5CBF0552"/>
    <w:lvl w:ilvl="0" w:tentative="0">
      <w:start w:val="1"/>
      <w:numFmt w:val="decimal"/>
      <w:suff w:val="nothing"/>
      <w:lvlText w:val="（%1）"/>
      <w:lvlJc w:val="left"/>
    </w:lvl>
  </w:abstractNum>
  <w:abstractNum w:abstractNumId="9">
    <w:nsid w:val="6CC46E85"/>
    <w:multiLevelType w:val="singleLevel"/>
    <w:tmpl w:val="6CC46E85"/>
    <w:lvl w:ilvl="0" w:tentative="0">
      <w:start w:val="1"/>
      <w:numFmt w:val="decimal"/>
      <w:suff w:val="nothing"/>
      <w:lvlText w:val="%1）"/>
      <w:lvlJc w:val="left"/>
    </w:lvl>
  </w:abstractNum>
  <w:num w:numId="1">
    <w:abstractNumId w:val="3"/>
  </w:num>
  <w:num w:numId="2">
    <w:abstractNumId w:val="1"/>
  </w:num>
  <w:num w:numId="3">
    <w:abstractNumId w:val="9"/>
  </w:num>
  <w:num w:numId="4">
    <w:abstractNumId w:val="0"/>
  </w:num>
  <w:num w:numId="5">
    <w:abstractNumId w:val="2"/>
  </w:num>
  <w:num w:numId="6">
    <w:abstractNumId w:val="5"/>
  </w:num>
  <w:num w:numId="7">
    <w:abstractNumId w:val="4"/>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DU5NGYxMTI0OGI2YjA3MGJkNWJmYzJmNzNiODEifQ=="/>
    <w:docVar w:name="KSO_WPS_MARK_KEY" w:val="4258eb02-fb9a-4e2e-96a6-d7859844a6b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5CD8"/>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44"/>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9A4"/>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2DE"/>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956A1"/>
    <w:rsid w:val="011F6449"/>
    <w:rsid w:val="01236AFB"/>
    <w:rsid w:val="01307612"/>
    <w:rsid w:val="01873158"/>
    <w:rsid w:val="019F7441"/>
    <w:rsid w:val="01A95578"/>
    <w:rsid w:val="01B37585"/>
    <w:rsid w:val="01D55165"/>
    <w:rsid w:val="01DF6BF8"/>
    <w:rsid w:val="01EC2C57"/>
    <w:rsid w:val="021C53FE"/>
    <w:rsid w:val="02314702"/>
    <w:rsid w:val="025F0711"/>
    <w:rsid w:val="026B2E25"/>
    <w:rsid w:val="027C681B"/>
    <w:rsid w:val="02824D4D"/>
    <w:rsid w:val="02900CBF"/>
    <w:rsid w:val="02B17AA1"/>
    <w:rsid w:val="02DC4B10"/>
    <w:rsid w:val="02DD76CE"/>
    <w:rsid w:val="02F36323"/>
    <w:rsid w:val="02F5619C"/>
    <w:rsid w:val="02FE29D1"/>
    <w:rsid w:val="0326446A"/>
    <w:rsid w:val="032D5555"/>
    <w:rsid w:val="032D66F7"/>
    <w:rsid w:val="036634D2"/>
    <w:rsid w:val="03772E0C"/>
    <w:rsid w:val="03900030"/>
    <w:rsid w:val="03DD35E4"/>
    <w:rsid w:val="04076900"/>
    <w:rsid w:val="041A5A3B"/>
    <w:rsid w:val="042311BA"/>
    <w:rsid w:val="042B157A"/>
    <w:rsid w:val="045E39DC"/>
    <w:rsid w:val="048F763B"/>
    <w:rsid w:val="049F330E"/>
    <w:rsid w:val="04AA775C"/>
    <w:rsid w:val="04AF1889"/>
    <w:rsid w:val="04D357BF"/>
    <w:rsid w:val="04F66F48"/>
    <w:rsid w:val="04F934E9"/>
    <w:rsid w:val="05251E14"/>
    <w:rsid w:val="05684DD5"/>
    <w:rsid w:val="05842FE2"/>
    <w:rsid w:val="05A16594"/>
    <w:rsid w:val="05A66D95"/>
    <w:rsid w:val="05A7762D"/>
    <w:rsid w:val="05D250BA"/>
    <w:rsid w:val="060E2E9D"/>
    <w:rsid w:val="060E5941"/>
    <w:rsid w:val="06110FAF"/>
    <w:rsid w:val="061D17DF"/>
    <w:rsid w:val="06235F2D"/>
    <w:rsid w:val="06493CA7"/>
    <w:rsid w:val="065A6178"/>
    <w:rsid w:val="066D32D9"/>
    <w:rsid w:val="066F1CF3"/>
    <w:rsid w:val="06930BB8"/>
    <w:rsid w:val="06BD60A6"/>
    <w:rsid w:val="06C831BB"/>
    <w:rsid w:val="06E01764"/>
    <w:rsid w:val="06F720D4"/>
    <w:rsid w:val="07245D42"/>
    <w:rsid w:val="07264C62"/>
    <w:rsid w:val="07320C1A"/>
    <w:rsid w:val="077741FC"/>
    <w:rsid w:val="0779354C"/>
    <w:rsid w:val="07992466"/>
    <w:rsid w:val="07D72EEC"/>
    <w:rsid w:val="07E37F3A"/>
    <w:rsid w:val="08061376"/>
    <w:rsid w:val="08452D77"/>
    <w:rsid w:val="086401F8"/>
    <w:rsid w:val="08751CAA"/>
    <w:rsid w:val="087C6E72"/>
    <w:rsid w:val="087E4C40"/>
    <w:rsid w:val="08926E32"/>
    <w:rsid w:val="08A871D0"/>
    <w:rsid w:val="08C77EDE"/>
    <w:rsid w:val="08D66AD6"/>
    <w:rsid w:val="08DA33A3"/>
    <w:rsid w:val="08E04023"/>
    <w:rsid w:val="08E80F13"/>
    <w:rsid w:val="091A1B16"/>
    <w:rsid w:val="091C680C"/>
    <w:rsid w:val="09335624"/>
    <w:rsid w:val="0944690F"/>
    <w:rsid w:val="09535675"/>
    <w:rsid w:val="095F057D"/>
    <w:rsid w:val="09642282"/>
    <w:rsid w:val="09733572"/>
    <w:rsid w:val="09772C16"/>
    <w:rsid w:val="098353B5"/>
    <w:rsid w:val="099F6887"/>
    <w:rsid w:val="09A92330"/>
    <w:rsid w:val="09B06B87"/>
    <w:rsid w:val="09C13146"/>
    <w:rsid w:val="09E04166"/>
    <w:rsid w:val="0A0456C1"/>
    <w:rsid w:val="0A056C33"/>
    <w:rsid w:val="0A1826CD"/>
    <w:rsid w:val="0A1C0718"/>
    <w:rsid w:val="0A3E7710"/>
    <w:rsid w:val="0A5B7E63"/>
    <w:rsid w:val="0A631A57"/>
    <w:rsid w:val="0A785A89"/>
    <w:rsid w:val="0A8E72E2"/>
    <w:rsid w:val="0AA374A5"/>
    <w:rsid w:val="0AAB7649"/>
    <w:rsid w:val="0ABC5606"/>
    <w:rsid w:val="0B1E1CDD"/>
    <w:rsid w:val="0B30404E"/>
    <w:rsid w:val="0B4C6C14"/>
    <w:rsid w:val="0B547599"/>
    <w:rsid w:val="0B631A88"/>
    <w:rsid w:val="0B683D45"/>
    <w:rsid w:val="0B7F3F11"/>
    <w:rsid w:val="0B884417"/>
    <w:rsid w:val="0BAF46EE"/>
    <w:rsid w:val="0BC007F0"/>
    <w:rsid w:val="0BC74359"/>
    <w:rsid w:val="0BD80945"/>
    <w:rsid w:val="0BEE69CD"/>
    <w:rsid w:val="0BF6188C"/>
    <w:rsid w:val="0BF73C91"/>
    <w:rsid w:val="0C170175"/>
    <w:rsid w:val="0C1E1FC0"/>
    <w:rsid w:val="0C4A4FFD"/>
    <w:rsid w:val="0C571A41"/>
    <w:rsid w:val="0C5C1171"/>
    <w:rsid w:val="0C5E1CBC"/>
    <w:rsid w:val="0C615B50"/>
    <w:rsid w:val="0C6630E7"/>
    <w:rsid w:val="0C8445DA"/>
    <w:rsid w:val="0C863F12"/>
    <w:rsid w:val="0C87121B"/>
    <w:rsid w:val="0CA520B2"/>
    <w:rsid w:val="0CC007F7"/>
    <w:rsid w:val="0CC617AC"/>
    <w:rsid w:val="0CD01471"/>
    <w:rsid w:val="0CE54DF9"/>
    <w:rsid w:val="0CE618DF"/>
    <w:rsid w:val="0CF84031"/>
    <w:rsid w:val="0CFE707A"/>
    <w:rsid w:val="0D063BDA"/>
    <w:rsid w:val="0D08375F"/>
    <w:rsid w:val="0D184CFB"/>
    <w:rsid w:val="0D3D2277"/>
    <w:rsid w:val="0D4A7419"/>
    <w:rsid w:val="0D4C5232"/>
    <w:rsid w:val="0D50643D"/>
    <w:rsid w:val="0D827401"/>
    <w:rsid w:val="0D84094E"/>
    <w:rsid w:val="0D8A00E9"/>
    <w:rsid w:val="0D8D589E"/>
    <w:rsid w:val="0DA01C73"/>
    <w:rsid w:val="0DD63300"/>
    <w:rsid w:val="0DF50604"/>
    <w:rsid w:val="0DF702FE"/>
    <w:rsid w:val="0DFF55D2"/>
    <w:rsid w:val="0E023605"/>
    <w:rsid w:val="0E060E51"/>
    <w:rsid w:val="0E4C16E7"/>
    <w:rsid w:val="0E5604B2"/>
    <w:rsid w:val="0E6D5D79"/>
    <w:rsid w:val="0E8B2236"/>
    <w:rsid w:val="0E9D0089"/>
    <w:rsid w:val="0EB803EE"/>
    <w:rsid w:val="0ED05849"/>
    <w:rsid w:val="0EF94D4B"/>
    <w:rsid w:val="0F4958DC"/>
    <w:rsid w:val="0F515DF7"/>
    <w:rsid w:val="0F541AE2"/>
    <w:rsid w:val="0F591C76"/>
    <w:rsid w:val="0F596BA8"/>
    <w:rsid w:val="0F6248D2"/>
    <w:rsid w:val="0F693536"/>
    <w:rsid w:val="0F7B0511"/>
    <w:rsid w:val="0F7B76D9"/>
    <w:rsid w:val="0F816ACD"/>
    <w:rsid w:val="0F8B118C"/>
    <w:rsid w:val="0F9832DB"/>
    <w:rsid w:val="0FB079EB"/>
    <w:rsid w:val="0FBF3FD2"/>
    <w:rsid w:val="0FBF7FF3"/>
    <w:rsid w:val="0FCE5613"/>
    <w:rsid w:val="101D2C5F"/>
    <w:rsid w:val="101E2C79"/>
    <w:rsid w:val="105F1059"/>
    <w:rsid w:val="10601B53"/>
    <w:rsid w:val="1060245B"/>
    <w:rsid w:val="10646583"/>
    <w:rsid w:val="107D4B15"/>
    <w:rsid w:val="108A3C80"/>
    <w:rsid w:val="10C26171"/>
    <w:rsid w:val="10F33360"/>
    <w:rsid w:val="10FC16EA"/>
    <w:rsid w:val="10FD3B09"/>
    <w:rsid w:val="110F1D40"/>
    <w:rsid w:val="11266F33"/>
    <w:rsid w:val="11507751"/>
    <w:rsid w:val="118963A1"/>
    <w:rsid w:val="11BC24C2"/>
    <w:rsid w:val="11C6522A"/>
    <w:rsid w:val="11E104CC"/>
    <w:rsid w:val="11E20309"/>
    <w:rsid w:val="12255233"/>
    <w:rsid w:val="12357A94"/>
    <w:rsid w:val="12530213"/>
    <w:rsid w:val="1265440D"/>
    <w:rsid w:val="12714F1C"/>
    <w:rsid w:val="127723A9"/>
    <w:rsid w:val="12862074"/>
    <w:rsid w:val="12883966"/>
    <w:rsid w:val="129E45B4"/>
    <w:rsid w:val="12CD0D21"/>
    <w:rsid w:val="12D629C7"/>
    <w:rsid w:val="12D81596"/>
    <w:rsid w:val="12E165EC"/>
    <w:rsid w:val="13072A44"/>
    <w:rsid w:val="1332653D"/>
    <w:rsid w:val="133E70C5"/>
    <w:rsid w:val="135F4BE2"/>
    <w:rsid w:val="137B2A7B"/>
    <w:rsid w:val="139B1A0A"/>
    <w:rsid w:val="139C2385"/>
    <w:rsid w:val="139D25C7"/>
    <w:rsid w:val="13A9275F"/>
    <w:rsid w:val="13BF3CE4"/>
    <w:rsid w:val="141008D8"/>
    <w:rsid w:val="14125FE6"/>
    <w:rsid w:val="141A5CE0"/>
    <w:rsid w:val="146D271E"/>
    <w:rsid w:val="14982588"/>
    <w:rsid w:val="149A5AD9"/>
    <w:rsid w:val="14A7619D"/>
    <w:rsid w:val="14E13025"/>
    <w:rsid w:val="14FC70FE"/>
    <w:rsid w:val="150536C3"/>
    <w:rsid w:val="1509263F"/>
    <w:rsid w:val="150C1963"/>
    <w:rsid w:val="151447A0"/>
    <w:rsid w:val="1526274C"/>
    <w:rsid w:val="154A6454"/>
    <w:rsid w:val="15762120"/>
    <w:rsid w:val="16052C80"/>
    <w:rsid w:val="1683496B"/>
    <w:rsid w:val="16A8729C"/>
    <w:rsid w:val="16B33777"/>
    <w:rsid w:val="16BC70A7"/>
    <w:rsid w:val="16C6339E"/>
    <w:rsid w:val="16EB09AA"/>
    <w:rsid w:val="16EE7850"/>
    <w:rsid w:val="172F2D79"/>
    <w:rsid w:val="17557BEF"/>
    <w:rsid w:val="178C285E"/>
    <w:rsid w:val="17D1049D"/>
    <w:rsid w:val="17D349C1"/>
    <w:rsid w:val="17D35ABA"/>
    <w:rsid w:val="17D44A24"/>
    <w:rsid w:val="18244F26"/>
    <w:rsid w:val="1830729E"/>
    <w:rsid w:val="1870062C"/>
    <w:rsid w:val="18817102"/>
    <w:rsid w:val="18830A15"/>
    <w:rsid w:val="18852B28"/>
    <w:rsid w:val="188B5321"/>
    <w:rsid w:val="18A30039"/>
    <w:rsid w:val="18AE2F08"/>
    <w:rsid w:val="19932372"/>
    <w:rsid w:val="19A20DD5"/>
    <w:rsid w:val="19AE03F1"/>
    <w:rsid w:val="1A071A03"/>
    <w:rsid w:val="1A0758B3"/>
    <w:rsid w:val="1A1F16AE"/>
    <w:rsid w:val="1A3B5C77"/>
    <w:rsid w:val="1A984BAD"/>
    <w:rsid w:val="1AA10CD0"/>
    <w:rsid w:val="1AB8220E"/>
    <w:rsid w:val="1AE4166C"/>
    <w:rsid w:val="1AF06CFB"/>
    <w:rsid w:val="1AF11B8D"/>
    <w:rsid w:val="1B11359C"/>
    <w:rsid w:val="1B1A44C5"/>
    <w:rsid w:val="1B2A271F"/>
    <w:rsid w:val="1B470C48"/>
    <w:rsid w:val="1B530544"/>
    <w:rsid w:val="1B713184"/>
    <w:rsid w:val="1B86304B"/>
    <w:rsid w:val="1B9D3628"/>
    <w:rsid w:val="1BA209CF"/>
    <w:rsid w:val="1BB4777D"/>
    <w:rsid w:val="1BD75AB8"/>
    <w:rsid w:val="1BE36E79"/>
    <w:rsid w:val="1C0459C2"/>
    <w:rsid w:val="1C1B3B4A"/>
    <w:rsid w:val="1C243679"/>
    <w:rsid w:val="1C395ACC"/>
    <w:rsid w:val="1C88086E"/>
    <w:rsid w:val="1CE7157E"/>
    <w:rsid w:val="1D266CE1"/>
    <w:rsid w:val="1D3872E5"/>
    <w:rsid w:val="1D3963AF"/>
    <w:rsid w:val="1D3D55C7"/>
    <w:rsid w:val="1D4A31E4"/>
    <w:rsid w:val="1D4A664D"/>
    <w:rsid w:val="1D6A673C"/>
    <w:rsid w:val="1D772CCF"/>
    <w:rsid w:val="1D9247AE"/>
    <w:rsid w:val="1DB567EC"/>
    <w:rsid w:val="1DF51A98"/>
    <w:rsid w:val="1E051CD9"/>
    <w:rsid w:val="1E3D060F"/>
    <w:rsid w:val="1E3F7D2E"/>
    <w:rsid w:val="1E4134E4"/>
    <w:rsid w:val="1E456D76"/>
    <w:rsid w:val="1E5062B3"/>
    <w:rsid w:val="1E523514"/>
    <w:rsid w:val="1E714A66"/>
    <w:rsid w:val="1E802593"/>
    <w:rsid w:val="1E8B6156"/>
    <w:rsid w:val="1EA703CC"/>
    <w:rsid w:val="1EAD11F7"/>
    <w:rsid w:val="1EB7330C"/>
    <w:rsid w:val="1ECA5FEF"/>
    <w:rsid w:val="1F0A0FF3"/>
    <w:rsid w:val="1F5771FF"/>
    <w:rsid w:val="1F744118"/>
    <w:rsid w:val="1FAD4AB0"/>
    <w:rsid w:val="1FB87851"/>
    <w:rsid w:val="1FD52574"/>
    <w:rsid w:val="1FE868A9"/>
    <w:rsid w:val="20034907"/>
    <w:rsid w:val="20173E4B"/>
    <w:rsid w:val="204E48BC"/>
    <w:rsid w:val="208921B3"/>
    <w:rsid w:val="20936298"/>
    <w:rsid w:val="20973DEB"/>
    <w:rsid w:val="20B26522"/>
    <w:rsid w:val="20B44310"/>
    <w:rsid w:val="20D83414"/>
    <w:rsid w:val="20F50F48"/>
    <w:rsid w:val="211116EB"/>
    <w:rsid w:val="21316635"/>
    <w:rsid w:val="216133FC"/>
    <w:rsid w:val="21A66EFA"/>
    <w:rsid w:val="21BD1457"/>
    <w:rsid w:val="21D56769"/>
    <w:rsid w:val="21E52EF3"/>
    <w:rsid w:val="21FB5D7B"/>
    <w:rsid w:val="22015E94"/>
    <w:rsid w:val="220B1C3D"/>
    <w:rsid w:val="2210005C"/>
    <w:rsid w:val="221D1D20"/>
    <w:rsid w:val="22334A87"/>
    <w:rsid w:val="225B2CCF"/>
    <w:rsid w:val="22667ECF"/>
    <w:rsid w:val="228E2802"/>
    <w:rsid w:val="22BE6801"/>
    <w:rsid w:val="22C3162D"/>
    <w:rsid w:val="233500BF"/>
    <w:rsid w:val="23377FF7"/>
    <w:rsid w:val="236B425F"/>
    <w:rsid w:val="23836192"/>
    <w:rsid w:val="23901F29"/>
    <w:rsid w:val="239C0061"/>
    <w:rsid w:val="23B908A4"/>
    <w:rsid w:val="23E95BEF"/>
    <w:rsid w:val="23E96F21"/>
    <w:rsid w:val="23F00C4C"/>
    <w:rsid w:val="23FD0064"/>
    <w:rsid w:val="245375B0"/>
    <w:rsid w:val="24642C0A"/>
    <w:rsid w:val="24970DA1"/>
    <w:rsid w:val="24AD788B"/>
    <w:rsid w:val="24B22173"/>
    <w:rsid w:val="24B95AD9"/>
    <w:rsid w:val="24BE24DA"/>
    <w:rsid w:val="24C71C17"/>
    <w:rsid w:val="24CF5825"/>
    <w:rsid w:val="24D663E6"/>
    <w:rsid w:val="24D77F2B"/>
    <w:rsid w:val="253152E6"/>
    <w:rsid w:val="25433633"/>
    <w:rsid w:val="25607675"/>
    <w:rsid w:val="2585779A"/>
    <w:rsid w:val="258B00E2"/>
    <w:rsid w:val="25A416A2"/>
    <w:rsid w:val="25A73215"/>
    <w:rsid w:val="25A917A6"/>
    <w:rsid w:val="25BE27CC"/>
    <w:rsid w:val="25E70F75"/>
    <w:rsid w:val="25F74A5C"/>
    <w:rsid w:val="2628662C"/>
    <w:rsid w:val="262D45DE"/>
    <w:rsid w:val="263C0693"/>
    <w:rsid w:val="2654054C"/>
    <w:rsid w:val="265741DE"/>
    <w:rsid w:val="26871DC8"/>
    <w:rsid w:val="26A53EF9"/>
    <w:rsid w:val="26A94201"/>
    <w:rsid w:val="26AC274F"/>
    <w:rsid w:val="26AE6CBB"/>
    <w:rsid w:val="26CF7792"/>
    <w:rsid w:val="27044A29"/>
    <w:rsid w:val="271C7216"/>
    <w:rsid w:val="271D34C8"/>
    <w:rsid w:val="273F7692"/>
    <w:rsid w:val="276142BF"/>
    <w:rsid w:val="27735025"/>
    <w:rsid w:val="27783712"/>
    <w:rsid w:val="27836C56"/>
    <w:rsid w:val="27907362"/>
    <w:rsid w:val="27920F6C"/>
    <w:rsid w:val="27C543F8"/>
    <w:rsid w:val="28333E1D"/>
    <w:rsid w:val="28454BD6"/>
    <w:rsid w:val="28455253"/>
    <w:rsid w:val="28551971"/>
    <w:rsid w:val="285B1C53"/>
    <w:rsid w:val="289F7086"/>
    <w:rsid w:val="28A14706"/>
    <w:rsid w:val="28C32028"/>
    <w:rsid w:val="28CC490F"/>
    <w:rsid w:val="28D95FBA"/>
    <w:rsid w:val="28DE40AA"/>
    <w:rsid w:val="28ED0577"/>
    <w:rsid w:val="291B7076"/>
    <w:rsid w:val="292439B7"/>
    <w:rsid w:val="29345E77"/>
    <w:rsid w:val="294C65AD"/>
    <w:rsid w:val="29750FD3"/>
    <w:rsid w:val="29806583"/>
    <w:rsid w:val="298B3C4C"/>
    <w:rsid w:val="29F26D24"/>
    <w:rsid w:val="2A15033F"/>
    <w:rsid w:val="2A1662C1"/>
    <w:rsid w:val="2A1C7367"/>
    <w:rsid w:val="2A2815FA"/>
    <w:rsid w:val="2A571F3F"/>
    <w:rsid w:val="2A6D6092"/>
    <w:rsid w:val="2A7D76B4"/>
    <w:rsid w:val="2AC22910"/>
    <w:rsid w:val="2AFE3ECA"/>
    <w:rsid w:val="2B09293F"/>
    <w:rsid w:val="2B107FB6"/>
    <w:rsid w:val="2B1E23E6"/>
    <w:rsid w:val="2B437463"/>
    <w:rsid w:val="2B7807EE"/>
    <w:rsid w:val="2BA50BF7"/>
    <w:rsid w:val="2BBF00EC"/>
    <w:rsid w:val="2BC37CFD"/>
    <w:rsid w:val="2BD5237F"/>
    <w:rsid w:val="2BE536CE"/>
    <w:rsid w:val="2BE758D9"/>
    <w:rsid w:val="2BF346BB"/>
    <w:rsid w:val="2C09049E"/>
    <w:rsid w:val="2C092A4A"/>
    <w:rsid w:val="2C0A653C"/>
    <w:rsid w:val="2C191F85"/>
    <w:rsid w:val="2C3F77A3"/>
    <w:rsid w:val="2C772F4A"/>
    <w:rsid w:val="2C821E76"/>
    <w:rsid w:val="2CB612CD"/>
    <w:rsid w:val="2CE82D6F"/>
    <w:rsid w:val="2CEA3381"/>
    <w:rsid w:val="2D052664"/>
    <w:rsid w:val="2D1063D5"/>
    <w:rsid w:val="2D343236"/>
    <w:rsid w:val="2D394C12"/>
    <w:rsid w:val="2D575011"/>
    <w:rsid w:val="2D9D779E"/>
    <w:rsid w:val="2DBD4B32"/>
    <w:rsid w:val="2DD15014"/>
    <w:rsid w:val="2DF72DE4"/>
    <w:rsid w:val="2E0220AF"/>
    <w:rsid w:val="2E3330F9"/>
    <w:rsid w:val="2E4B082A"/>
    <w:rsid w:val="2E5D4E86"/>
    <w:rsid w:val="2E5D790B"/>
    <w:rsid w:val="2E9A3C18"/>
    <w:rsid w:val="2EBB0FEE"/>
    <w:rsid w:val="2EC63002"/>
    <w:rsid w:val="2F0A6B38"/>
    <w:rsid w:val="2F1B5E9E"/>
    <w:rsid w:val="2F5B0C0F"/>
    <w:rsid w:val="2F633E2C"/>
    <w:rsid w:val="2F946CCB"/>
    <w:rsid w:val="2F991602"/>
    <w:rsid w:val="2F9E23BE"/>
    <w:rsid w:val="2FD25781"/>
    <w:rsid w:val="2FDC745C"/>
    <w:rsid w:val="2FFD7934"/>
    <w:rsid w:val="303A50D1"/>
    <w:rsid w:val="30671032"/>
    <w:rsid w:val="30733ACD"/>
    <w:rsid w:val="308C3862"/>
    <w:rsid w:val="309379D8"/>
    <w:rsid w:val="30A270F7"/>
    <w:rsid w:val="30B26121"/>
    <w:rsid w:val="30DF1478"/>
    <w:rsid w:val="30EC586F"/>
    <w:rsid w:val="31554CFE"/>
    <w:rsid w:val="318554D0"/>
    <w:rsid w:val="318B6F0F"/>
    <w:rsid w:val="319C6071"/>
    <w:rsid w:val="31AC0DC2"/>
    <w:rsid w:val="31AC537E"/>
    <w:rsid w:val="31C2042D"/>
    <w:rsid w:val="31DF06E9"/>
    <w:rsid w:val="31E3679B"/>
    <w:rsid w:val="31E732FD"/>
    <w:rsid w:val="31E879A5"/>
    <w:rsid w:val="32517576"/>
    <w:rsid w:val="328E3B09"/>
    <w:rsid w:val="32B23C2D"/>
    <w:rsid w:val="32BE5C2C"/>
    <w:rsid w:val="32CD7542"/>
    <w:rsid w:val="32FB6478"/>
    <w:rsid w:val="3306278A"/>
    <w:rsid w:val="33263B3F"/>
    <w:rsid w:val="334E7547"/>
    <w:rsid w:val="336437E1"/>
    <w:rsid w:val="336963EB"/>
    <w:rsid w:val="337E29D9"/>
    <w:rsid w:val="33810A0F"/>
    <w:rsid w:val="33816EEB"/>
    <w:rsid w:val="33EB55CD"/>
    <w:rsid w:val="33EC4C02"/>
    <w:rsid w:val="340D2360"/>
    <w:rsid w:val="3410665D"/>
    <w:rsid w:val="341E118A"/>
    <w:rsid w:val="34211214"/>
    <w:rsid w:val="34220D43"/>
    <w:rsid w:val="342E63AB"/>
    <w:rsid w:val="34661FE5"/>
    <w:rsid w:val="34787EAB"/>
    <w:rsid w:val="347C28F2"/>
    <w:rsid w:val="34950E68"/>
    <w:rsid w:val="34986E94"/>
    <w:rsid w:val="34AF62C9"/>
    <w:rsid w:val="34C678E1"/>
    <w:rsid w:val="34CB4388"/>
    <w:rsid w:val="34D74719"/>
    <w:rsid w:val="34FA6E12"/>
    <w:rsid w:val="354D7158"/>
    <w:rsid w:val="358D5588"/>
    <w:rsid w:val="35DF3BBF"/>
    <w:rsid w:val="36085571"/>
    <w:rsid w:val="36107446"/>
    <w:rsid w:val="363A3B40"/>
    <w:rsid w:val="363B5FF4"/>
    <w:rsid w:val="365302AE"/>
    <w:rsid w:val="36547A91"/>
    <w:rsid w:val="3655745F"/>
    <w:rsid w:val="36607A0A"/>
    <w:rsid w:val="366E227C"/>
    <w:rsid w:val="366F2E0D"/>
    <w:rsid w:val="367B6A5C"/>
    <w:rsid w:val="36A74ADA"/>
    <w:rsid w:val="36AD60D5"/>
    <w:rsid w:val="36B224F9"/>
    <w:rsid w:val="36C11399"/>
    <w:rsid w:val="36EA608B"/>
    <w:rsid w:val="36EC0CC9"/>
    <w:rsid w:val="373F410B"/>
    <w:rsid w:val="37AF5C6D"/>
    <w:rsid w:val="37EE7094"/>
    <w:rsid w:val="37EF629C"/>
    <w:rsid w:val="38296C89"/>
    <w:rsid w:val="383002EB"/>
    <w:rsid w:val="3834314F"/>
    <w:rsid w:val="38586797"/>
    <w:rsid w:val="385D15DF"/>
    <w:rsid w:val="38BC0149"/>
    <w:rsid w:val="38D87D1C"/>
    <w:rsid w:val="39353233"/>
    <w:rsid w:val="39636459"/>
    <w:rsid w:val="396B7F6C"/>
    <w:rsid w:val="39B417A9"/>
    <w:rsid w:val="39FC5695"/>
    <w:rsid w:val="3A006D8E"/>
    <w:rsid w:val="3A085499"/>
    <w:rsid w:val="3A265CF7"/>
    <w:rsid w:val="3A3651E5"/>
    <w:rsid w:val="3A744481"/>
    <w:rsid w:val="3A8C7BEF"/>
    <w:rsid w:val="3A906246"/>
    <w:rsid w:val="3AC930A0"/>
    <w:rsid w:val="3B103F10"/>
    <w:rsid w:val="3B1918E3"/>
    <w:rsid w:val="3B2349B7"/>
    <w:rsid w:val="3B317746"/>
    <w:rsid w:val="3B616CFF"/>
    <w:rsid w:val="3B6259F6"/>
    <w:rsid w:val="3B976654"/>
    <w:rsid w:val="3BC01EFC"/>
    <w:rsid w:val="3BCA786A"/>
    <w:rsid w:val="3BD31E2F"/>
    <w:rsid w:val="3BE42827"/>
    <w:rsid w:val="3BF15831"/>
    <w:rsid w:val="3C105946"/>
    <w:rsid w:val="3C44517F"/>
    <w:rsid w:val="3C471448"/>
    <w:rsid w:val="3C5F759A"/>
    <w:rsid w:val="3C6C525A"/>
    <w:rsid w:val="3C99739B"/>
    <w:rsid w:val="3CCE23CB"/>
    <w:rsid w:val="3CD17D17"/>
    <w:rsid w:val="3D316705"/>
    <w:rsid w:val="3D3C7F39"/>
    <w:rsid w:val="3D440F09"/>
    <w:rsid w:val="3D4504A0"/>
    <w:rsid w:val="3D4879E8"/>
    <w:rsid w:val="3D8734BB"/>
    <w:rsid w:val="3D8E3F52"/>
    <w:rsid w:val="3D9A11D4"/>
    <w:rsid w:val="3DA16D89"/>
    <w:rsid w:val="3DA364BE"/>
    <w:rsid w:val="3DE041CB"/>
    <w:rsid w:val="3DEB41E3"/>
    <w:rsid w:val="3E0D48F6"/>
    <w:rsid w:val="3E1868B4"/>
    <w:rsid w:val="3E283A01"/>
    <w:rsid w:val="3E377251"/>
    <w:rsid w:val="3E42664B"/>
    <w:rsid w:val="3E5A7334"/>
    <w:rsid w:val="3E7B5D6B"/>
    <w:rsid w:val="3E843E66"/>
    <w:rsid w:val="3E8E6348"/>
    <w:rsid w:val="3E8F51FE"/>
    <w:rsid w:val="3E926F87"/>
    <w:rsid w:val="3E9A59DE"/>
    <w:rsid w:val="3EAF4836"/>
    <w:rsid w:val="3EC33DFA"/>
    <w:rsid w:val="3EEF0E2E"/>
    <w:rsid w:val="3F060E16"/>
    <w:rsid w:val="3F1D1096"/>
    <w:rsid w:val="3F2F0234"/>
    <w:rsid w:val="3F6363FE"/>
    <w:rsid w:val="3F736254"/>
    <w:rsid w:val="3F756B8F"/>
    <w:rsid w:val="3F95482B"/>
    <w:rsid w:val="3FA37946"/>
    <w:rsid w:val="3FCB05C2"/>
    <w:rsid w:val="40045C0D"/>
    <w:rsid w:val="4019356B"/>
    <w:rsid w:val="402E1412"/>
    <w:rsid w:val="40592157"/>
    <w:rsid w:val="406E1CAE"/>
    <w:rsid w:val="408449BE"/>
    <w:rsid w:val="40A0133A"/>
    <w:rsid w:val="40C31A53"/>
    <w:rsid w:val="40EB298B"/>
    <w:rsid w:val="40FF545D"/>
    <w:rsid w:val="410067C8"/>
    <w:rsid w:val="4134565E"/>
    <w:rsid w:val="418F0D2A"/>
    <w:rsid w:val="41C25D13"/>
    <w:rsid w:val="41D01505"/>
    <w:rsid w:val="41E661E8"/>
    <w:rsid w:val="41EF2310"/>
    <w:rsid w:val="422F26B1"/>
    <w:rsid w:val="42474939"/>
    <w:rsid w:val="424C3C57"/>
    <w:rsid w:val="425B2D8F"/>
    <w:rsid w:val="42613FF3"/>
    <w:rsid w:val="42660D96"/>
    <w:rsid w:val="428667D2"/>
    <w:rsid w:val="42A5185C"/>
    <w:rsid w:val="42CD1CE0"/>
    <w:rsid w:val="42E1381E"/>
    <w:rsid w:val="42ED6459"/>
    <w:rsid w:val="42FE58DD"/>
    <w:rsid w:val="43145402"/>
    <w:rsid w:val="43174B3D"/>
    <w:rsid w:val="434B790E"/>
    <w:rsid w:val="4360274F"/>
    <w:rsid w:val="43977AB6"/>
    <w:rsid w:val="43A3342B"/>
    <w:rsid w:val="43C07DB3"/>
    <w:rsid w:val="43C77C27"/>
    <w:rsid w:val="43DE09EE"/>
    <w:rsid w:val="43E87188"/>
    <w:rsid w:val="44002FAD"/>
    <w:rsid w:val="44195E20"/>
    <w:rsid w:val="442B349E"/>
    <w:rsid w:val="44553BF0"/>
    <w:rsid w:val="449101DD"/>
    <w:rsid w:val="44DE1391"/>
    <w:rsid w:val="451B225C"/>
    <w:rsid w:val="452410C9"/>
    <w:rsid w:val="45317DFB"/>
    <w:rsid w:val="456D3CE4"/>
    <w:rsid w:val="4579042C"/>
    <w:rsid w:val="457F0571"/>
    <w:rsid w:val="45851176"/>
    <w:rsid w:val="45B70D25"/>
    <w:rsid w:val="45C63B94"/>
    <w:rsid w:val="45CC3389"/>
    <w:rsid w:val="460E7DA5"/>
    <w:rsid w:val="46422483"/>
    <w:rsid w:val="465054AF"/>
    <w:rsid w:val="4659254A"/>
    <w:rsid w:val="465B0637"/>
    <w:rsid w:val="465E3F0D"/>
    <w:rsid w:val="466A16E6"/>
    <w:rsid w:val="46893F2B"/>
    <w:rsid w:val="46B478E1"/>
    <w:rsid w:val="46C4686E"/>
    <w:rsid w:val="46F019E3"/>
    <w:rsid w:val="46F838C8"/>
    <w:rsid w:val="47053337"/>
    <w:rsid w:val="47245267"/>
    <w:rsid w:val="477B778F"/>
    <w:rsid w:val="478203EC"/>
    <w:rsid w:val="479C1910"/>
    <w:rsid w:val="47B025FA"/>
    <w:rsid w:val="47C84024"/>
    <w:rsid w:val="4809698F"/>
    <w:rsid w:val="4811697D"/>
    <w:rsid w:val="48383CC7"/>
    <w:rsid w:val="48472A7B"/>
    <w:rsid w:val="486755EB"/>
    <w:rsid w:val="487A3E25"/>
    <w:rsid w:val="488B5503"/>
    <w:rsid w:val="48937E21"/>
    <w:rsid w:val="489A0361"/>
    <w:rsid w:val="48B30FDF"/>
    <w:rsid w:val="48B94FF3"/>
    <w:rsid w:val="48D03190"/>
    <w:rsid w:val="48D21567"/>
    <w:rsid w:val="48E37AAB"/>
    <w:rsid w:val="48FD4B4C"/>
    <w:rsid w:val="49003E52"/>
    <w:rsid w:val="490A68E0"/>
    <w:rsid w:val="491055FE"/>
    <w:rsid w:val="492E397A"/>
    <w:rsid w:val="49367BE6"/>
    <w:rsid w:val="495F5B3E"/>
    <w:rsid w:val="496F77D7"/>
    <w:rsid w:val="497654FD"/>
    <w:rsid w:val="49B00A5E"/>
    <w:rsid w:val="49B64211"/>
    <w:rsid w:val="49F6167F"/>
    <w:rsid w:val="4A064FA0"/>
    <w:rsid w:val="4A0D5242"/>
    <w:rsid w:val="4A16615C"/>
    <w:rsid w:val="4A2E5D5F"/>
    <w:rsid w:val="4A4424D7"/>
    <w:rsid w:val="4A6D6E2B"/>
    <w:rsid w:val="4A8810AE"/>
    <w:rsid w:val="4A9638F4"/>
    <w:rsid w:val="4AB82D0F"/>
    <w:rsid w:val="4AEB7664"/>
    <w:rsid w:val="4AFD7C19"/>
    <w:rsid w:val="4B0567D1"/>
    <w:rsid w:val="4B236AAE"/>
    <w:rsid w:val="4B6E13D4"/>
    <w:rsid w:val="4B707271"/>
    <w:rsid w:val="4B9739F7"/>
    <w:rsid w:val="4BA77C3C"/>
    <w:rsid w:val="4BE331D9"/>
    <w:rsid w:val="4BE85FBF"/>
    <w:rsid w:val="4BEC3762"/>
    <w:rsid w:val="4BEE2503"/>
    <w:rsid w:val="4C245A30"/>
    <w:rsid w:val="4C286E40"/>
    <w:rsid w:val="4CB6685F"/>
    <w:rsid w:val="4CBA03DF"/>
    <w:rsid w:val="4CC367FE"/>
    <w:rsid w:val="4CE75EFE"/>
    <w:rsid w:val="4D077F3C"/>
    <w:rsid w:val="4D123355"/>
    <w:rsid w:val="4D2A3B31"/>
    <w:rsid w:val="4D312C52"/>
    <w:rsid w:val="4D905305"/>
    <w:rsid w:val="4D964A72"/>
    <w:rsid w:val="4D9C1254"/>
    <w:rsid w:val="4DAA3D9C"/>
    <w:rsid w:val="4DCF29BF"/>
    <w:rsid w:val="4E793892"/>
    <w:rsid w:val="4E800872"/>
    <w:rsid w:val="4EC569ED"/>
    <w:rsid w:val="4ED41ABB"/>
    <w:rsid w:val="4ED50EA1"/>
    <w:rsid w:val="4EEC050C"/>
    <w:rsid w:val="4F104EC3"/>
    <w:rsid w:val="4F1E2C3E"/>
    <w:rsid w:val="4F2F7C7D"/>
    <w:rsid w:val="4F47354A"/>
    <w:rsid w:val="4F702AB6"/>
    <w:rsid w:val="4F7273FA"/>
    <w:rsid w:val="4F911C54"/>
    <w:rsid w:val="4FE625E0"/>
    <w:rsid w:val="4FE87BFF"/>
    <w:rsid w:val="4FED6EB1"/>
    <w:rsid w:val="5021480F"/>
    <w:rsid w:val="50962ECB"/>
    <w:rsid w:val="509C7D99"/>
    <w:rsid w:val="50A42E38"/>
    <w:rsid w:val="50A4577F"/>
    <w:rsid w:val="50B73D1F"/>
    <w:rsid w:val="50BD5BC9"/>
    <w:rsid w:val="50C11EEE"/>
    <w:rsid w:val="50E97CFC"/>
    <w:rsid w:val="50FA4028"/>
    <w:rsid w:val="510D65B7"/>
    <w:rsid w:val="511157AB"/>
    <w:rsid w:val="51261F6A"/>
    <w:rsid w:val="5142540C"/>
    <w:rsid w:val="518832C8"/>
    <w:rsid w:val="519D3C50"/>
    <w:rsid w:val="51A0432A"/>
    <w:rsid w:val="51A86090"/>
    <w:rsid w:val="51B7396D"/>
    <w:rsid w:val="51E24605"/>
    <w:rsid w:val="51FF1C91"/>
    <w:rsid w:val="520D35A5"/>
    <w:rsid w:val="522060FD"/>
    <w:rsid w:val="522E4CC3"/>
    <w:rsid w:val="5244713B"/>
    <w:rsid w:val="524C741A"/>
    <w:rsid w:val="52615633"/>
    <w:rsid w:val="526F4DE4"/>
    <w:rsid w:val="52977FD4"/>
    <w:rsid w:val="52A25790"/>
    <w:rsid w:val="52A96B6F"/>
    <w:rsid w:val="52AE699B"/>
    <w:rsid w:val="52B45975"/>
    <w:rsid w:val="52D94AA4"/>
    <w:rsid w:val="52EA3A62"/>
    <w:rsid w:val="52F50BB8"/>
    <w:rsid w:val="53097272"/>
    <w:rsid w:val="531427E9"/>
    <w:rsid w:val="533B2940"/>
    <w:rsid w:val="53544462"/>
    <w:rsid w:val="5397158E"/>
    <w:rsid w:val="53FC3E0F"/>
    <w:rsid w:val="54013861"/>
    <w:rsid w:val="54487265"/>
    <w:rsid w:val="544D6070"/>
    <w:rsid w:val="545A6004"/>
    <w:rsid w:val="54605E1E"/>
    <w:rsid w:val="54706A10"/>
    <w:rsid w:val="54A518FC"/>
    <w:rsid w:val="54B3506A"/>
    <w:rsid w:val="54CA0D16"/>
    <w:rsid w:val="54DD4057"/>
    <w:rsid w:val="54E7490F"/>
    <w:rsid w:val="54F2345A"/>
    <w:rsid w:val="550764A4"/>
    <w:rsid w:val="550B2BF6"/>
    <w:rsid w:val="55214EB5"/>
    <w:rsid w:val="55364EFD"/>
    <w:rsid w:val="555D4828"/>
    <w:rsid w:val="55606172"/>
    <w:rsid w:val="55692FCB"/>
    <w:rsid w:val="557A4C8B"/>
    <w:rsid w:val="558931E1"/>
    <w:rsid w:val="55923347"/>
    <w:rsid w:val="55925180"/>
    <w:rsid w:val="55983B1B"/>
    <w:rsid w:val="55A8376B"/>
    <w:rsid w:val="55C4047F"/>
    <w:rsid w:val="55DC29B6"/>
    <w:rsid w:val="55DD4241"/>
    <w:rsid w:val="55EE0202"/>
    <w:rsid w:val="564B1F53"/>
    <w:rsid w:val="56521D3A"/>
    <w:rsid w:val="566B6D1E"/>
    <w:rsid w:val="567B4E54"/>
    <w:rsid w:val="56FF3160"/>
    <w:rsid w:val="57032A2C"/>
    <w:rsid w:val="570F5219"/>
    <w:rsid w:val="575D12B5"/>
    <w:rsid w:val="57610A87"/>
    <w:rsid w:val="577B1140"/>
    <w:rsid w:val="577B7F21"/>
    <w:rsid w:val="577C04F0"/>
    <w:rsid w:val="577F181B"/>
    <w:rsid w:val="578942F7"/>
    <w:rsid w:val="57921984"/>
    <w:rsid w:val="579737F0"/>
    <w:rsid w:val="57AB7B30"/>
    <w:rsid w:val="57AF5251"/>
    <w:rsid w:val="57B26373"/>
    <w:rsid w:val="57B63F04"/>
    <w:rsid w:val="57CD20C2"/>
    <w:rsid w:val="57D675AB"/>
    <w:rsid w:val="57D73717"/>
    <w:rsid w:val="57D95FDD"/>
    <w:rsid w:val="5835229E"/>
    <w:rsid w:val="58917D2F"/>
    <w:rsid w:val="5894085C"/>
    <w:rsid w:val="58A00D67"/>
    <w:rsid w:val="58AE4F0C"/>
    <w:rsid w:val="58B85899"/>
    <w:rsid w:val="58BC7C67"/>
    <w:rsid w:val="58E363A9"/>
    <w:rsid w:val="59166304"/>
    <w:rsid w:val="595263FD"/>
    <w:rsid w:val="595E1678"/>
    <w:rsid w:val="596D5BD4"/>
    <w:rsid w:val="597E3DD8"/>
    <w:rsid w:val="59D36BE6"/>
    <w:rsid w:val="59F80043"/>
    <w:rsid w:val="5A09252F"/>
    <w:rsid w:val="5A0B2778"/>
    <w:rsid w:val="5A2A7C7B"/>
    <w:rsid w:val="5A2D4BAB"/>
    <w:rsid w:val="5A3E2560"/>
    <w:rsid w:val="5A4411FB"/>
    <w:rsid w:val="5A5D3B6E"/>
    <w:rsid w:val="5A637A76"/>
    <w:rsid w:val="5A6D33BA"/>
    <w:rsid w:val="5A792B1F"/>
    <w:rsid w:val="5A7B3336"/>
    <w:rsid w:val="5A874767"/>
    <w:rsid w:val="5AA85BE2"/>
    <w:rsid w:val="5AAD6F28"/>
    <w:rsid w:val="5AD63A24"/>
    <w:rsid w:val="5B2E1A1D"/>
    <w:rsid w:val="5B843A1C"/>
    <w:rsid w:val="5B873E3F"/>
    <w:rsid w:val="5B97620A"/>
    <w:rsid w:val="5BDF44D5"/>
    <w:rsid w:val="5BFF7BE7"/>
    <w:rsid w:val="5C02690E"/>
    <w:rsid w:val="5C196DA7"/>
    <w:rsid w:val="5C2A048C"/>
    <w:rsid w:val="5C435E21"/>
    <w:rsid w:val="5C80234E"/>
    <w:rsid w:val="5C8A680C"/>
    <w:rsid w:val="5C8B1EEB"/>
    <w:rsid w:val="5CB1499D"/>
    <w:rsid w:val="5CF5334C"/>
    <w:rsid w:val="5D082F2C"/>
    <w:rsid w:val="5D0C4701"/>
    <w:rsid w:val="5D0F0395"/>
    <w:rsid w:val="5D221076"/>
    <w:rsid w:val="5D361092"/>
    <w:rsid w:val="5D397964"/>
    <w:rsid w:val="5D597720"/>
    <w:rsid w:val="5D5A391C"/>
    <w:rsid w:val="5D5F10C0"/>
    <w:rsid w:val="5D634689"/>
    <w:rsid w:val="5D891B7B"/>
    <w:rsid w:val="5D920C30"/>
    <w:rsid w:val="5D990983"/>
    <w:rsid w:val="5DAD38EE"/>
    <w:rsid w:val="5DB85AE5"/>
    <w:rsid w:val="5E006862"/>
    <w:rsid w:val="5E0207B9"/>
    <w:rsid w:val="5E1834A1"/>
    <w:rsid w:val="5E231DE5"/>
    <w:rsid w:val="5E261785"/>
    <w:rsid w:val="5E4A7017"/>
    <w:rsid w:val="5E552BBA"/>
    <w:rsid w:val="5E611C10"/>
    <w:rsid w:val="5E7A0F3F"/>
    <w:rsid w:val="5EC11E59"/>
    <w:rsid w:val="5EFC7377"/>
    <w:rsid w:val="5F06174D"/>
    <w:rsid w:val="5F194EA9"/>
    <w:rsid w:val="5F1F524E"/>
    <w:rsid w:val="5F353186"/>
    <w:rsid w:val="5F3A3602"/>
    <w:rsid w:val="5F3A658C"/>
    <w:rsid w:val="5F45733B"/>
    <w:rsid w:val="5F6277C6"/>
    <w:rsid w:val="5F6D0B1D"/>
    <w:rsid w:val="5F8D0B82"/>
    <w:rsid w:val="5FCC5339"/>
    <w:rsid w:val="5FE34A5B"/>
    <w:rsid w:val="5FFE1E36"/>
    <w:rsid w:val="602008F6"/>
    <w:rsid w:val="60232584"/>
    <w:rsid w:val="607330CE"/>
    <w:rsid w:val="60825176"/>
    <w:rsid w:val="609F2AC4"/>
    <w:rsid w:val="60FA2EE8"/>
    <w:rsid w:val="60FE5BAA"/>
    <w:rsid w:val="61054A27"/>
    <w:rsid w:val="610A52BC"/>
    <w:rsid w:val="611B58BF"/>
    <w:rsid w:val="611D2366"/>
    <w:rsid w:val="61421856"/>
    <w:rsid w:val="615227C4"/>
    <w:rsid w:val="61654E3F"/>
    <w:rsid w:val="6182292A"/>
    <w:rsid w:val="61864411"/>
    <w:rsid w:val="619F7F92"/>
    <w:rsid w:val="61E81EE3"/>
    <w:rsid w:val="61F94C26"/>
    <w:rsid w:val="61FB3293"/>
    <w:rsid w:val="62000E56"/>
    <w:rsid w:val="624F3E49"/>
    <w:rsid w:val="62632286"/>
    <w:rsid w:val="627E4805"/>
    <w:rsid w:val="62885958"/>
    <w:rsid w:val="62886D4B"/>
    <w:rsid w:val="62D42564"/>
    <w:rsid w:val="62D47A8F"/>
    <w:rsid w:val="62F40B65"/>
    <w:rsid w:val="62FC2CFE"/>
    <w:rsid w:val="63024505"/>
    <w:rsid w:val="631808D5"/>
    <w:rsid w:val="635600A5"/>
    <w:rsid w:val="635B1DB5"/>
    <w:rsid w:val="63711FED"/>
    <w:rsid w:val="63880DDC"/>
    <w:rsid w:val="638D750D"/>
    <w:rsid w:val="63AC6CC0"/>
    <w:rsid w:val="64055776"/>
    <w:rsid w:val="641B4F98"/>
    <w:rsid w:val="64240056"/>
    <w:rsid w:val="642A5E62"/>
    <w:rsid w:val="643E143A"/>
    <w:rsid w:val="64491666"/>
    <w:rsid w:val="648B6EEF"/>
    <w:rsid w:val="64C158BF"/>
    <w:rsid w:val="64CE2EAA"/>
    <w:rsid w:val="64E971F0"/>
    <w:rsid w:val="653C3090"/>
    <w:rsid w:val="65854376"/>
    <w:rsid w:val="658767BE"/>
    <w:rsid w:val="65892531"/>
    <w:rsid w:val="65A04A50"/>
    <w:rsid w:val="65BE3902"/>
    <w:rsid w:val="65C23955"/>
    <w:rsid w:val="65C4632A"/>
    <w:rsid w:val="66195831"/>
    <w:rsid w:val="662E75B1"/>
    <w:rsid w:val="66342C2E"/>
    <w:rsid w:val="663E784C"/>
    <w:rsid w:val="664452C4"/>
    <w:rsid w:val="668B6A45"/>
    <w:rsid w:val="66E51EB1"/>
    <w:rsid w:val="671372D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26A8C"/>
    <w:rsid w:val="689F444F"/>
    <w:rsid w:val="68B96DBB"/>
    <w:rsid w:val="68CA2805"/>
    <w:rsid w:val="68CE25CD"/>
    <w:rsid w:val="68E00250"/>
    <w:rsid w:val="68E937A3"/>
    <w:rsid w:val="693E15D3"/>
    <w:rsid w:val="69623E63"/>
    <w:rsid w:val="69627681"/>
    <w:rsid w:val="696E0130"/>
    <w:rsid w:val="6977531D"/>
    <w:rsid w:val="69C15E0F"/>
    <w:rsid w:val="69CC2BFF"/>
    <w:rsid w:val="69FD55B8"/>
    <w:rsid w:val="6A0A597F"/>
    <w:rsid w:val="6A0B1C62"/>
    <w:rsid w:val="6A2406C8"/>
    <w:rsid w:val="6AC4172D"/>
    <w:rsid w:val="6ADE0BD1"/>
    <w:rsid w:val="6AE84C3A"/>
    <w:rsid w:val="6AE96859"/>
    <w:rsid w:val="6AFD3CA4"/>
    <w:rsid w:val="6B0E35F5"/>
    <w:rsid w:val="6B147746"/>
    <w:rsid w:val="6B24787C"/>
    <w:rsid w:val="6B573233"/>
    <w:rsid w:val="6B5B6274"/>
    <w:rsid w:val="6B5E1C25"/>
    <w:rsid w:val="6B71025C"/>
    <w:rsid w:val="6B935D53"/>
    <w:rsid w:val="6C196F71"/>
    <w:rsid w:val="6C226FCB"/>
    <w:rsid w:val="6C23202A"/>
    <w:rsid w:val="6C31226F"/>
    <w:rsid w:val="6C3E501D"/>
    <w:rsid w:val="6C552F0B"/>
    <w:rsid w:val="6C795FF4"/>
    <w:rsid w:val="6C8C67B7"/>
    <w:rsid w:val="6C9D744C"/>
    <w:rsid w:val="6CE922E4"/>
    <w:rsid w:val="6CEA0ED7"/>
    <w:rsid w:val="6D167928"/>
    <w:rsid w:val="6D26299B"/>
    <w:rsid w:val="6D4772EC"/>
    <w:rsid w:val="6D5E30F4"/>
    <w:rsid w:val="6D8C3CB5"/>
    <w:rsid w:val="6D9078AF"/>
    <w:rsid w:val="6DAA3FEF"/>
    <w:rsid w:val="6DB2721F"/>
    <w:rsid w:val="6DC0172B"/>
    <w:rsid w:val="6DCB690C"/>
    <w:rsid w:val="6DD41A5B"/>
    <w:rsid w:val="6DF43C2E"/>
    <w:rsid w:val="6DF51CA3"/>
    <w:rsid w:val="6E0732C3"/>
    <w:rsid w:val="6E0D2956"/>
    <w:rsid w:val="6E7F41A3"/>
    <w:rsid w:val="6E8335BD"/>
    <w:rsid w:val="6E8E12EF"/>
    <w:rsid w:val="6E972936"/>
    <w:rsid w:val="6EC66EAA"/>
    <w:rsid w:val="6ED446C5"/>
    <w:rsid w:val="6F1E43C5"/>
    <w:rsid w:val="6F2A7D94"/>
    <w:rsid w:val="6F5E5E93"/>
    <w:rsid w:val="6F79786C"/>
    <w:rsid w:val="6F8331F1"/>
    <w:rsid w:val="6F9112B1"/>
    <w:rsid w:val="6FAE1A09"/>
    <w:rsid w:val="6FAE56A5"/>
    <w:rsid w:val="6FB252F7"/>
    <w:rsid w:val="6FD75BF8"/>
    <w:rsid w:val="704F0484"/>
    <w:rsid w:val="707723D0"/>
    <w:rsid w:val="708F76B1"/>
    <w:rsid w:val="70DC2853"/>
    <w:rsid w:val="70F5661B"/>
    <w:rsid w:val="712E5952"/>
    <w:rsid w:val="71360107"/>
    <w:rsid w:val="713B688E"/>
    <w:rsid w:val="71C0067F"/>
    <w:rsid w:val="71D43752"/>
    <w:rsid w:val="71D9315A"/>
    <w:rsid w:val="71E34B1B"/>
    <w:rsid w:val="71F1796A"/>
    <w:rsid w:val="72154626"/>
    <w:rsid w:val="72262B5D"/>
    <w:rsid w:val="72283FF7"/>
    <w:rsid w:val="722E7212"/>
    <w:rsid w:val="723A0474"/>
    <w:rsid w:val="723E2EE4"/>
    <w:rsid w:val="725923E4"/>
    <w:rsid w:val="72864BF7"/>
    <w:rsid w:val="729023FC"/>
    <w:rsid w:val="72B353B9"/>
    <w:rsid w:val="72D23FA5"/>
    <w:rsid w:val="72E03217"/>
    <w:rsid w:val="736A7C44"/>
    <w:rsid w:val="739B5A85"/>
    <w:rsid w:val="73B77248"/>
    <w:rsid w:val="73C0646E"/>
    <w:rsid w:val="73EA2589"/>
    <w:rsid w:val="74015934"/>
    <w:rsid w:val="74082FD3"/>
    <w:rsid w:val="741059F6"/>
    <w:rsid w:val="742222F5"/>
    <w:rsid w:val="74476126"/>
    <w:rsid w:val="74706664"/>
    <w:rsid w:val="747F3682"/>
    <w:rsid w:val="74876886"/>
    <w:rsid w:val="749C4185"/>
    <w:rsid w:val="74F87B4B"/>
    <w:rsid w:val="75067759"/>
    <w:rsid w:val="752E6DCD"/>
    <w:rsid w:val="75311A61"/>
    <w:rsid w:val="7551380D"/>
    <w:rsid w:val="75600BB8"/>
    <w:rsid w:val="75600BE5"/>
    <w:rsid w:val="7564475C"/>
    <w:rsid w:val="7583797F"/>
    <w:rsid w:val="75C45967"/>
    <w:rsid w:val="75D20F1D"/>
    <w:rsid w:val="75DA2C18"/>
    <w:rsid w:val="75F53987"/>
    <w:rsid w:val="75F54412"/>
    <w:rsid w:val="76005B51"/>
    <w:rsid w:val="761D08E0"/>
    <w:rsid w:val="7643463B"/>
    <w:rsid w:val="765D347C"/>
    <w:rsid w:val="76826699"/>
    <w:rsid w:val="76C87133"/>
    <w:rsid w:val="76CD08D5"/>
    <w:rsid w:val="76DB4B92"/>
    <w:rsid w:val="77052AA4"/>
    <w:rsid w:val="77136511"/>
    <w:rsid w:val="77340A39"/>
    <w:rsid w:val="77351FD0"/>
    <w:rsid w:val="77472422"/>
    <w:rsid w:val="776B7CF5"/>
    <w:rsid w:val="777F31F2"/>
    <w:rsid w:val="77D1700D"/>
    <w:rsid w:val="77EC04CC"/>
    <w:rsid w:val="77F02FE1"/>
    <w:rsid w:val="783063AF"/>
    <w:rsid w:val="78775729"/>
    <w:rsid w:val="78A42DB0"/>
    <w:rsid w:val="78A656AB"/>
    <w:rsid w:val="78B2245C"/>
    <w:rsid w:val="78E172CC"/>
    <w:rsid w:val="78EA1D1F"/>
    <w:rsid w:val="78EF3DF1"/>
    <w:rsid w:val="78F30566"/>
    <w:rsid w:val="7904172F"/>
    <w:rsid w:val="790F7E27"/>
    <w:rsid w:val="792A231A"/>
    <w:rsid w:val="79316829"/>
    <w:rsid w:val="797E66A9"/>
    <w:rsid w:val="798518A4"/>
    <w:rsid w:val="79A97383"/>
    <w:rsid w:val="79B12995"/>
    <w:rsid w:val="79D7022F"/>
    <w:rsid w:val="79E15B84"/>
    <w:rsid w:val="79E27E8B"/>
    <w:rsid w:val="79F850CE"/>
    <w:rsid w:val="79FD443C"/>
    <w:rsid w:val="7A1D1975"/>
    <w:rsid w:val="7A282137"/>
    <w:rsid w:val="7A3B2D3F"/>
    <w:rsid w:val="7A3E5150"/>
    <w:rsid w:val="7A4670D6"/>
    <w:rsid w:val="7A4F4A5A"/>
    <w:rsid w:val="7A534B63"/>
    <w:rsid w:val="7A615382"/>
    <w:rsid w:val="7A67303B"/>
    <w:rsid w:val="7A724C9A"/>
    <w:rsid w:val="7AAB1D04"/>
    <w:rsid w:val="7ABA4368"/>
    <w:rsid w:val="7AD05746"/>
    <w:rsid w:val="7B032B03"/>
    <w:rsid w:val="7B257FFD"/>
    <w:rsid w:val="7B3063DE"/>
    <w:rsid w:val="7B343476"/>
    <w:rsid w:val="7B5A2978"/>
    <w:rsid w:val="7B5A7E4C"/>
    <w:rsid w:val="7B667AF9"/>
    <w:rsid w:val="7B7468F8"/>
    <w:rsid w:val="7BEE0103"/>
    <w:rsid w:val="7BF35E86"/>
    <w:rsid w:val="7C0A0FE4"/>
    <w:rsid w:val="7C0C65A0"/>
    <w:rsid w:val="7C254906"/>
    <w:rsid w:val="7C4B01F4"/>
    <w:rsid w:val="7C590818"/>
    <w:rsid w:val="7C651E12"/>
    <w:rsid w:val="7C7C10F6"/>
    <w:rsid w:val="7C853BEA"/>
    <w:rsid w:val="7C881368"/>
    <w:rsid w:val="7CE27788"/>
    <w:rsid w:val="7D0C32F1"/>
    <w:rsid w:val="7D0F408D"/>
    <w:rsid w:val="7D1D2855"/>
    <w:rsid w:val="7D491C6C"/>
    <w:rsid w:val="7D5429C0"/>
    <w:rsid w:val="7D6E6D43"/>
    <w:rsid w:val="7D9365DF"/>
    <w:rsid w:val="7DB57A34"/>
    <w:rsid w:val="7DC6485A"/>
    <w:rsid w:val="7DE60973"/>
    <w:rsid w:val="7DEF0916"/>
    <w:rsid w:val="7E1E5218"/>
    <w:rsid w:val="7E896697"/>
    <w:rsid w:val="7E9A4E1F"/>
    <w:rsid w:val="7EA7723A"/>
    <w:rsid w:val="7EB81432"/>
    <w:rsid w:val="7EBC5825"/>
    <w:rsid w:val="7EE53E9B"/>
    <w:rsid w:val="7EE74442"/>
    <w:rsid w:val="7EEA32B5"/>
    <w:rsid w:val="7EF56FBB"/>
    <w:rsid w:val="7F0768EB"/>
    <w:rsid w:val="7F0F634D"/>
    <w:rsid w:val="7F143BEC"/>
    <w:rsid w:val="7F715AF2"/>
    <w:rsid w:val="7F805DBA"/>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5"/>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3"/>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90"/>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next w:val="42"/>
    <w:link w:val="393"/>
    <w:qFormat/>
    <w:uiPriority w:val="99"/>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customStyle="1" w:styleId="4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8"/>
    <w:qFormat/>
    <w:uiPriority w:val="0"/>
    <w:rPr>
      <w:b/>
      <w:bCs/>
    </w:rPr>
  </w:style>
  <w:style w:type="paragraph" w:styleId="62">
    <w:name w:val="Body Text First Indent"/>
    <w:basedOn w:val="23"/>
    <w:next w:val="1"/>
    <w:link w:val="322"/>
    <w:qFormat/>
    <w:uiPriority w:val="0"/>
    <w:pPr>
      <w:ind w:firstLine="420"/>
    </w:pPr>
    <w:rPr>
      <w:rFonts w:hAnsi="Calibri" w:cs="Times New Roman"/>
      <w:snapToGrid/>
      <w:szCs w:val="20"/>
    </w:rPr>
  </w:style>
  <w:style w:type="paragraph" w:styleId="63">
    <w:name w:val="Body Text First Indent 2"/>
    <w:basedOn w:val="24"/>
    <w:link w:val="123"/>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样式3"/>
    <w:basedOn w:val="32"/>
    <w:next w:val="1"/>
    <w:qFormat/>
    <w:uiPriority w:val="0"/>
    <w:pPr>
      <w:tabs>
        <w:tab w:val="left" w:pos="2790"/>
        <w:tab w:val="left" w:pos="4230"/>
      </w:tabs>
      <w:spacing w:before="312" w:beforeLines="100"/>
      <w:jc w:val="left"/>
    </w:pPr>
  </w:style>
  <w:style w:type="paragraph" w:customStyle="1" w:styleId="82">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83">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3"/>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1"/>
    <w:qFormat/>
    <w:uiPriority w:val="0"/>
    <w:rPr>
      <w:rFonts w:ascii="Arial" w:hAnsi="Arial" w:eastAsia="黑体" w:cs="Arial"/>
      <w:snapToGrid w:val="0"/>
      <w:kern w:val="0"/>
      <w:szCs w:val="21"/>
    </w:rPr>
  </w:style>
  <w:style w:type="character" w:customStyle="1" w:styleId="12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basedOn w:val="7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5"/>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8"/>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1"/>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3"/>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0"/>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7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rFonts w:ascii="Times New Roman" w:hAnsi="Times New Roman" w:eastAsia="宋体"/>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3"/>
    <w:next w:val="83"/>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3"/>
    <w:next w:val="83"/>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42"/>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4"/>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9"/>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basedOn w:val="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WPSOffice手动目录 1"/>
    <w:qFormat/>
    <w:uiPriority w:val="0"/>
    <w:pPr>
      <w:ind w:leftChars="0"/>
    </w:pPr>
    <w:rPr>
      <w:rFonts w:ascii="Times New Roman" w:hAnsi="Times New Roman" w:eastAsia="宋体" w:cs="Times New Roman"/>
      <w:sz w:val="20"/>
      <w:szCs w:val="20"/>
    </w:rPr>
  </w:style>
  <w:style w:type="paragraph" w:customStyle="1" w:styleId="964">
    <w:name w:val="WPSOffice手动目录 2"/>
    <w:qFormat/>
    <w:uiPriority w:val="0"/>
    <w:pPr>
      <w:ind w:leftChars="200"/>
    </w:pPr>
    <w:rPr>
      <w:rFonts w:ascii="Times New Roman" w:hAnsi="Times New Roman" w:eastAsia="宋体" w:cs="Times New Roman"/>
      <w:sz w:val="20"/>
      <w:szCs w:val="20"/>
    </w:rPr>
  </w:style>
  <w:style w:type="paragraph" w:customStyle="1" w:styleId="96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6">
    <w:name w:val="NormalCharacter"/>
    <w:qFormat/>
    <w:uiPriority w:val="0"/>
  </w:style>
  <w:style w:type="character" w:customStyle="1" w:styleId="967">
    <w:name w:val="flname8"/>
    <w:qFormat/>
    <w:uiPriority w:val="99"/>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14284</Words>
  <Characters>15640</Characters>
  <Lines>279</Lines>
  <Paragraphs>78</Paragraphs>
  <TotalTime>37</TotalTime>
  <ScaleCrop>false</ScaleCrop>
  <LinksUpToDate>false</LinksUpToDate>
  <CharactersWithSpaces>16053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vbnb</dc:creator>
  <cp:lastModifiedBy>S&amp;W</cp:lastModifiedBy>
  <cp:lastPrinted>2024-10-28T02:22:00Z</cp:lastPrinted>
  <dcterms:modified xsi:type="dcterms:W3CDTF">2024-12-04T09:33:25Z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A409D6EBFF16478C912363BDDC17F4E4_13</vt:lpwstr>
  </property>
</Properties>
</file>