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FC64E">
      <w:pPr>
        <w:spacing w:line="360" w:lineRule="auto"/>
        <w:jc w:val="center"/>
        <w:rPr>
          <w:rFonts w:ascii="宋体" w:hAnsi="宋体" w:cs="宋体"/>
          <w:b/>
          <w:color w:val="auto"/>
          <w:sz w:val="24"/>
          <w:highlight w:val="none"/>
        </w:rPr>
      </w:pPr>
    </w:p>
    <w:p w14:paraId="26E23F5F">
      <w:pPr>
        <w:adjustRightInd/>
        <w:spacing w:line="360" w:lineRule="auto"/>
        <w:jc w:val="center"/>
        <w:rPr>
          <w:rFonts w:ascii="宋体" w:hAnsi="宋体" w:cs="宋体"/>
          <w:b/>
          <w:color w:val="auto"/>
          <w:sz w:val="48"/>
          <w:szCs w:val="48"/>
          <w:highlight w:val="none"/>
        </w:rPr>
      </w:pPr>
    </w:p>
    <w:p w14:paraId="375A5658">
      <w:pPr>
        <w:adjustRightInd/>
        <w:spacing w:line="360" w:lineRule="auto"/>
        <w:jc w:val="center"/>
        <w:outlineLvl w:val="0"/>
        <w:rPr>
          <w:rFonts w:hint="eastAsia" w:ascii="宋体" w:hAnsi="宋体" w:eastAsia="宋体" w:cs="宋体"/>
          <w:color w:val="auto"/>
          <w:sz w:val="52"/>
          <w:szCs w:val="52"/>
          <w:highlight w:val="none"/>
          <w:lang w:eastAsia="zh-CN"/>
        </w:rPr>
      </w:pPr>
      <w:r>
        <w:rPr>
          <w:rFonts w:hint="eastAsia" w:ascii="宋体" w:hAnsi="宋体" w:cs="宋体"/>
          <w:color w:val="auto"/>
          <w:sz w:val="52"/>
          <w:szCs w:val="52"/>
          <w:highlight w:val="none"/>
          <w:lang w:eastAsia="zh-CN"/>
        </w:rPr>
        <w:t>宁波市自然灾害应急能力提升工程基层防灾项目无人机类（第二批）采购项目</w:t>
      </w:r>
    </w:p>
    <w:p w14:paraId="4AFDA238">
      <w:pPr>
        <w:adjustRightInd/>
        <w:spacing w:line="360" w:lineRule="auto"/>
        <w:jc w:val="center"/>
        <w:rPr>
          <w:rFonts w:ascii="宋体" w:hAnsi="宋体" w:cs="宋体"/>
          <w:color w:val="auto"/>
          <w:sz w:val="48"/>
          <w:szCs w:val="48"/>
          <w:highlight w:val="none"/>
        </w:rPr>
      </w:pPr>
      <w:r>
        <w:rPr>
          <w:rFonts w:hint="eastAsia" w:ascii="宋体" w:hAnsi="宋体" w:cs="宋体"/>
          <w:color w:val="auto"/>
          <w:sz w:val="52"/>
          <w:szCs w:val="52"/>
          <w:highlight w:val="none"/>
        </w:rPr>
        <w:t>招标文件</w:t>
      </w:r>
      <w:r>
        <w:rPr>
          <w:rFonts w:hint="eastAsia" w:ascii="宋体" w:hAnsi="宋体" w:cs="宋体"/>
          <w:color w:val="auto"/>
          <w:sz w:val="48"/>
          <w:szCs w:val="48"/>
          <w:highlight w:val="none"/>
        </w:rPr>
        <w:t xml:space="preserve"> </w:t>
      </w:r>
    </w:p>
    <w:p w14:paraId="03C220A3">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4258030">
      <w:pPr>
        <w:snapToGrid w:val="0"/>
        <w:spacing w:line="360" w:lineRule="auto"/>
        <w:jc w:val="center"/>
        <w:outlineLvl w:val="0"/>
        <w:rPr>
          <w:rFonts w:hint="eastAsia" w:ascii="宋体" w:hAnsi="宋体" w:eastAsia="宋体" w:cs="宋体"/>
          <w:color w:val="auto"/>
          <w:sz w:val="36"/>
          <w:szCs w:val="36"/>
          <w:highlight w:val="none"/>
          <w:lang w:eastAsia="zh-CN"/>
        </w:rPr>
      </w:pPr>
      <w:bookmarkStart w:id="0" w:name="_Toc32255"/>
      <w:r>
        <w:rPr>
          <w:rFonts w:hint="eastAsia" w:ascii="宋体" w:hAnsi="宋体" w:cs="宋体"/>
          <w:color w:val="auto"/>
          <w:sz w:val="36"/>
          <w:szCs w:val="36"/>
          <w:highlight w:val="none"/>
        </w:rPr>
        <w:t>项目编号</w:t>
      </w:r>
      <w:r>
        <w:rPr>
          <w:rFonts w:hint="eastAsia" w:ascii="宋体" w:hAnsi="宋体" w:cs="宋体"/>
          <w:color w:val="auto"/>
          <w:sz w:val="36"/>
          <w:szCs w:val="36"/>
          <w:highlight w:val="none"/>
          <w:lang w:eastAsia="zh-CN"/>
        </w:rPr>
        <w:t>：</w:t>
      </w:r>
      <w:bookmarkEnd w:id="0"/>
      <w:r>
        <w:rPr>
          <w:rFonts w:hint="eastAsia" w:ascii="宋体" w:hAnsi="宋体" w:cs="宋体"/>
          <w:color w:val="auto"/>
          <w:sz w:val="36"/>
          <w:szCs w:val="36"/>
          <w:highlight w:val="none"/>
          <w:lang w:eastAsia="zh-CN"/>
        </w:rPr>
        <w:t>CBNB-20242605G</w:t>
      </w:r>
    </w:p>
    <w:p w14:paraId="537A6193">
      <w:pPr>
        <w:adjustRightInd/>
        <w:spacing w:line="360" w:lineRule="auto"/>
        <w:rPr>
          <w:rFonts w:ascii="宋体" w:hAnsi="宋体" w:cs="宋体"/>
          <w:color w:val="auto"/>
          <w:sz w:val="28"/>
          <w:szCs w:val="20"/>
          <w:highlight w:val="none"/>
        </w:rPr>
      </w:pPr>
    </w:p>
    <w:p w14:paraId="5A295B38">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BB5199E">
      <w:pPr>
        <w:spacing w:line="360" w:lineRule="auto"/>
        <w:jc w:val="center"/>
        <w:rPr>
          <w:rFonts w:ascii="宋体" w:hAnsi="宋体" w:cs="宋体"/>
          <w:b/>
          <w:color w:val="auto"/>
          <w:sz w:val="44"/>
          <w:szCs w:val="44"/>
          <w:highlight w:val="none"/>
        </w:rPr>
      </w:pPr>
    </w:p>
    <w:p w14:paraId="7B7C5D9A">
      <w:pPr>
        <w:spacing w:line="360" w:lineRule="auto"/>
        <w:jc w:val="center"/>
        <w:rPr>
          <w:rFonts w:ascii="宋体" w:hAnsi="宋体" w:cs="宋体"/>
          <w:color w:val="auto"/>
          <w:sz w:val="24"/>
          <w:highlight w:val="none"/>
        </w:rPr>
      </w:pPr>
    </w:p>
    <w:p w14:paraId="6D6143A4">
      <w:pPr>
        <w:spacing w:line="360" w:lineRule="auto"/>
        <w:jc w:val="center"/>
        <w:rPr>
          <w:rFonts w:ascii="宋体" w:hAnsi="宋体" w:cs="宋体"/>
          <w:color w:val="auto"/>
          <w:sz w:val="24"/>
          <w:highlight w:val="none"/>
        </w:rPr>
      </w:pPr>
    </w:p>
    <w:p w14:paraId="3DAE08C8">
      <w:pPr>
        <w:spacing w:line="360" w:lineRule="auto"/>
        <w:rPr>
          <w:rFonts w:ascii="宋体" w:hAnsi="宋体" w:cs="宋体"/>
          <w:color w:val="auto"/>
          <w:sz w:val="32"/>
          <w:szCs w:val="32"/>
          <w:highlight w:val="none"/>
        </w:rPr>
      </w:pPr>
    </w:p>
    <w:p w14:paraId="231AD95D">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采购人：宁波市应急管理局</w:t>
      </w:r>
    </w:p>
    <w:p w14:paraId="05B0A85D">
      <w:pPr>
        <w:spacing w:line="360" w:lineRule="auto"/>
        <w:jc w:val="center"/>
        <w:outlineLvl w:val="0"/>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bookmarkStart w:id="1" w:name="_Toc2466"/>
      <w:bookmarkStart w:id="2" w:name="_Toc28982"/>
      <w:r>
        <w:rPr>
          <w:rFonts w:hint="eastAsia" w:ascii="宋体" w:hAnsi="宋体" w:cs="宋体"/>
          <w:bCs/>
          <w:color w:val="auto"/>
          <w:sz w:val="32"/>
          <w:szCs w:val="32"/>
          <w:highlight w:val="none"/>
        </w:rPr>
        <w:t>采购代理机构：宁波中基国际招标有限公司</w:t>
      </w:r>
      <w:bookmarkEnd w:id="1"/>
      <w:bookmarkEnd w:id="2"/>
    </w:p>
    <w:p w14:paraId="53DAC29C">
      <w:pPr>
        <w:spacing w:line="360" w:lineRule="auto"/>
        <w:jc w:val="center"/>
        <w:rPr>
          <w:rFonts w:ascii="宋体" w:hAnsi="宋体" w:cs="宋体"/>
          <w:bCs/>
          <w:color w:val="auto"/>
          <w:sz w:val="32"/>
          <w:szCs w:val="32"/>
          <w:highlight w:val="none"/>
        </w:rPr>
      </w:pPr>
    </w:p>
    <w:p w14:paraId="28609BF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w:t>
      </w:r>
      <w:r>
        <w:rPr>
          <w:rFonts w:hint="eastAsia" w:ascii="宋体" w:hAnsi="宋体" w:cs="宋体"/>
          <w:bCs/>
          <w:color w:val="auto"/>
          <w:sz w:val="32"/>
          <w:szCs w:val="32"/>
          <w:highlight w:val="none"/>
          <w:lang w:val="en-US" w:eastAsia="zh-CN"/>
        </w:rPr>
        <w:t>十二</w:t>
      </w:r>
      <w:r>
        <w:rPr>
          <w:rFonts w:hint="eastAsia" w:ascii="宋体" w:hAnsi="宋体" w:cs="宋体"/>
          <w:bCs/>
          <w:color w:val="auto"/>
          <w:sz w:val="32"/>
          <w:szCs w:val="32"/>
          <w:highlight w:val="none"/>
        </w:rPr>
        <w:t>月</w:t>
      </w:r>
    </w:p>
    <w:p w14:paraId="6D134E1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3" w:name="_Hlt67893495"/>
      <w:bookmarkEnd w:id="3"/>
    </w:p>
    <w:p w14:paraId="4CBBB218">
      <w:pPr>
        <w:spacing w:line="360" w:lineRule="auto"/>
        <w:rPr>
          <w:rFonts w:ascii="宋体" w:hAnsi="宋体" w:cs="宋体"/>
          <w:color w:val="auto"/>
          <w:sz w:val="32"/>
          <w:szCs w:val="32"/>
          <w:highlight w:val="none"/>
        </w:rPr>
      </w:pPr>
    </w:p>
    <w:p w14:paraId="0D5CB961">
      <w:pPr>
        <w:spacing w:line="48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目  录</w:t>
      </w:r>
    </w:p>
    <w:p w14:paraId="3392B8CA">
      <w:pPr>
        <w:pStyle w:val="43"/>
        <w:tabs>
          <w:tab w:val="right" w:leader="dot" w:pos="9070"/>
        </w:tabs>
        <w:spacing w:line="480" w:lineRule="auto"/>
        <w:rPr>
          <w:color w:val="auto"/>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TOC \o "1-1" \h \u </w:instrText>
      </w:r>
      <w:r>
        <w:rPr>
          <w:rFonts w:hint="eastAsia" w:ascii="宋体" w:hAnsi="宋体" w:cs="宋体"/>
          <w:color w:val="auto"/>
          <w:sz w:val="30"/>
          <w:szCs w:val="30"/>
          <w:highlight w:val="none"/>
        </w:rPr>
        <w:fldChar w:fldCharType="separate"/>
      </w:r>
    </w:p>
    <w:sdt>
      <w:sdtPr>
        <w:rPr>
          <w:rFonts w:ascii="宋体" w:hAnsi="宋体"/>
          <w:color w:val="auto"/>
          <w:sz w:val="30"/>
          <w:szCs w:val="30"/>
          <w:highlight w:val="none"/>
        </w:rPr>
        <w:id w:val="147472876"/>
        <w:docPartObj>
          <w:docPartGallery w:val="Table of Contents"/>
          <w:docPartUnique/>
        </w:docPartObj>
      </w:sdtPr>
      <w:sdtEndPr>
        <w:rPr>
          <w:rFonts w:hint="eastAsia" w:ascii="Times New Roman" w:hAnsi="Times New Roman"/>
          <w:color w:val="auto"/>
          <w:sz w:val="30"/>
          <w:szCs w:val="30"/>
          <w:highlight w:val="none"/>
        </w:rPr>
      </w:sdtEndPr>
      <w:sdtContent>
        <w:p w14:paraId="78E2510D">
          <w:pPr>
            <w:pStyle w:val="43"/>
            <w:tabs>
              <w:tab w:val="right" w:leader="dot" w:pos="9070"/>
            </w:tabs>
            <w:spacing w:line="480" w:lineRule="auto"/>
            <w:rPr>
              <w:color w:val="auto"/>
              <w:sz w:val="30"/>
              <w:szCs w:val="30"/>
              <w:highlight w:val="none"/>
            </w:rPr>
          </w:pPr>
          <w:r>
            <w:rPr>
              <w:rFonts w:hint="eastAsia"/>
              <w:color w:val="auto"/>
              <w:sz w:val="30"/>
              <w:szCs w:val="30"/>
              <w:highlight w:val="none"/>
            </w:rPr>
            <w:fldChar w:fldCharType="begin"/>
          </w:r>
          <w:r>
            <w:rPr>
              <w:rFonts w:hint="eastAsia"/>
              <w:color w:val="auto"/>
              <w:sz w:val="30"/>
              <w:szCs w:val="30"/>
              <w:highlight w:val="none"/>
            </w:rPr>
            <w:instrText xml:space="preserve">TOC \o "1-1" \h \u </w:instrText>
          </w:r>
          <w:r>
            <w:rPr>
              <w:rFonts w:hint="eastAsia"/>
              <w:color w:val="auto"/>
              <w:sz w:val="30"/>
              <w:szCs w:val="30"/>
              <w:highlight w:val="none"/>
            </w:rPr>
            <w:fldChar w:fldCharType="separate"/>
          </w:r>
        </w:p>
        <w:p w14:paraId="6CC19A7E">
          <w:pPr>
            <w:pStyle w:val="964"/>
            <w:tabs>
              <w:tab w:val="right" w:leader="dot" w:pos="9026"/>
            </w:tabs>
            <w:spacing w:line="480" w:lineRule="auto"/>
            <w:rPr>
              <w:color w:val="auto"/>
              <w:sz w:val="30"/>
              <w:szCs w:val="30"/>
              <w:highlight w:val="none"/>
            </w:rPr>
          </w:pPr>
          <w:r>
            <w:rPr>
              <w:color w:val="auto"/>
              <w:highlight w:val="none"/>
            </w:rPr>
            <w:fldChar w:fldCharType="begin"/>
          </w:r>
          <w:r>
            <w:rPr>
              <w:color w:val="auto"/>
              <w:highlight w:val="none"/>
            </w:rPr>
            <w:instrText xml:space="preserve"> HYPERLINK \l "_Toc28904" </w:instrText>
          </w:r>
          <w:r>
            <w:rPr>
              <w:color w:val="auto"/>
              <w:highlight w:val="none"/>
            </w:rPr>
            <w:fldChar w:fldCharType="separate"/>
          </w:r>
          <w:r>
            <w:rPr>
              <w:rFonts w:hint="eastAsia"/>
              <w:color w:val="auto"/>
              <w:sz w:val="30"/>
              <w:szCs w:val="30"/>
              <w:highlight w:val="none"/>
            </w:rPr>
            <w:t>第一部分 招标公告</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_Toc28904 \h </w:instrText>
          </w:r>
          <w:r>
            <w:rPr>
              <w:color w:val="auto"/>
              <w:sz w:val="30"/>
              <w:szCs w:val="30"/>
              <w:highlight w:val="none"/>
            </w:rPr>
            <w:fldChar w:fldCharType="separate"/>
          </w:r>
          <w:r>
            <w:rPr>
              <w:color w:val="auto"/>
              <w:sz w:val="30"/>
              <w:szCs w:val="30"/>
              <w:highlight w:val="none"/>
            </w:rPr>
            <w:t>3</w:t>
          </w:r>
          <w:r>
            <w:rPr>
              <w:color w:val="auto"/>
              <w:sz w:val="30"/>
              <w:szCs w:val="30"/>
              <w:highlight w:val="none"/>
            </w:rPr>
            <w:fldChar w:fldCharType="end"/>
          </w:r>
          <w:r>
            <w:rPr>
              <w:color w:val="auto"/>
              <w:sz w:val="30"/>
              <w:szCs w:val="30"/>
              <w:highlight w:val="none"/>
            </w:rPr>
            <w:fldChar w:fldCharType="end"/>
          </w:r>
        </w:p>
        <w:p w14:paraId="7DF1B685">
          <w:pPr>
            <w:pStyle w:val="964"/>
            <w:tabs>
              <w:tab w:val="right" w:leader="dot" w:pos="9026"/>
            </w:tabs>
            <w:spacing w:line="480" w:lineRule="auto"/>
            <w:rPr>
              <w:color w:val="auto"/>
              <w:sz w:val="30"/>
              <w:szCs w:val="30"/>
              <w:highlight w:val="none"/>
            </w:rPr>
          </w:pPr>
          <w:r>
            <w:rPr>
              <w:color w:val="auto"/>
              <w:highlight w:val="none"/>
            </w:rPr>
            <w:fldChar w:fldCharType="begin"/>
          </w:r>
          <w:r>
            <w:rPr>
              <w:color w:val="auto"/>
              <w:highlight w:val="none"/>
            </w:rPr>
            <w:instrText xml:space="preserve"> HYPERLINK \l "_Toc13179" </w:instrText>
          </w:r>
          <w:r>
            <w:rPr>
              <w:color w:val="auto"/>
              <w:highlight w:val="none"/>
            </w:rPr>
            <w:fldChar w:fldCharType="separate"/>
          </w:r>
          <w:r>
            <w:rPr>
              <w:rFonts w:hint="eastAsia"/>
              <w:color w:val="auto"/>
              <w:sz w:val="30"/>
              <w:szCs w:val="30"/>
              <w:highlight w:val="none"/>
            </w:rPr>
            <w:t>第二部分 投标人须知</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_Toc13179 \h </w:instrText>
          </w:r>
          <w:r>
            <w:rPr>
              <w:color w:val="auto"/>
              <w:sz w:val="30"/>
              <w:szCs w:val="30"/>
              <w:highlight w:val="none"/>
            </w:rPr>
            <w:fldChar w:fldCharType="separate"/>
          </w:r>
          <w:r>
            <w:rPr>
              <w:color w:val="auto"/>
              <w:sz w:val="30"/>
              <w:szCs w:val="30"/>
              <w:highlight w:val="none"/>
            </w:rPr>
            <w:t>7</w:t>
          </w:r>
          <w:r>
            <w:rPr>
              <w:color w:val="auto"/>
              <w:sz w:val="30"/>
              <w:szCs w:val="30"/>
              <w:highlight w:val="none"/>
            </w:rPr>
            <w:fldChar w:fldCharType="end"/>
          </w:r>
          <w:r>
            <w:rPr>
              <w:color w:val="auto"/>
              <w:sz w:val="30"/>
              <w:szCs w:val="30"/>
              <w:highlight w:val="none"/>
            </w:rPr>
            <w:fldChar w:fldCharType="end"/>
          </w:r>
        </w:p>
        <w:p w14:paraId="01E20630">
          <w:pPr>
            <w:pStyle w:val="964"/>
            <w:tabs>
              <w:tab w:val="right" w:leader="dot" w:pos="9026"/>
            </w:tabs>
            <w:spacing w:line="480" w:lineRule="auto"/>
            <w:rPr>
              <w:color w:val="auto"/>
              <w:sz w:val="30"/>
              <w:szCs w:val="30"/>
              <w:highlight w:val="none"/>
            </w:rPr>
          </w:pPr>
          <w:r>
            <w:rPr>
              <w:color w:val="auto"/>
              <w:highlight w:val="none"/>
            </w:rPr>
            <w:fldChar w:fldCharType="begin"/>
          </w:r>
          <w:r>
            <w:rPr>
              <w:color w:val="auto"/>
              <w:highlight w:val="none"/>
            </w:rPr>
            <w:instrText xml:space="preserve"> HYPERLINK \l "_Toc32183" </w:instrText>
          </w:r>
          <w:r>
            <w:rPr>
              <w:color w:val="auto"/>
              <w:highlight w:val="none"/>
            </w:rPr>
            <w:fldChar w:fldCharType="separate"/>
          </w:r>
          <w:r>
            <w:rPr>
              <w:rFonts w:hint="eastAsia"/>
              <w:color w:val="auto"/>
              <w:sz w:val="30"/>
              <w:szCs w:val="30"/>
              <w:highlight w:val="none"/>
            </w:rPr>
            <w:t>第三部分 采购需求</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_Toc32183 \h </w:instrText>
          </w:r>
          <w:r>
            <w:rPr>
              <w:color w:val="auto"/>
              <w:sz w:val="30"/>
              <w:szCs w:val="30"/>
              <w:highlight w:val="none"/>
            </w:rPr>
            <w:fldChar w:fldCharType="separate"/>
          </w:r>
          <w:r>
            <w:rPr>
              <w:color w:val="auto"/>
              <w:sz w:val="30"/>
              <w:szCs w:val="30"/>
              <w:highlight w:val="none"/>
            </w:rPr>
            <w:t>20</w:t>
          </w:r>
          <w:r>
            <w:rPr>
              <w:color w:val="auto"/>
              <w:sz w:val="30"/>
              <w:szCs w:val="30"/>
              <w:highlight w:val="none"/>
            </w:rPr>
            <w:fldChar w:fldCharType="end"/>
          </w:r>
          <w:r>
            <w:rPr>
              <w:color w:val="auto"/>
              <w:sz w:val="30"/>
              <w:szCs w:val="30"/>
              <w:highlight w:val="none"/>
            </w:rPr>
            <w:fldChar w:fldCharType="end"/>
          </w:r>
        </w:p>
        <w:p w14:paraId="41FBEB67">
          <w:pPr>
            <w:pStyle w:val="964"/>
            <w:tabs>
              <w:tab w:val="right" w:leader="dot" w:pos="9026"/>
            </w:tabs>
            <w:spacing w:line="480" w:lineRule="auto"/>
            <w:rPr>
              <w:color w:val="auto"/>
              <w:sz w:val="30"/>
              <w:szCs w:val="30"/>
              <w:highlight w:val="none"/>
            </w:rPr>
          </w:pPr>
          <w:r>
            <w:rPr>
              <w:color w:val="auto"/>
              <w:highlight w:val="none"/>
            </w:rPr>
            <w:fldChar w:fldCharType="begin"/>
          </w:r>
          <w:r>
            <w:rPr>
              <w:color w:val="auto"/>
              <w:highlight w:val="none"/>
            </w:rPr>
            <w:instrText xml:space="preserve"> HYPERLINK \l "_Toc29375" </w:instrText>
          </w:r>
          <w:r>
            <w:rPr>
              <w:color w:val="auto"/>
              <w:highlight w:val="none"/>
            </w:rPr>
            <w:fldChar w:fldCharType="separate"/>
          </w:r>
          <w:r>
            <w:rPr>
              <w:rFonts w:hint="eastAsia"/>
              <w:color w:val="auto"/>
              <w:sz w:val="30"/>
              <w:szCs w:val="30"/>
              <w:highlight w:val="none"/>
            </w:rPr>
            <w:t>第四部分 评标办法</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_Toc29375 \h </w:instrText>
          </w:r>
          <w:r>
            <w:rPr>
              <w:color w:val="auto"/>
              <w:sz w:val="30"/>
              <w:szCs w:val="30"/>
              <w:highlight w:val="none"/>
            </w:rPr>
            <w:fldChar w:fldCharType="separate"/>
          </w:r>
          <w:r>
            <w:rPr>
              <w:color w:val="auto"/>
              <w:sz w:val="30"/>
              <w:szCs w:val="30"/>
              <w:highlight w:val="none"/>
            </w:rPr>
            <w:t>33</w:t>
          </w:r>
          <w:r>
            <w:rPr>
              <w:color w:val="auto"/>
              <w:sz w:val="30"/>
              <w:szCs w:val="30"/>
              <w:highlight w:val="none"/>
            </w:rPr>
            <w:fldChar w:fldCharType="end"/>
          </w:r>
          <w:r>
            <w:rPr>
              <w:color w:val="auto"/>
              <w:sz w:val="30"/>
              <w:szCs w:val="30"/>
              <w:highlight w:val="none"/>
            </w:rPr>
            <w:fldChar w:fldCharType="end"/>
          </w:r>
        </w:p>
        <w:p w14:paraId="23DB2EF4">
          <w:pPr>
            <w:pStyle w:val="964"/>
            <w:tabs>
              <w:tab w:val="right" w:leader="dot" w:pos="9026"/>
            </w:tabs>
            <w:spacing w:line="480" w:lineRule="auto"/>
            <w:rPr>
              <w:color w:val="auto"/>
              <w:sz w:val="30"/>
              <w:szCs w:val="30"/>
              <w:highlight w:val="none"/>
            </w:rPr>
          </w:pPr>
          <w:r>
            <w:rPr>
              <w:color w:val="auto"/>
              <w:highlight w:val="none"/>
            </w:rPr>
            <w:fldChar w:fldCharType="begin"/>
          </w:r>
          <w:r>
            <w:rPr>
              <w:color w:val="auto"/>
              <w:highlight w:val="none"/>
            </w:rPr>
            <w:instrText xml:space="preserve"> HYPERLINK \l "_Toc10897" </w:instrText>
          </w:r>
          <w:r>
            <w:rPr>
              <w:color w:val="auto"/>
              <w:highlight w:val="none"/>
            </w:rPr>
            <w:fldChar w:fldCharType="separate"/>
          </w:r>
          <w:r>
            <w:rPr>
              <w:rFonts w:hint="eastAsia"/>
              <w:color w:val="auto"/>
              <w:sz w:val="30"/>
              <w:szCs w:val="30"/>
              <w:highlight w:val="none"/>
            </w:rPr>
            <w:t>第五部分 拟签订的合同文本</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_Toc10897 \h </w:instrText>
          </w:r>
          <w:r>
            <w:rPr>
              <w:color w:val="auto"/>
              <w:sz w:val="30"/>
              <w:szCs w:val="30"/>
              <w:highlight w:val="none"/>
            </w:rPr>
            <w:fldChar w:fldCharType="separate"/>
          </w:r>
          <w:r>
            <w:rPr>
              <w:color w:val="auto"/>
              <w:sz w:val="30"/>
              <w:szCs w:val="30"/>
              <w:highlight w:val="none"/>
            </w:rPr>
            <w:t>41</w:t>
          </w:r>
          <w:r>
            <w:rPr>
              <w:color w:val="auto"/>
              <w:sz w:val="30"/>
              <w:szCs w:val="30"/>
              <w:highlight w:val="none"/>
            </w:rPr>
            <w:fldChar w:fldCharType="end"/>
          </w:r>
          <w:r>
            <w:rPr>
              <w:color w:val="auto"/>
              <w:sz w:val="30"/>
              <w:szCs w:val="30"/>
              <w:highlight w:val="none"/>
            </w:rPr>
            <w:fldChar w:fldCharType="end"/>
          </w:r>
        </w:p>
        <w:p w14:paraId="2A3F86D5">
          <w:pPr>
            <w:pStyle w:val="964"/>
            <w:tabs>
              <w:tab w:val="right" w:leader="dot" w:pos="9026"/>
            </w:tabs>
            <w:spacing w:line="480" w:lineRule="auto"/>
            <w:rPr>
              <w:color w:val="auto"/>
              <w:sz w:val="30"/>
              <w:szCs w:val="30"/>
              <w:highlight w:val="none"/>
            </w:rPr>
          </w:pPr>
          <w:r>
            <w:rPr>
              <w:color w:val="auto"/>
              <w:highlight w:val="none"/>
            </w:rPr>
            <w:fldChar w:fldCharType="begin"/>
          </w:r>
          <w:r>
            <w:rPr>
              <w:color w:val="auto"/>
              <w:highlight w:val="none"/>
            </w:rPr>
            <w:instrText xml:space="preserve"> HYPERLINK \l "_Toc22703" </w:instrText>
          </w:r>
          <w:r>
            <w:rPr>
              <w:color w:val="auto"/>
              <w:highlight w:val="none"/>
            </w:rPr>
            <w:fldChar w:fldCharType="separate"/>
          </w:r>
          <w:r>
            <w:rPr>
              <w:rFonts w:hint="eastAsia"/>
              <w:color w:val="auto"/>
              <w:sz w:val="30"/>
              <w:szCs w:val="30"/>
              <w:highlight w:val="none"/>
            </w:rPr>
            <w:t>第六部分 应提交的有关格式范例</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_Toc22703 \h </w:instrText>
          </w:r>
          <w:r>
            <w:rPr>
              <w:color w:val="auto"/>
              <w:sz w:val="30"/>
              <w:szCs w:val="30"/>
              <w:highlight w:val="none"/>
            </w:rPr>
            <w:fldChar w:fldCharType="separate"/>
          </w:r>
          <w:r>
            <w:rPr>
              <w:color w:val="auto"/>
              <w:sz w:val="30"/>
              <w:szCs w:val="30"/>
              <w:highlight w:val="none"/>
            </w:rPr>
            <w:t>48</w:t>
          </w:r>
          <w:r>
            <w:rPr>
              <w:color w:val="auto"/>
              <w:sz w:val="30"/>
              <w:szCs w:val="30"/>
              <w:highlight w:val="none"/>
            </w:rPr>
            <w:fldChar w:fldCharType="end"/>
          </w:r>
          <w:r>
            <w:rPr>
              <w:color w:val="auto"/>
              <w:sz w:val="30"/>
              <w:szCs w:val="30"/>
              <w:highlight w:val="none"/>
            </w:rPr>
            <w:fldChar w:fldCharType="end"/>
          </w:r>
          <w:r>
            <w:rPr>
              <w:rFonts w:hint="eastAsia"/>
              <w:color w:val="auto"/>
              <w:sz w:val="30"/>
              <w:szCs w:val="30"/>
              <w:highlight w:val="none"/>
            </w:rPr>
            <w:fldChar w:fldCharType="end"/>
          </w:r>
        </w:p>
      </w:sdtContent>
    </w:sdt>
    <w:p w14:paraId="24E14B4F">
      <w:pPr>
        <w:spacing w:line="480" w:lineRule="auto"/>
        <w:rPr>
          <w:rFonts w:ascii="宋体" w:hAnsi="宋体" w:cs="宋体"/>
          <w:color w:val="auto"/>
          <w:sz w:val="30"/>
          <w:szCs w:val="30"/>
          <w:highlight w:val="none"/>
        </w:rPr>
      </w:pPr>
      <w:r>
        <w:rPr>
          <w:rFonts w:hint="eastAsia" w:ascii="宋体" w:hAnsi="宋体" w:cs="宋体"/>
          <w:color w:val="auto"/>
          <w:sz w:val="30"/>
          <w:szCs w:val="30"/>
          <w:highlight w:val="none"/>
        </w:rPr>
        <w:fldChar w:fldCharType="end"/>
      </w:r>
      <w:bookmarkStart w:id="4" w:name="_Hlt91233176"/>
      <w:bookmarkEnd w:id="4"/>
      <w:bookmarkStart w:id="5" w:name="_Toc91899869"/>
    </w:p>
    <w:p w14:paraId="4397BB74">
      <w:pPr>
        <w:spacing w:line="480" w:lineRule="auto"/>
        <w:rPr>
          <w:rFonts w:ascii="宋体" w:hAnsi="宋体" w:cs="宋体"/>
          <w:color w:val="auto"/>
          <w:sz w:val="24"/>
          <w:highlight w:val="none"/>
        </w:rPr>
      </w:pPr>
    </w:p>
    <w:p w14:paraId="625D34A5">
      <w:pPr>
        <w:spacing w:line="360" w:lineRule="auto"/>
        <w:ind w:firstLine="549" w:firstLineChars="229"/>
        <w:rPr>
          <w:rFonts w:ascii="宋体" w:hAnsi="宋体" w:cs="宋体"/>
          <w:color w:val="auto"/>
          <w:sz w:val="24"/>
          <w:highlight w:val="none"/>
        </w:rPr>
      </w:pPr>
    </w:p>
    <w:p w14:paraId="68B4BC90">
      <w:pPr>
        <w:spacing w:line="360" w:lineRule="auto"/>
        <w:ind w:firstLine="549" w:firstLineChars="229"/>
        <w:rPr>
          <w:rFonts w:ascii="宋体" w:hAnsi="宋体" w:cs="宋体"/>
          <w:color w:val="auto"/>
          <w:sz w:val="24"/>
          <w:highlight w:val="none"/>
        </w:rPr>
      </w:pPr>
    </w:p>
    <w:p w14:paraId="4361C404">
      <w:pPr>
        <w:spacing w:line="360" w:lineRule="auto"/>
        <w:ind w:firstLine="549" w:firstLineChars="229"/>
        <w:rPr>
          <w:rFonts w:ascii="宋体" w:hAnsi="宋体" w:cs="宋体"/>
          <w:color w:val="auto"/>
          <w:sz w:val="24"/>
          <w:highlight w:val="none"/>
        </w:rPr>
      </w:pPr>
    </w:p>
    <w:p w14:paraId="2AF0A3C3">
      <w:pPr>
        <w:spacing w:line="360" w:lineRule="auto"/>
        <w:ind w:firstLine="549" w:firstLineChars="229"/>
        <w:rPr>
          <w:rFonts w:ascii="宋体" w:hAnsi="宋体" w:cs="宋体"/>
          <w:color w:val="auto"/>
          <w:sz w:val="24"/>
          <w:highlight w:val="none"/>
        </w:rPr>
      </w:pPr>
    </w:p>
    <w:p w14:paraId="06CA9529">
      <w:pPr>
        <w:spacing w:line="360" w:lineRule="auto"/>
        <w:ind w:firstLine="549" w:firstLineChars="229"/>
        <w:rPr>
          <w:rFonts w:ascii="宋体" w:hAnsi="宋体" w:cs="宋体"/>
          <w:color w:val="auto"/>
          <w:sz w:val="24"/>
          <w:highlight w:val="none"/>
        </w:rPr>
      </w:pPr>
    </w:p>
    <w:p w14:paraId="2534F2FF">
      <w:pPr>
        <w:spacing w:line="360" w:lineRule="auto"/>
        <w:ind w:firstLine="549" w:firstLineChars="229"/>
        <w:rPr>
          <w:rFonts w:ascii="宋体" w:hAnsi="宋体" w:cs="宋体"/>
          <w:color w:val="auto"/>
          <w:sz w:val="24"/>
          <w:highlight w:val="none"/>
        </w:rPr>
      </w:pPr>
    </w:p>
    <w:p w14:paraId="32158D21">
      <w:pPr>
        <w:spacing w:line="360" w:lineRule="auto"/>
        <w:ind w:firstLine="549" w:firstLineChars="229"/>
        <w:rPr>
          <w:rFonts w:ascii="宋体" w:hAnsi="宋体" w:cs="宋体"/>
          <w:color w:val="auto"/>
          <w:sz w:val="24"/>
          <w:highlight w:val="none"/>
        </w:rPr>
      </w:pPr>
    </w:p>
    <w:p w14:paraId="44D2B36D">
      <w:pPr>
        <w:spacing w:line="360" w:lineRule="auto"/>
        <w:ind w:firstLine="549" w:firstLineChars="229"/>
        <w:rPr>
          <w:rFonts w:ascii="宋体" w:hAnsi="宋体" w:cs="宋体"/>
          <w:color w:val="auto"/>
          <w:sz w:val="24"/>
          <w:highlight w:val="none"/>
        </w:rPr>
      </w:pPr>
    </w:p>
    <w:p w14:paraId="780D0C66">
      <w:pPr>
        <w:spacing w:line="360" w:lineRule="auto"/>
        <w:ind w:firstLine="549" w:firstLineChars="229"/>
        <w:rPr>
          <w:rFonts w:ascii="宋体" w:hAnsi="宋体" w:cs="宋体"/>
          <w:color w:val="auto"/>
          <w:sz w:val="24"/>
          <w:highlight w:val="none"/>
        </w:rPr>
      </w:pPr>
    </w:p>
    <w:p w14:paraId="0F3C7203">
      <w:pPr>
        <w:spacing w:line="360" w:lineRule="auto"/>
        <w:rPr>
          <w:rFonts w:ascii="宋体" w:hAnsi="宋体" w:cs="宋体"/>
          <w:color w:val="auto"/>
          <w:sz w:val="24"/>
          <w:highlight w:val="none"/>
        </w:rPr>
      </w:pPr>
    </w:p>
    <w:bookmarkEnd w:id="5"/>
    <w:p w14:paraId="58A263B2">
      <w:pPr>
        <w:adjustRightInd/>
        <w:spacing w:line="360" w:lineRule="auto"/>
        <w:jc w:val="center"/>
        <w:rPr>
          <w:rFonts w:ascii="宋体" w:hAnsi="宋体" w:cs="宋体"/>
          <w:b/>
          <w:color w:val="auto"/>
          <w:sz w:val="36"/>
          <w:szCs w:val="36"/>
          <w:highlight w:val="none"/>
        </w:rPr>
        <w:sectPr>
          <w:headerReference r:id="rId4" w:type="first"/>
          <w:headerReference r:id="rId3" w:type="default"/>
          <w:pgSz w:w="11906" w:h="16838"/>
          <w:pgMar w:top="1440" w:right="1440" w:bottom="1440" w:left="1440" w:header="851" w:footer="992" w:gutter="0"/>
          <w:cols w:space="0" w:num="1"/>
          <w:titlePg/>
          <w:docGrid w:linePitch="312" w:charSpace="0"/>
        </w:sectPr>
      </w:pPr>
      <w:bookmarkStart w:id="6" w:name="_Hlt74649545"/>
      <w:bookmarkEnd w:id="6"/>
      <w:bookmarkStart w:id="7" w:name="_Hlt74707423"/>
      <w:bookmarkEnd w:id="7"/>
      <w:bookmarkStart w:id="8" w:name="_Hlt74729822"/>
      <w:bookmarkEnd w:id="8"/>
      <w:bookmarkStart w:id="9" w:name="_Hlt74728647"/>
      <w:bookmarkEnd w:id="9"/>
      <w:bookmarkStart w:id="10" w:name="_Toc32263"/>
      <w:bookmarkStart w:id="11" w:name="_Toc15656"/>
      <w:bookmarkStart w:id="12" w:name="第二部分"/>
      <w:bookmarkStart w:id="13" w:name="_Toc91899870"/>
      <w:bookmarkStart w:id="14" w:name="_Toc91899871"/>
    </w:p>
    <w:p w14:paraId="5845A488">
      <w:pPr>
        <w:pStyle w:val="3"/>
        <w:rPr>
          <w:color w:val="auto"/>
          <w:highlight w:val="none"/>
        </w:rPr>
      </w:pPr>
      <w:bookmarkStart w:id="15" w:name="_Toc28904"/>
      <w:r>
        <w:rPr>
          <w:rFonts w:hint="eastAsia"/>
          <w:color w:val="auto"/>
          <w:highlight w:val="none"/>
        </w:rPr>
        <w:t>第一部分 招标公告</w:t>
      </w:r>
      <w:bookmarkEnd w:id="10"/>
      <w:bookmarkEnd w:id="11"/>
      <w:bookmarkEnd w:id="15"/>
    </w:p>
    <w:p w14:paraId="26A2FC5E">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项目概况</w:t>
      </w:r>
    </w:p>
    <w:p w14:paraId="461AAB46">
      <w:pPr>
        <w:pBdr>
          <w:top w:val="single" w:color="auto" w:sz="4" w:space="1"/>
          <w:left w:val="single" w:color="auto" w:sz="4" w:space="4"/>
          <w:bottom w:val="single" w:color="auto" w:sz="4" w:space="2"/>
          <w:right w:val="single" w:color="auto" w:sz="4" w:space="4"/>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宁波市自然灾害应急能力提升工程基层防灾项目无人机类（第二批）采购项目招标项目的潜在投标人应在政采云平台（https://www.zcygov.cn/） 获取（下载）招标文件，并于2025年01月17日 09:00（北京时间）前递交（上传）投标文件。</w:t>
      </w:r>
    </w:p>
    <w:p w14:paraId="2DB57FAD">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一、项目基本情况                                            </w:t>
      </w:r>
    </w:p>
    <w:p w14:paraId="4DDD14EA">
      <w:pPr>
        <w:spacing w:line="360" w:lineRule="auto"/>
        <w:outlineLvl w:val="1"/>
        <w:rPr>
          <w:rFonts w:ascii="宋体" w:hAnsi="宋体" w:cs="宋体"/>
          <w:color w:val="auto"/>
          <w:szCs w:val="21"/>
          <w:highlight w:val="none"/>
        </w:rPr>
      </w:pPr>
      <w:r>
        <w:rPr>
          <w:rFonts w:hint="eastAsia" w:ascii="宋体" w:hAnsi="宋体" w:cs="宋体"/>
          <w:color w:val="auto"/>
          <w:szCs w:val="21"/>
          <w:highlight w:val="none"/>
        </w:rPr>
        <w:t xml:space="preserve">    </w:t>
      </w:r>
      <w:bookmarkStart w:id="16" w:name="_Toc23734"/>
      <w:r>
        <w:rPr>
          <w:rFonts w:hint="eastAsia" w:ascii="宋体" w:hAnsi="宋体" w:cs="宋体"/>
          <w:b/>
          <w:color w:val="auto"/>
          <w:szCs w:val="21"/>
          <w:highlight w:val="none"/>
        </w:rPr>
        <w:t>项目编号：</w:t>
      </w:r>
      <w:r>
        <w:rPr>
          <w:rFonts w:hint="eastAsia" w:ascii="宋体" w:hAnsi="宋体" w:cs="宋体"/>
          <w:color w:val="auto"/>
          <w:szCs w:val="21"/>
          <w:highlight w:val="none"/>
          <w:lang w:eastAsia="zh-CN"/>
        </w:rPr>
        <w:t>CBNB-20242605G</w:t>
      </w:r>
      <w:r>
        <w:rPr>
          <w:rFonts w:hint="eastAsia" w:ascii="宋体" w:hAnsi="宋体" w:cs="宋体"/>
          <w:bCs/>
          <w:color w:val="auto"/>
          <w:szCs w:val="21"/>
          <w:highlight w:val="none"/>
        </w:rPr>
        <w:t> </w:t>
      </w:r>
      <w:bookmarkEnd w:id="16"/>
    </w:p>
    <w:p w14:paraId="393DBE53">
      <w:pPr>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项目名称：</w:t>
      </w:r>
      <w:r>
        <w:rPr>
          <w:rFonts w:hint="eastAsia" w:ascii="宋体" w:hAnsi="宋体" w:cs="宋体"/>
          <w:color w:val="auto"/>
          <w:szCs w:val="21"/>
          <w:highlight w:val="none"/>
          <w:lang w:eastAsia="zh-CN"/>
        </w:rPr>
        <w:t>宁波市自然灾害应急能力提升工程基层防灾项目无人机类（第二批）采购项目</w:t>
      </w:r>
    </w:p>
    <w:p w14:paraId="3A61C075">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预算金额（元）：</w:t>
      </w:r>
      <w:r>
        <w:rPr>
          <w:rFonts w:hint="eastAsia" w:ascii="宋体" w:hAnsi="宋体" w:cs="宋体"/>
          <w:color w:val="auto"/>
          <w:szCs w:val="21"/>
          <w:highlight w:val="none"/>
          <w:lang w:val="en-US" w:eastAsia="zh-CN"/>
        </w:rPr>
        <w:t>11269990</w:t>
      </w:r>
    </w:p>
    <w:p w14:paraId="5105212E">
      <w:pPr>
        <w:wordWrap w:val="0"/>
        <w:spacing w:line="360" w:lineRule="auto"/>
        <w:ind w:firstLine="422" w:firstLineChars="200"/>
        <w:rPr>
          <w:rFonts w:ascii="宋体" w:hAnsi="宋体" w:cs="宋体"/>
          <w:bCs/>
          <w:color w:val="auto"/>
          <w:szCs w:val="21"/>
          <w:highlight w:val="none"/>
        </w:rPr>
      </w:pPr>
      <w:r>
        <w:rPr>
          <w:rFonts w:hint="eastAsia" w:ascii="宋体" w:hAnsi="宋体" w:cs="宋体"/>
          <w:b/>
          <w:color w:val="auto"/>
          <w:szCs w:val="21"/>
          <w:highlight w:val="none"/>
        </w:rPr>
        <w:t>最高限价（元）：</w:t>
      </w:r>
      <w:r>
        <w:rPr>
          <w:rFonts w:hint="eastAsia" w:ascii="宋体" w:hAnsi="宋体" w:cs="宋体"/>
          <w:color w:val="auto"/>
          <w:szCs w:val="21"/>
          <w:highlight w:val="none"/>
          <w:lang w:val="en-US" w:eastAsia="zh-CN"/>
        </w:rPr>
        <w:t>11269990</w:t>
      </w:r>
    </w:p>
    <w:p w14:paraId="278ABC8E">
      <w:pPr>
        <w:tabs>
          <w:tab w:val="left" w:pos="714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14:paraId="23010364">
      <w:pPr>
        <w:tabs>
          <w:tab w:val="left" w:pos="7140"/>
        </w:tabs>
        <w:wordWrap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标项名称：</w:t>
      </w:r>
      <w:r>
        <w:rPr>
          <w:rFonts w:hint="eastAsia" w:ascii="宋体" w:hAnsi="宋体" w:cs="宋体"/>
          <w:color w:val="auto"/>
          <w:szCs w:val="21"/>
          <w:highlight w:val="none"/>
          <w:lang w:eastAsia="zh-CN"/>
        </w:rPr>
        <w:t>宁波市自然灾害应急能力提升工程基层防灾项目无人机类（第二批）采购项目</w:t>
      </w:r>
    </w:p>
    <w:p w14:paraId="5D4CB4DA">
      <w:pPr>
        <w:tabs>
          <w:tab w:val="left" w:pos="714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数量：1批</w:t>
      </w:r>
    </w:p>
    <w:p w14:paraId="09E1D24A">
      <w:pPr>
        <w:tabs>
          <w:tab w:val="left" w:pos="714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11269990</w:t>
      </w:r>
    </w:p>
    <w:p w14:paraId="6B2CB318">
      <w:pPr>
        <w:tabs>
          <w:tab w:val="left" w:pos="714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简要规格描述或项目基本概况介绍、用途：具体内容见第三部分 采购需求，供应商可点击本公告下方“浏览采购文件”查看采购需求。</w:t>
      </w:r>
    </w:p>
    <w:p w14:paraId="6B4B3045">
      <w:pPr>
        <w:tabs>
          <w:tab w:val="left" w:pos="714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 xml:space="preserve">备注：无。 </w:t>
      </w:r>
    </w:p>
    <w:p w14:paraId="397D3A7A">
      <w:pPr>
        <w:tabs>
          <w:tab w:val="left" w:pos="714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合同履约期限：自合同签订生效后开始至双方合同义务完全履行后截止。</w:t>
      </w:r>
    </w:p>
    <w:p w14:paraId="21C245FC">
      <w:pPr>
        <w:tabs>
          <w:tab w:val="left" w:pos="714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是</w:t>
      </w:r>
      <w:r>
        <w:rPr>
          <w:rFonts w:hint="eastAsia" w:ascii="宋体" w:hAnsi="宋体" w:cs="宋体"/>
          <w:color w:val="auto"/>
          <w:szCs w:val="21"/>
          <w:highlight w:val="none"/>
        </w:rPr>
        <w:t>）接受联合体投标。</w:t>
      </w:r>
    </w:p>
    <w:p w14:paraId="19211241">
      <w:pPr>
        <w:tabs>
          <w:tab w:val="left" w:pos="7140"/>
        </w:tabs>
        <w:spacing w:line="360" w:lineRule="auto"/>
        <w:outlineLvl w:val="1"/>
        <w:rPr>
          <w:rFonts w:ascii="宋体" w:hAnsi="宋体" w:cs="宋体"/>
          <w:b/>
          <w:color w:val="auto"/>
          <w:szCs w:val="21"/>
          <w:highlight w:val="none"/>
        </w:rPr>
      </w:pPr>
      <w:bookmarkStart w:id="17" w:name="_Toc23184"/>
      <w:r>
        <w:rPr>
          <w:rFonts w:hint="eastAsia" w:ascii="宋体" w:hAnsi="宋体" w:cs="宋体"/>
          <w:b/>
          <w:color w:val="auto"/>
          <w:szCs w:val="21"/>
          <w:highlight w:val="none"/>
        </w:rPr>
        <w:t>二、</w:t>
      </w:r>
      <w:bookmarkStart w:id="18" w:name="_Hlk101132948"/>
      <w:r>
        <w:rPr>
          <w:rFonts w:hint="eastAsia" w:ascii="宋体" w:hAnsi="宋体" w:cs="宋体"/>
          <w:b/>
          <w:color w:val="auto"/>
          <w:szCs w:val="21"/>
          <w:highlight w:val="none"/>
        </w:rPr>
        <w:t>申请人的资格要求</w:t>
      </w:r>
      <w:bookmarkEnd w:id="18"/>
      <w:r>
        <w:rPr>
          <w:rFonts w:hint="eastAsia" w:ascii="宋体" w:hAnsi="宋体" w:cs="宋体"/>
          <w:b/>
          <w:color w:val="auto"/>
          <w:szCs w:val="21"/>
          <w:highlight w:val="none"/>
        </w:rPr>
        <w:t>：</w:t>
      </w:r>
      <w:bookmarkEnd w:id="17"/>
    </w:p>
    <w:p w14:paraId="38D6320A">
      <w:pPr>
        <w:tabs>
          <w:tab w:val="left" w:pos="7140"/>
        </w:tabs>
        <w:spacing w:line="360" w:lineRule="auto"/>
        <w:ind w:firstLine="480"/>
        <w:rPr>
          <w:rFonts w:ascii="宋体" w:hAnsi="宋体" w:cs="宋体"/>
          <w:snapToGrid w:val="0"/>
          <w:color w:val="auto"/>
          <w:kern w:val="28"/>
          <w:szCs w:val="16"/>
          <w:highlight w:val="none"/>
        </w:rPr>
      </w:pPr>
      <w:r>
        <w:rPr>
          <w:rFonts w:hint="eastAsia" w:ascii="宋体" w:hAnsi="宋体" w:cs="宋体"/>
          <w:snapToGrid w:val="0"/>
          <w:color w:val="auto"/>
          <w:kern w:val="28"/>
          <w:szCs w:val="16"/>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408A18E2">
      <w:pPr>
        <w:spacing w:line="360" w:lineRule="auto"/>
        <w:ind w:firstLine="420" w:firstLineChars="200"/>
        <w:rPr>
          <w:rFonts w:ascii="宋体" w:hAnsi="宋体" w:cs="宋体"/>
          <w:snapToGrid w:val="0"/>
          <w:color w:val="auto"/>
          <w:kern w:val="28"/>
          <w:szCs w:val="16"/>
          <w:highlight w:val="none"/>
        </w:rPr>
      </w:pPr>
      <w:r>
        <w:rPr>
          <w:rFonts w:hint="eastAsia" w:ascii="宋体" w:hAnsi="宋体" w:cs="宋体"/>
          <w:snapToGrid w:val="0"/>
          <w:color w:val="auto"/>
          <w:kern w:val="28"/>
          <w:szCs w:val="16"/>
          <w:highlight w:val="none"/>
        </w:rPr>
        <w:t>2.落实政府采购政策需满足的资格要求：</w:t>
      </w:r>
      <w:r>
        <w:rPr>
          <w:rFonts w:hint="eastAsia" w:ascii="宋体" w:hAnsi="宋体" w:cs="宋体"/>
          <w:snapToGrid w:val="0"/>
          <w:color w:val="auto"/>
          <w:kern w:val="28"/>
          <w:szCs w:val="16"/>
          <w:highlight w:val="none"/>
          <w:lang w:val="en-US" w:eastAsia="zh-CN"/>
        </w:rPr>
        <w:t>标项1：</w:t>
      </w:r>
      <w:r>
        <w:rPr>
          <w:rFonts w:hint="eastAsia" w:ascii="宋体" w:hAnsi="宋体" w:cs="宋体"/>
          <w:snapToGrid w:val="0"/>
          <w:color w:val="auto"/>
          <w:kern w:val="28"/>
          <w:szCs w:val="16"/>
          <w:highlight w:val="none"/>
        </w:rPr>
        <w:t>无；</w:t>
      </w:r>
    </w:p>
    <w:p w14:paraId="7608C9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3.本项目的特定资格要求：无；</w:t>
      </w:r>
    </w:p>
    <w:p w14:paraId="61AB836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69D4B5">
      <w:pPr>
        <w:spacing w:line="360" w:lineRule="auto"/>
        <w:outlineLvl w:val="1"/>
        <w:rPr>
          <w:rFonts w:ascii="宋体" w:hAnsi="宋体" w:cs="宋体"/>
          <w:b/>
          <w:color w:val="auto"/>
          <w:szCs w:val="21"/>
          <w:highlight w:val="none"/>
        </w:rPr>
      </w:pPr>
      <w:bookmarkStart w:id="19" w:name="_Toc15435"/>
      <w:r>
        <w:rPr>
          <w:rFonts w:hint="eastAsia" w:ascii="宋体" w:hAnsi="宋体" w:cs="宋体"/>
          <w:b/>
          <w:color w:val="auto"/>
          <w:szCs w:val="21"/>
          <w:highlight w:val="none"/>
        </w:rPr>
        <w:t>三、获取招标文件</w:t>
      </w:r>
      <w:bookmarkEnd w:id="19"/>
      <w:r>
        <w:rPr>
          <w:rFonts w:hint="eastAsia" w:ascii="宋体" w:hAnsi="宋体" w:cs="宋体"/>
          <w:b/>
          <w:color w:val="auto"/>
          <w:szCs w:val="21"/>
          <w:highlight w:val="none"/>
        </w:rPr>
        <w:t xml:space="preserve"> </w:t>
      </w:r>
    </w:p>
    <w:p w14:paraId="758CF0BC">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时间：</w:t>
      </w:r>
      <w:r>
        <w:rPr>
          <w:rFonts w:hint="eastAsia" w:ascii="宋体" w:hAnsi="宋体" w:cs="宋体"/>
          <w:color w:val="auto"/>
          <w:szCs w:val="21"/>
          <w:highlight w:val="none"/>
        </w:rPr>
        <w:t>2024年12月27日至2025年01月06日 ，每天上午00:00至12:00 ，下午12:00至23:59（北京时间，线上获取法定节假日均可，线下获取文件法定节假日除外）</w:t>
      </w:r>
    </w:p>
    <w:p w14:paraId="7C284B5B">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地点（网址）：</w:t>
      </w:r>
      <w:r>
        <w:rPr>
          <w:rFonts w:hint="eastAsia" w:ascii="宋体" w:hAnsi="宋体" w:cs="宋体"/>
          <w:color w:val="auto"/>
          <w:szCs w:val="21"/>
          <w:highlight w:val="none"/>
        </w:rPr>
        <w:t xml:space="preserve">政采云平台（https://www.zcygov.cn/） </w:t>
      </w:r>
    </w:p>
    <w:p w14:paraId="75F254A6">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方式：</w:t>
      </w:r>
      <w:r>
        <w:rPr>
          <w:rFonts w:hint="eastAsia" w:ascii="宋体" w:hAnsi="宋体" w:cs="宋体"/>
          <w:color w:val="auto"/>
          <w:szCs w:val="21"/>
          <w:highlight w:val="none"/>
        </w:rPr>
        <w:t xml:space="preserve">供应商登录政采云平台https://www.zcygov.cn/在线申请获取采购文件（进入“项目采购”应用，在获取采购文件菜单中选择项目，申请获取采购文件）。 </w:t>
      </w:r>
    </w:p>
    <w:p w14:paraId="3DF25123">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售价（元）：</w:t>
      </w:r>
      <w:r>
        <w:rPr>
          <w:rFonts w:hint="eastAsia" w:ascii="宋体" w:hAnsi="宋体" w:cs="宋体"/>
          <w:color w:val="auto"/>
          <w:szCs w:val="21"/>
          <w:highlight w:val="none"/>
        </w:rPr>
        <w:t xml:space="preserve">0 </w:t>
      </w:r>
      <w:r>
        <w:rPr>
          <w:rFonts w:hint="eastAsia" w:ascii="宋体" w:hAnsi="宋体" w:cs="宋体"/>
          <w:color w:val="auto"/>
          <w:szCs w:val="21"/>
          <w:highlight w:val="none"/>
        </w:rPr>
        <w:tab/>
      </w:r>
    </w:p>
    <w:p w14:paraId="5399061E">
      <w:pPr>
        <w:spacing w:line="360" w:lineRule="auto"/>
        <w:outlineLvl w:val="1"/>
        <w:rPr>
          <w:rFonts w:ascii="宋体" w:hAnsi="宋体" w:cs="宋体"/>
          <w:b/>
          <w:color w:val="auto"/>
          <w:szCs w:val="21"/>
          <w:highlight w:val="none"/>
        </w:rPr>
      </w:pPr>
      <w:bookmarkStart w:id="20" w:name="_Toc18115"/>
      <w:r>
        <w:rPr>
          <w:rFonts w:hint="eastAsia" w:ascii="宋体" w:hAnsi="宋体" w:cs="宋体"/>
          <w:b/>
          <w:color w:val="auto"/>
          <w:szCs w:val="21"/>
          <w:highlight w:val="none"/>
        </w:rPr>
        <w:t>四、提交投标文件截止时间、开标时间和地点</w:t>
      </w:r>
      <w:bookmarkEnd w:id="20"/>
    </w:p>
    <w:p w14:paraId="7ADCA4CD">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提交投标文件截止时间：</w:t>
      </w:r>
      <w:r>
        <w:rPr>
          <w:rStyle w:val="77"/>
          <w:rFonts w:hint="eastAsia" w:ascii="宋体" w:hAnsi="宋体" w:eastAsia="宋体" w:cs="宋体"/>
          <w:snapToGrid/>
          <w:color w:val="auto"/>
          <w:kern w:val="2"/>
          <w:sz w:val="21"/>
          <w:szCs w:val="21"/>
          <w:highlight w:val="none"/>
          <w:u w:val="single"/>
        </w:rPr>
        <w:t>2025年01月17日 09:00（北京时间）</w:t>
      </w:r>
    </w:p>
    <w:p w14:paraId="579FED9B">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投标地点（网址）：</w:t>
      </w:r>
      <w:r>
        <w:rPr>
          <w:rFonts w:hint="eastAsia" w:ascii="宋体" w:hAnsi="宋体" w:cs="宋体"/>
          <w:color w:val="auto"/>
          <w:szCs w:val="21"/>
          <w:highlight w:val="none"/>
        </w:rPr>
        <w:t xml:space="preserve">政采云平台（https://www.zcygov.cn/） </w:t>
      </w:r>
    </w:p>
    <w:p w14:paraId="412A9B24">
      <w:pPr>
        <w:spacing w:line="360" w:lineRule="auto"/>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rPr>
        <w:t>开标时间：</w:t>
      </w:r>
      <w:r>
        <w:rPr>
          <w:rStyle w:val="77"/>
          <w:rFonts w:hint="eastAsia" w:ascii="宋体" w:hAnsi="宋体" w:eastAsia="宋体" w:cs="宋体"/>
          <w:snapToGrid/>
          <w:color w:val="auto"/>
          <w:kern w:val="2"/>
          <w:sz w:val="21"/>
          <w:szCs w:val="21"/>
          <w:highlight w:val="none"/>
          <w:u w:val="single"/>
        </w:rPr>
        <w:t>2025年01月17日 09:00</w:t>
      </w:r>
    </w:p>
    <w:p w14:paraId="2449E34A">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开标地点（网址）：</w:t>
      </w:r>
      <w:r>
        <w:rPr>
          <w:rFonts w:hint="eastAsia" w:ascii="宋体" w:hAnsi="宋体" w:cs="宋体"/>
          <w:color w:val="auto"/>
          <w:szCs w:val="21"/>
          <w:highlight w:val="none"/>
        </w:rPr>
        <w:t>政采云平台（https://www.zcygov.cn/）</w:t>
      </w:r>
    </w:p>
    <w:p w14:paraId="24790BA6">
      <w:pPr>
        <w:spacing w:line="360" w:lineRule="auto"/>
        <w:outlineLvl w:val="1"/>
        <w:rPr>
          <w:rFonts w:ascii="宋体" w:hAnsi="宋体" w:cs="宋体"/>
          <w:color w:val="auto"/>
          <w:szCs w:val="21"/>
          <w:highlight w:val="none"/>
        </w:rPr>
      </w:pPr>
      <w:bookmarkStart w:id="21" w:name="_Toc16463"/>
      <w:r>
        <w:rPr>
          <w:rFonts w:hint="eastAsia" w:ascii="宋体" w:hAnsi="宋体" w:cs="宋体"/>
          <w:b/>
          <w:color w:val="auto"/>
          <w:szCs w:val="21"/>
          <w:highlight w:val="none"/>
        </w:rPr>
        <w:t>五、公告期限</w:t>
      </w:r>
      <w:bookmarkEnd w:id="21"/>
      <w:r>
        <w:rPr>
          <w:rFonts w:hint="eastAsia" w:ascii="宋体" w:hAnsi="宋体" w:cs="宋体"/>
          <w:b/>
          <w:color w:val="auto"/>
          <w:szCs w:val="21"/>
          <w:highlight w:val="none"/>
        </w:rPr>
        <w:t xml:space="preserve"> </w:t>
      </w:r>
    </w:p>
    <w:p w14:paraId="195CEB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14:paraId="21378115">
      <w:pPr>
        <w:spacing w:line="360" w:lineRule="auto"/>
        <w:outlineLvl w:val="1"/>
        <w:rPr>
          <w:rFonts w:ascii="宋体" w:hAnsi="宋体" w:cs="宋体"/>
          <w:b/>
          <w:color w:val="auto"/>
          <w:szCs w:val="21"/>
          <w:highlight w:val="none"/>
        </w:rPr>
      </w:pPr>
      <w:bookmarkStart w:id="22" w:name="_Toc20735"/>
      <w:r>
        <w:rPr>
          <w:rFonts w:hint="eastAsia" w:ascii="宋体" w:hAnsi="宋体" w:cs="宋体"/>
          <w:b/>
          <w:color w:val="auto"/>
          <w:szCs w:val="21"/>
          <w:highlight w:val="none"/>
        </w:rPr>
        <w:t>六、其他补充事宜</w:t>
      </w:r>
      <w:bookmarkEnd w:id="22"/>
    </w:p>
    <w:p w14:paraId="6909C7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3479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F9D5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3.其他事项：</w:t>
      </w:r>
    </w:p>
    <w:p w14:paraId="4F6786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（1）需要落实的政府采购政策：包括节约资源、保护环境、支持创新、促进中小企业发展等。详见招标文件的第二部分总则。</w:t>
      </w:r>
    </w:p>
    <w:p w14:paraId="77D90E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现场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7A8166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（3）招标文件公告期限与招标公告的公告期限一致。</w:t>
      </w:r>
    </w:p>
    <w:p w14:paraId="486BF8EA">
      <w:pPr>
        <w:spacing w:line="360" w:lineRule="auto"/>
        <w:outlineLvl w:val="1"/>
        <w:rPr>
          <w:rFonts w:ascii="宋体" w:hAnsi="宋体" w:cs="宋体"/>
          <w:b/>
          <w:color w:val="auto"/>
          <w:szCs w:val="21"/>
          <w:highlight w:val="none"/>
        </w:rPr>
      </w:pPr>
      <w:bookmarkStart w:id="23" w:name="_Toc3685"/>
      <w:r>
        <w:rPr>
          <w:rFonts w:hint="eastAsia" w:ascii="宋体" w:hAnsi="宋体" w:cs="宋体"/>
          <w:b/>
          <w:color w:val="auto"/>
          <w:szCs w:val="21"/>
          <w:highlight w:val="none"/>
        </w:rPr>
        <w:t>七、对本次采购提出询问、质疑、投诉，请按以下方式联系</w:t>
      </w:r>
      <w:bookmarkEnd w:id="23"/>
    </w:p>
    <w:p w14:paraId="07EA69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1.采购人信息</w:t>
      </w:r>
    </w:p>
    <w:p w14:paraId="0FF789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名称：宁波市应急管理局 　　　　　</w:t>
      </w:r>
    </w:p>
    <w:p w14:paraId="21E86F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地址：宁波市鄞州区宁穿路2001  　　　　　</w:t>
      </w:r>
    </w:p>
    <w:p w14:paraId="7F58E6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传真：/</w:t>
      </w:r>
    </w:p>
    <w:p w14:paraId="63B45D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项目联系人（询问）：庄先生</w:t>
      </w:r>
    </w:p>
    <w:p w14:paraId="44A2BB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项目联系方式（询问）：0574-89183177</w:t>
      </w:r>
    </w:p>
    <w:p w14:paraId="16405A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质疑联系人：戴女士</w:t>
      </w:r>
    </w:p>
    <w:p w14:paraId="6254AF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质疑联系方式：0574-89382174</w:t>
      </w:r>
    </w:p>
    <w:p w14:paraId="2EF9BB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2.采购代理机构信息            </w:t>
      </w:r>
    </w:p>
    <w:p w14:paraId="5D7D53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名称：宁波中基国际招标有限公司             </w:t>
      </w:r>
    </w:p>
    <w:p w14:paraId="46E5CA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地址：宁波市鄞州区天童南路666号中基大厦19楼             </w:t>
      </w:r>
    </w:p>
    <w:p w14:paraId="28D11D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传真：0574-87425386             </w:t>
      </w:r>
    </w:p>
    <w:p w14:paraId="69C30C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项目联系人（询问）：吕勇、吕昕烨、史维         </w:t>
      </w:r>
    </w:p>
    <w:p w14:paraId="4E2DE1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项目联系方式（询问）：0574-87425130</w:t>
      </w:r>
    </w:p>
    <w:p w14:paraId="50BD38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质疑联系人：方芸              </w:t>
      </w:r>
    </w:p>
    <w:p w14:paraId="432280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质疑联系方式：0574-87423685 　 　　　　　　     </w:t>
      </w:r>
    </w:p>
    <w:p w14:paraId="153ABF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3.同级政府采购监督管理部门            </w:t>
      </w:r>
    </w:p>
    <w:p w14:paraId="78B765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名称：宁波市财政局政府采购监管处　　　　　　　　　　</w:t>
      </w:r>
    </w:p>
    <w:p w14:paraId="4D80E4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地址：宁波市海曙区中山西路19号  　　　　　　　　　　　</w:t>
      </w:r>
    </w:p>
    <w:p w14:paraId="01C5D3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传真：/</w:t>
      </w:r>
    </w:p>
    <w:p w14:paraId="44636C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联系人：李老师    　　　　　　　　　　　</w:t>
      </w:r>
    </w:p>
    <w:p w14:paraId="126A3C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监督投诉电话：0574-89388042</w:t>
      </w:r>
    </w:p>
    <w:p w14:paraId="3282A5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6A9C30F4">
      <w:pPr>
        <w:spacing w:line="360" w:lineRule="auto"/>
        <w:ind w:firstLine="420" w:firstLineChars="200"/>
        <w:rPr>
          <w:rFonts w:ascii="宋体" w:hAnsi="宋体" w:cs="宋体"/>
          <w:b/>
          <w:color w:val="auto"/>
          <w:sz w:val="28"/>
          <w:szCs w:val="16"/>
          <w:highlight w:val="none"/>
        </w:rPr>
      </w:pPr>
      <w:bookmarkStart w:id="547" w:name="_GoBack"/>
      <w:bookmarkEnd w:id="547"/>
      <w:r>
        <w:rPr>
          <w:rFonts w:hint="eastAsia" w:ascii="宋体" w:hAnsi="宋体" w:cs="宋体"/>
          <w:color w:val="auto"/>
          <w:szCs w:val="21"/>
          <w:highlight w:val="none"/>
        </w:rPr>
        <w:t xml:space="preserve">CA问题联系电话（人工）：汇信CA 400-888-4636；天谷CA 400-087-8198。  </w:t>
      </w:r>
      <w:r>
        <w:rPr>
          <w:rFonts w:hint="eastAsia" w:ascii="宋体" w:hAnsi="宋体" w:cs="宋体"/>
          <w:b/>
          <w:color w:val="auto"/>
          <w:sz w:val="28"/>
          <w:szCs w:val="16"/>
          <w:highlight w:val="none"/>
        </w:rPr>
        <w:t xml:space="preserve"> </w:t>
      </w:r>
    </w:p>
    <w:p w14:paraId="5BF91B0D">
      <w:pPr>
        <w:pStyle w:val="4"/>
        <w:rPr>
          <w:rFonts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br w:type="page"/>
      </w:r>
    </w:p>
    <w:p w14:paraId="7EC23E86">
      <w:pPr>
        <w:pStyle w:val="3"/>
        <w:rPr>
          <w:color w:val="auto"/>
          <w:highlight w:val="none"/>
        </w:rPr>
      </w:pPr>
      <w:bookmarkStart w:id="24" w:name="_Toc13179"/>
      <w:bookmarkStart w:id="25" w:name="_Toc1745"/>
      <w:bookmarkStart w:id="26" w:name="_Toc31038"/>
      <w:r>
        <w:rPr>
          <w:rFonts w:hint="eastAsia"/>
          <w:color w:val="auto"/>
          <w:highlight w:val="none"/>
        </w:rPr>
        <w:t>第二部分</w:t>
      </w:r>
      <w:bookmarkEnd w:id="12"/>
      <w:r>
        <w:rPr>
          <w:rFonts w:hint="eastAsia"/>
          <w:color w:val="auto"/>
          <w:highlight w:val="none"/>
        </w:rPr>
        <w:t xml:space="preserve"> 投标人须知</w:t>
      </w:r>
      <w:bookmarkEnd w:id="13"/>
      <w:bookmarkEnd w:id="24"/>
      <w:bookmarkEnd w:id="25"/>
      <w:bookmarkEnd w:id="26"/>
    </w:p>
    <w:p w14:paraId="1ABF8C95">
      <w:pPr>
        <w:adjustRightInd/>
        <w:spacing w:line="360" w:lineRule="auto"/>
        <w:ind w:firstLine="3845" w:firstLineChars="1197"/>
        <w:outlineLvl w:val="1"/>
        <w:rPr>
          <w:rFonts w:ascii="宋体" w:hAnsi="宋体" w:cs="宋体"/>
          <w:b/>
          <w:color w:val="auto"/>
          <w:sz w:val="32"/>
          <w:szCs w:val="20"/>
          <w:highlight w:val="none"/>
        </w:rPr>
      </w:pPr>
      <w:bookmarkStart w:id="27" w:name="_Toc17934"/>
      <w:r>
        <w:rPr>
          <w:rFonts w:hint="eastAsia" w:ascii="宋体" w:hAnsi="宋体" w:cs="宋体"/>
          <w:b/>
          <w:color w:val="auto"/>
          <w:sz w:val="32"/>
          <w:szCs w:val="20"/>
          <w:highlight w:val="none"/>
        </w:rPr>
        <w:t>前附表</w:t>
      </w:r>
      <w:bookmarkEnd w:id="27"/>
    </w:p>
    <w:tbl>
      <w:tblPr>
        <w:tblStyle w:val="63"/>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584"/>
        <w:gridCol w:w="7219"/>
      </w:tblGrid>
      <w:tr w14:paraId="5515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1" w:type="dxa"/>
            <w:shd w:val="clear" w:color="auto" w:fill="auto"/>
            <w:vAlign w:val="center"/>
          </w:tcPr>
          <w:p w14:paraId="2F7C23E1">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584" w:type="dxa"/>
            <w:shd w:val="clear" w:color="auto" w:fill="auto"/>
            <w:vAlign w:val="center"/>
          </w:tcPr>
          <w:p w14:paraId="1126ACDC">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事项</w:t>
            </w:r>
          </w:p>
        </w:tc>
        <w:tc>
          <w:tcPr>
            <w:tcW w:w="7219" w:type="dxa"/>
            <w:shd w:val="clear" w:color="auto" w:fill="auto"/>
            <w:vAlign w:val="center"/>
          </w:tcPr>
          <w:p w14:paraId="5447617D">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本项目的特别规定</w:t>
            </w:r>
          </w:p>
        </w:tc>
      </w:tr>
      <w:tr w14:paraId="3C76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7E34F46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584" w:type="dxa"/>
            <w:shd w:val="clear" w:color="auto" w:fill="auto"/>
            <w:vAlign w:val="center"/>
          </w:tcPr>
          <w:p w14:paraId="71DD7C7E">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项目属性与核心产品</w:t>
            </w:r>
          </w:p>
        </w:tc>
        <w:tc>
          <w:tcPr>
            <w:tcW w:w="7219" w:type="dxa"/>
            <w:shd w:val="clear" w:color="auto" w:fill="auto"/>
            <w:vAlign w:val="center"/>
          </w:tcPr>
          <w:p w14:paraId="1442BD87">
            <w:pPr>
              <w:spacing w:line="400" w:lineRule="exact"/>
              <w:rPr>
                <w:rFonts w:ascii="宋体" w:hAnsi="宋体" w:cs="宋体"/>
                <w:color w:val="auto"/>
                <w:szCs w:val="21"/>
                <w:highlight w:val="none"/>
              </w:rPr>
            </w:pPr>
            <w:r>
              <w:rPr>
                <w:rFonts w:hint="eastAsia" w:ascii="宋体" w:hAnsi="宋体" w:cs="宋体"/>
                <w:color w:val="auto"/>
                <w:szCs w:val="21"/>
                <w:highlight w:val="none"/>
              </w:rPr>
              <w:t>货物类，</w:t>
            </w:r>
            <w:r>
              <w:rPr>
                <w:rFonts w:hint="eastAsia" w:ascii="宋体" w:hAnsi="宋体" w:cs="宋体"/>
                <w:color w:val="auto"/>
                <w:kern w:val="0"/>
                <w:szCs w:val="21"/>
                <w:highlight w:val="none"/>
              </w:rPr>
              <w:t>核心产品为：</w:t>
            </w:r>
            <w:r>
              <w:rPr>
                <w:rFonts w:hint="eastAsia" w:ascii="宋体" w:hAnsi="宋体" w:eastAsia="宋体" w:cs="宋体"/>
                <w:color w:val="auto"/>
                <w:kern w:val="0"/>
                <w:sz w:val="21"/>
                <w:szCs w:val="24"/>
                <w:highlight w:val="none"/>
                <w:u w:val="single"/>
                <w:lang w:val="en-US" w:eastAsia="zh-CN"/>
              </w:rPr>
              <w:t>救援无人机（灭火无人机）</w:t>
            </w:r>
            <w:r>
              <w:rPr>
                <w:rFonts w:hint="eastAsia" w:ascii="宋体" w:hAnsi="宋体" w:cs="宋体"/>
                <w:color w:val="auto"/>
                <w:kern w:val="0"/>
                <w:sz w:val="21"/>
                <w:szCs w:val="24"/>
                <w:highlight w:val="none"/>
                <w:u w:val="single"/>
                <w:lang w:val="en-US" w:eastAsia="zh-CN"/>
              </w:rPr>
              <w:t>、</w:t>
            </w:r>
            <w:r>
              <w:rPr>
                <w:rFonts w:hint="eastAsia" w:ascii="宋体" w:hAnsi="宋体" w:eastAsia="宋体" w:cs="宋体"/>
                <w:color w:val="auto"/>
                <w:kern w:val="0"/>
                <w:sz w:val="21"/>
                <w:szCs w:val="24"/>
                <w:highlight w:val="none"/>
                <w:u w:val="single"/>
                <w:lang w:val="en-US" w:eastAsia="zh-CN"/>
              </w:rPr>
              <w:t>救援无人机（巡堤查险无人机）</w:t>
            </w:r>
          </w:p>
        </w:tc>
      </w:tr>
      <w:tr w14:paraId="18B0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2DCDF8F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584" w:type="dxa"/>
            <w:shd w:val="clear" w:color="auto" w:fill="auto"/>
            <w:vAlign w:val="center"/>
          </w:tcPr>
          <w:p w14:paraId="2A2B915D">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采购标的及其对应的中小企业划分标准所属行业</w:t>
            </w:r>
          </w:p>
        </w:tc>
        <w:tc>
          <w:tcPr>
            <w:tcW w:w="7219" w:type="dxa"/>
            <w:shd w:val="clear" w:color="auto" w:fill="auto"/>
            <w:vAlign w:val="center"/>
          </w:tcPr>
          <w:p w14:paraId="2D56CBC4">
            <w:pPr>
              <w:pStyle w:val="4"/>
              <w:spacing w:line="400" w:lineRule="exact"/>
              <w:ind w:left="0" w:firstLine="0"/>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（1）本项目为</w:t>
            </w:r>
            <w:r>
              <w:rPr>
                <w:rFonts w:hint="eastAsia" w:ascii="宋体" w:hAnsi="宋体" w:eastAsia="宋体" w:cs="宋体"/>
                <w:b w:val="0"/>
                <w:bCs w:val="0"/>
                <w:color w:val="auto"/>
                <w:sz w:val="21"/>
                <w:szCs w:val="21"/>
                <w:highlight w:val="none"/>
                <w:u w:val="single"/>
                <w:lang w:val="en-US"/>
              </w:rPr>
              <w:t xml:space="preserve"> 非 </w:t>
            </w:r>
            <w:r>
              <w:rPr>
                <w:rFonts w:hint="eastAsia" w:ascii="宋体" w:hAnsi="宋体" w:eastAsia="宋体" w:cs="宋体"/>
                <w:b w:val="0"/>
                <w:bCs w:val="0"/>
                <w:color w:val="auto"/>
                <w:sz w:val="21"/>
                <w:szCs w:val="21"/>
                <w:highlight w:val="none"/>
                <w:lang w:val="en-US"/>
              </w:rPr>
              <w:t>专门面向中小企业。</w:t>
            </w:r>
          </w:p>
          <w:p w14:paraId="0E725090">
            <w:pPr>
              <w:pStyle w:val="4"/>
              <w:spacing w:line="400" w:lineRule="exact"/>
              <w:ind w:left="0" w:firstLine="0"/>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（2）标的：</w:t>
            </w:r>
            <w:r>
              <w:rPr>
                <w:rFonts w:hint="eastAsia" w:ascii="宋体" w:hAnsi="宋体" w:eastAsia="宋体" w:cs="宋体"/>
                <w:color w:val="auto"/>
                <w:kern w:val="0"/>
                <w:sz w:val="21"/>
                <w:szCs w:val="24"/>
                <w:highlight w:val="none"/>
                <w:u w:val="single"/>
                <w:lang w:val="en-US"/>
              </w:rPr>
              <w:t>救援无人机（灭火无人机）</w:t>
            </w:r>
            <w:r>
              <w:rPr>
                <w:rFonts w:hint="eastAsia" w:ascii="宋体" w:hAnsi="宋体" w:eastAsia="宋体" w:cs="宋体"/>
                <w:color w:val="auto"/>
                <w:kern w:val="0"/>
                <w:sz w:val="21"/>
                <w:szCs w:val="24"/>
                <w:highlight w:val="none"/>
                <w:u w:val="single"/>
                <w:lang w:val="en-US" w:eastAsia="zh-CN"/>
              </w:rPr>
              <w:t>、救援无人机（巡堤查险无人机）、救援无人机（侦察无人机）</w:t>
            </w:r>
            <w:r>
              <w:rPr>
                <w:rFonts w:hint="eastAsia" w:ascii="宋体" w:hAnsi="宋体" w:eastAsia="宋体" w:cs="宋体"/>
                <w:b w:val="0"/>
                <w:bCs w:val="0"/>
                <w:color w:val="auto"/>
                <w:sz w:val="21"/>
                <w:szCs w:val="21"/>
                <w:highlight w:val="none"/>
                <w:lang w:val="en-US"/>
              </w:rPr>
              <w:t>，属于</w:t>
            </w:r>
            <w:r>
              <w:rPr>
                <w:rFonts w:hint="eastAsia" w:ascii="宋体" w:hAnsi="宋体" w:eastAsia="宋体" w:cs="宋体"/>
                <w:color w:val="auto"/>
                <w:sz w:val="21"/>
                <w:szCs w:val="21"/>
                <w:highlight w:val="none"/>
                <w:u w:val="single"/>
                <w:lang w:val="en-US"/>
              </w:rPr>
              <w:t>工业</w:t>
            </w:r>
            <w:r>
              <w:rPr>
                <w:rFonts w:hint="eastAsia" w:ascii="宋体" w:hAnsi="宋体" w:eastAsia="宋体" w:cs="宋体"/>
                <w:b w:val="0"/>
                <w:bCs w:val="0"/>
                <w:color w:val="auto"/>
                <w:sz w:val="21"/>
                <w:szCs w:val="21"/>
                <w:highlight w:val="none"/>
                <w:lang w:val="en-US"/>
              </w:rPr>
              <w:t>行业；</w:t>
            </w:r>
          </w:p>
          <w:p w14:paraId="2A8F2CA5">
            <w:pPr>
              <w:pStyle w:val="4"/>
              <w:spacing w:line="400" w:lineRule="exact"/>
              <w:ind w:left="0" w:firstLine="0"/>
              <w:rPr>
                <w:rFonts w:ascii="宋体" w:hAnsi="宋体" w:eastAsia="宋体" w:cs="宋体"/>
                <w:b w:val="0"/>
                <w:bCs w:val="0"/>
                <w:color w:val="auto"/>
                <w:sz w:val="21"/>
                <w:szCs w:val="21"/>
                <w:highlight w:val="none"/>
                <w:lang w:val="en-US"/>
              </w:rPr>
            </w:pPr>
            <w:bookmarkStart w:id="28" w:name="_Toc15395"/>
            <w:r>
              <w:rPr>
                <w:rFonts w:hint="eastAsia" w:ascii="宋体" w:hAnsi="宋体" w:eastAsia="宋体" w:cs="宋体"/>
                <w:b w:val="0"/>
                <w:bCs w:val="0"/>
                <w:color w:val="auto"/>
                <w:sz w:val="21"/>
                <w:szCs w:val="21"/>
                <w:highlight w:val="none"/>
                <w:lang w:val="en-US"/>
              </w:rPr>
              <w:t>备注：《关于印发中小企业划型标准规定的通知》（工信</w:t>
            </w:r>
            <w:bookmarkEnd w:id="28"/>
            <w:bookmarkStart w:id="29" w:name="_Toc11782"/>
            <w:r>
              <w:rPr>
                <w:rFonts w:hint="eastAsia" w:ascii="宋体" w:hAnsi="宋体" w:eastAsia="宋体" w:cs="宋体"/>
                <w:b w:val="0"/>
                <w:bCs w:val="0"/>
                <w:color w:val="auto"/>
                <w:sz w:val="21"/>
                <w:szCs w:val="21"/>
                <w:highlight w:val="none"/>
                <w:lang w:val="en-US"/>
              </w:rPr>
              <w:t>部联企业〔2011〕300）：</w:t>
            </w:r>
            <w:bookmarkEnd w:id="29"/>
            <w:bookmarkStart w:id="30" w:name="_Toc30940"/>
          </w:p>
          <w:bookmarkEnd w:id="30"/>
          <w:p w14:paraId="7FDF2A80">
            <w:pPr>
              <w:pStyle w:val="4"/>
              <w:spacing w:line="400" w:lineRule="exact"/>
              <w:ind w:left="0" w:firstLine="0"/>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590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4C0FC30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584" w:type="dxa"/>
            <w:shd w:val="clear" w:color="auto" w:fill="auto"/>
            <w:vAlign w:val="center"/>
          </w:tcPr>
          <w:p w14:paraId="250E458D">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是否允许采购进口产品</w:t>
            </w:r>
          </w:p>
        </w:tc>
        <w:tc>
          <w:tcPr>
            <w:tcW w:w="7219" w:type="dxa"/>
            <w:shd w:val="clear" w:color="auto" w:fill="auto"/>
            <w:vAlign w:val="center"/>
          </w:tcPr>
          <w:p w14:paraId="48F1A1B2">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sym w:font="Wingdings" w:char="00FE"/>
            </w:r>
            <w:r>
              <w:rPr>
                <w:rFonts w:hint="eastAsia" w:ascii="宋体" w:hAnsi="宋体" w:cs="宋体"/>
                <w:color w:val="auto"/>
                <w:kern w:val="0"/>
                <w:szCs w:val="21"/>
                <w:highlight w:val="none"/>
              </w:rPr>
              <w:t>本项目不允许采购进口产品。</w:t>
            </w:r>
          </w:p>
          <w:p w14:paraId="185D6FE7">
            <w:pPr>
              <w:spacing w:line="400" w:lineRule="exact"/>
              <w:rPr>
                <w:rFonts w:ascii="宋体" w:hAnsi="宋体" w:cs="宋体"/>
                <w:color w:val="auto"/>
                <w:szCs w:val="21"/>
                <w:highlight w:val="none"/>
              </w:rPr>
            </w:pP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可以就</w:t>
            </w:r>
            <w:r>
              <w:rPr>
                <w:rFonts w:hint="eastAsia" w:ascii="宋体" w:hAnsi="宋体" w:cs="宋体"/>
                <w:bCs/>
                <w:color w:val="auto"/>
                <w:szCs w:val="21"/>
                <w:highlight w:val="none"/>
                <w:u w:val="single"/>
              </w:rPr>
              <w:t xml:space="preserve">     </w:t>
            </w:r>
            <w:r>
              <w:rPr>
                <w:rFonts w:hint="eastAsia" w:ascii="宋体" w:hAnsi="宋体" w:cs="宋体"/>
                <w:color w:val="auto"/>
                <w:kern w:val="0"/>
                <w:szCs w:val="21"/>
                <w:highlight w:val="none"/>
              </w:rPr>
              <w:t>采购进口产品。</w:t>
            </w:r>
          </w:p>
        </w:tc>
      </w:tr>
      <w:tr w14:paraId="7653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6F9AAFE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584" w:type="dxa"/>
            <w:shd w:val="clear" w:color="auto" w:fill="auto"/>
            <w:vAlign w:val="center"/>
          </w:tcPr>
          <w:p w14:paraId="0C2031B8">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分包</w:t>
            </w:r>
          </w:p>
        </w:tc>
        <w:tc>
          <w:tcPr>
            <w:tcW w:w="7219" w:type="dxa"/>
            <w:shd w:val="clear" w:color="auto" w:fill="auto"/>
            <w:vAlign w:val="center"/>
          </w:tcPr>
          <w:p w14:paraId="244F7197">
            <w:pPr>
              <w:spacing w:line="400" w:lineRule="exact"/>
              <w:rPr>
                <w:rFonts w:ascii="宋体" w:hAnsi="宋体" w:cs="宋体"/>
                <w:color w:val="auto"/>
                <w:szCs w:val="21"/>
                <w:highlight w:val="none"/>
              </w:rPr>
            </w:pP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A</w:t>
            </w:r>
            <w:r>
              <w:rPr>
                <w:rFonts w:hint="eastAsia" w:ascii="宋体" w:hAnsi="宋体" w:cs="宋体"/>
                <w:color w:val="auto"/>
                <w:szCs w:val="21"/>
                <w:highlight w:val="none"/>
              </w:rPr>
              <w:t>同意将非主体、非关键性的工作分包。</w:t>
            </w:r>
          </w:p>
          <w:p w14:paraId="3178DA3B">
            <w:pPr>
              <w:spacing w:line="400" w:lineRule="exact"/>
              <w:rPr>
                <w:rFonts w:ascii="宋体" w:hAnsi="宋体" w:cs="宋体"/>
                <w:color w:val="auto"/>
                <w:szCs w:val="21"/>
                <w:highlight w:val="none"/>
              </w:rPr>
            </w:pPr>
            <w:r>
              <w:rPr>
                <w:rFonts w:hint="eastAsia" w:ascii="宋体" w:hAnsi="宋体" w:cs="宋体"/>
                <w:color w:val="auto"/>
                <w:kern w:val="0"/>
                <w:szCs w:val="21"/>
                <w:highlight w:val="none"/>
              </w:rPr>
              <w:sym w:font="Wingdings" w:char="F0FE"/>
            </w:r>
            <w:r>
              <w:rPr>
                <w:rFonts w:hint="eastAsia" w:ascii="宋体" w:hAnsi="宋体" w:cs="宋体"/>
                <w:color w:val="auto"/>
                <w:kern w:val="0"/>
                <w:szCs w:val="21"/>
                <w:highlight w:val="none"/>
              </w:rPr>
              <w:t>B</w:t>
            </w:r>
            <w:r>
              <w:rPr>
                <w:rFonts w:hint="eastAsia" w:ascii="宋体" w:hAnsi="宋体" w:cs="宋体"/>
                <w:color w:val="auto"/>
                <w:szCs w:val="21"/>
                <w:highlight w:val="none"/>
              </w:rPr>
              <w:t>不同意分包。</w:t>
            </w:r>
          </w:p>
        </w:tc>
      </w:tr>
      <w:tr w14:paraId="0658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5D0324A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584" w:type="dxa"/>
            <w:shd w:val="clear" w:color="auto" w:fill="auto"/>
            <w:vAlign w:val="center"/>
          </w:tcPr>
          <w:p w14:paraId="0C40D0EB">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开标前答疑会或现场考察</w:t>
            </w:r>
          </w:p>
        </w:tc>
        <w:tc>
          <w:tcPr>
            <w:tcW w:w="7219" w:type="dxa"/>
            <w:shd w:val="clear" w:color="auto" w:fill="auto"/>
            <w:vAlign w:val="center"/>
          </w:tcPr>
          <w:p w14:paraId="606A3AC6">
            <w:pPr>
              <w:spacing w:line="400" w:lineRule="exact"/>
              <w:rPr>
                <w:rFonts w:ascii="宋体" w:hAnsi="宋体" w:cs="宋体"/>
                <w:color w:val="auto"/>
                <w:szCs w:val="21"/>
                <w:highlight w:val="none"/>
              </w:rPr>
            </w:pPr>
            <w:r>
              <w:rPr>
                <w:rFonts w:hint="eastAsia" w:ascii="宋体" w:hAnsi="宋体" w:cs="宋体"/>
                <w:color w:val="auto"/>
                <w:kern w:val="0"/>
                <w:szCs w:val="21"/>
                <w:highlight w:val="none"/>
              </w:rPr>
              <w:sym w:font="Wingdings" w:char="00FE"/>
            </w:r>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14:paraId="0264FA82">
            <w:pPr>
              <w:spacing w:line="400" w:lineRule="exact"/>
              <w:rPr>
                <w:rFonts w:ascii="宋体" w:hAnsi="宋体" w:cs="宋体"/>
                <w:color w:val="auto"/>
                <w:szCs w:val="21"/>
                <w:highlight w:val="none"/>
              </w:rPr>
            </w:pPr>
            <w:r>
              <w:rPr>
                <w:rFonts w:hint="eastAsia" w:ascii="宋体" w:hAnsi="宋体" w:cs="宋体"/>
                <w:color w:val="auto"/>
                <w:kern w:val="0"/>
                <w:szCs w:val="21"/>
                <w:highlight w:val="none"/>
              </w:rPr>
              <w:t>☐B组织，</w:t>
            </w:r>
            <w:r>
              <w:rPr>
                <w:rFonts w:hint="eastAsia" w:ascii="宋体" w:hAnsi="宋体" w:cs="宋体"/>
                <w:color w:val="auto"/>
                <w:szCs w:val="21"/>
                <w:highlight w:val="none"/>
              </w:rPr>
              <w:t>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rPr>
              <w:t>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tc>
      </w:tr>
      <w:tr w14:paraId="2060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470666B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584" w:type="dxa"/>
            <w:shd w:val="clear" w:color="auto" w:fill="auto"/>
            <w:vAlign w:val="center"/>
          </w:tcPr>
          <w:p w14:paraId="783D68D7">
            <w:pPr>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样品提供</w:t>
            </w:r>
          </w:p>
        </w:tc>
        <w:tc>
          <w:tcPr>
            <w:tcW w:w="7219" w:type="dxa"/>
            <w:shd w:val="clear" w:color="auto" w:fill="auto"/>
          </w:tcPr>
          <w:p w14:paraId="7EFCDEB6">
            <w:pPr>
              <w:spacing w:line="400" w:lineRule="exact"/>
              <w:rPr>
                <w:rFonts w:ascii="宋体" w:hAnsi="宋体" w:cs="宋体"/>
                <w:color w:val="auto"/>
                <w:szCs w:val="21"/>
                <w:highlight w:val="none"/>
              </w:rPr>
            </w:pPr>
            <w:r>
              <w:rPr>
                <w:rFonts w:hint="eastAsia" w:ascii="宋体" w:hAnsi="宋体" w:cs="宋体"/>
                <w:color w:val="auto"/>
                <w:kern w:val="0"/>
                <w:szCs w:val="21"/>
                <w:highlight w:val="none"/>
              </w:rPr>
              <w:sym w:font="Wingdings" w:char="00FE"/>
            </w:r>
            <w:r>
              <w:rPr>
                <w:rFonts w:hint="eastAsia" w:ascii="宋体" w:hAnsi="宋体" w:cs="宋体"/>
                <w:color w:val="auto"/>
                <w:kern w:val="0"/>
                <w:szCs w:val="21"/>
                <w:highlight w:val="none"/>
              </w:rPr>
              <w:t>A</w:t>
            </w:r>
            <w:r>
              <w:rPr>
                <w:rFonts w:hint="eastAsia" w:ascii="宋体" w:hAnsi="宋体" w:cs="宋体"/>
                <w:color w:val="auto"/>
                <w:szCs w:val="21"/>
                <w:highlight w:val="none"/>
              </w:rPr>
              <w:t>不要求提供。</w:t>
            </w:r>
          </w:p>
          <w:p w14:paraId="1229F24E">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B要求提供，</w:t>
            </w:r>
          </w:p>
          <w:p w14:paraId="4A3539A2">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snapToGrid w:val="0"/>
                <w:color w:val="auto"/>
                <w:kern w:val="28"/>
                <w:szCs w:val="21"/>
                <w:highlight w:val="none"/>
              </w:rPr>
              <w:t>样品：</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3C0CAFAF">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snapToGrid w:val="0"/>
                <w:color w:val="auto"/>
                <w:kern w:val="28"/>
                <w:szCs w:val="21"/>
                <w:highlight w:val="none"/>
              </w:rPr>
              <w:t>样品制作的标准和要求：</w:t>
            </w:r>
            <w:r>
              <w:rPr>
                <w:rFonts w:hint="eastAsia" w:ascii="宋体" w:hAnsi="宋体" w:cs="宋体"/>
                <w:color w:val="auto"/>
                <w:szCs w:val="21"/>
                <w:highlight w:val="none"/>
                <w:u w:val="single"/>
              </w:rPr>
              <w:t>详见《第三部分  采购需求》中“一、采购清单及技术参数”</w:t>
            </w:r>
            <w:r>
              <w:rPr>
                <w:rFonts w:hint="eastAsia" w:ascii="宋体" w:hAnsi="宋体" w:cs="宋体"/>
                <w:color w:val="auto"/>
                <w:kern w:val="0"/>
                <w:szCs w:val="21"/>
                <w:highlight w:val="none"/>
              </w:rPr>
              <w:t>；</w:t>
            </w:r>
          </w:p>
          <w:p w14:paraId="22E1491B">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（3）样品的评审方法以及评审标准</w:t>
            </w:r>
            <w:r>
              <w:rPr>
                <w:rFonts w:hint="eastAsia" w:ascii="宋体" w:hAnsi="宋体" w:cs="宋体"/>
                <w:snapToGrid w:val="0"/>
                <w:color w:val="auto"/>
                <w:kern w:val="28"/>
                <w:szCs w:val="21"/>
                <w:highlight w:val="none"/>
              </w:rPr>
              <w:t>：详见</w:t>
            </w:r>
            <w:r>
              <w:rPr>
                <w:rFonts w:hint="eastAsia" w:ascii="宋体" w:hAnsi="宋体" w:cs="宋体"/>
                <w:color w:val="auto"/>
                <w:szCs w:val="21"/>
                <w:highlight w:val="none"/>
                <w:u w:val="single"/>
              </w:rPr>
              <w:t>评标办法</w:t>
            </w:r>
            <w:r>
              <w:rPr>
                <w:rFonts w:hint="eastAsia" w:ascii="宋体" w:hAnsi="宋体" w:cs="宋体"/>
                <w:color w:val="auto"/>
                <w:kern w:val="0"/>
                <w:szCs w:val="21"/>
                <w:highlight w:val="none"/>
              </w:rPr>
              <w:t>；</w:t>
            </w:r>
          </w:p>
          <w:p w14:paraId="6788B802">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（4）是否需要随样品提交检测报告：</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否；☐是，检测机构的要求</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；检测内容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20239990">
            <w:pPr>
              <w:spacing w:line="400" w:lineRule="exact"/>
              <w:rPr>
                <w:rFonts w:ascii="宋体" w:hAnsi="宋体" w:cs="宋体"/>
                <w:color w:val="auto"/>
                <w:szCs w:val="21"/>
                <w:highlight w:val="none"/>
              </w:rPr>
            </w:pPr>
            <w:r>
              <w:rPr>
                <w:rFonts w:hint="eastAsia" w:ascii="宋体" w:hAnsi="宋体" w:cs="宋体"/>
                <w:color w:val="auto"/>
                <w:szCs w:val="21"/>
                <w:highlight w:val="none"/>
              </w:rPr>
              <w:t>（5）提供样品的时间：</w:t>
            </w:r>
            <w:r>
              <w:rPr>
                <w:rFonts w:hint="eastAsia" w:ascii="宋体" w:hAnsi="宋体" w:cs="宋体"/>
                <w:color w:val="auto"/>
                <w:szCs w:val="21"/>
                <w:highlight w:val="none"/>
                <w:u w:val="single"/>
              </w:rPr>
              <w:t>同开标截止时间</w:t>
            </w:r>
            <w:r>
              <w:rPr>
                <w:rFonts w:hint="eastAsia" w:ascii="宋体" w:hAnsi="宋体" w:cs="宋体"/>
                <w:color w:val="auto"/>
                <w:kern w:val="0"/>
                <w:szCs w:val="21"/>
                <w:highlight w:val="none"/>
              </w:rPr>
              <w:t>；地点：</w:t>
            </w:r>
            <w:r>
              <w:rPr>
                <w:rFonts w:hint="eastAsia" w:ascii="宋体" w:hAnsi="宋体" w:cs="宋体"/>
                <w:color w:val="auto"/>
                <w:szCs w:val="21"/>
                <w:highlight w:val="none"/>
                <w:u w:val="single"/>
              </w:rPr>
              <w:t>宁波市鄞州区天童南路666号中基大厦1楼</w:t>
            </w:r>
            <w:r>
              <w:rPr>
                <w:rFonts w:hint="eastAsia" w:ascii="宋体" w:hAnsi="宋体" w:cs="宋体"/>
                <w:color w:val="auto"/>
                <w:kern w:val="0"/>
                <w:szCs w:val="21"/>
                <w:highlight w:val="none"/>
              </w:rPr>
              <w:t>；联系人</w:t>
            </w:r>
            <w:r>
              <w:rPr>
                <w:rFonts w:hint="eastAsia" w:ascii="宋体" w:hAnsi="宋体" w:cs="宋体"/>
                <w:color w:val="auto"/>
                <w:szCs w:val="21"/>
                <w:highlight w:val="none"/>
              </w:rPr>
              <w:t>：</w:t>
            </w:r>
            <w:r>
              <w:rPr>
                <w:rFonts w:hint="eastAsia" w:ascii="宋体" w:hAnsi="宋体" w:cs="宋体"/>
                <w:color w:val="auto"/>
                <w:szCs w:val="21"/>
                <w:highlight w:val="none"/>
                <w:u w:val="single"/>
              </w:rPr>
              <w:t>吕昕烨</w:t>
            </w:r>
            <w:r>
              <w:rPr>
                <w:rFonts w:hint="eastAsia" w:ascii="宋体" w:hAnsi="宋体" w:cs="宋体"/>
                <w:color w:val="auto"/>
                <w:szCs w:val="21"/>
                <w:highlight w:val="none"/>
              </w:rPr>
              <w:t>，</w:t>
            </w:r>
            <w:r>
              <w:rPr>
                <w:rFonts w:hint="eastAsia" w:ascii="宋体" w:hAnsi="宋体" w:cs="宋体"/>
                <w:color w:val="auto"/>
                <w:kern w:val="28"/>
                <w:szCs w:val="21"/>
                <w:highlight w:val="none"/>
              </w:rPr>
              <w:t>联系电话：</w:t>
            </w:r>
            <w:r>
              <w:rPr>
                <w:rFonts w:hint="eastAsia" w:ascii="宋体" w:hAnsi="宋体" w:cs="宋体"/>
                <w:color w:val="auto"/>
                <w:szCs w:val="21"/>
                <w:highlight w:val="none"/>
                <w:u w:val="single"/>
              </w:rPr>
              <w:t>0574-87425130</w:t>
            </w:r>
            <w:r>
              <w:rPr>
                <w:rFonts w:hint="eastAsia" w:ascii="宋体" w:hAnsi="宋体" w:cs="宋体"/>
                <w:color w:val="auto"/>
                <w:szCs w:val="21"/>
                <w:highlight w:val="none"/>
              </w:rPr>
              <w:t>。请投标人在上述时间内提供样品并按规定位置安装完毕。超过截止时间的，采购人或采购代理机构将不予接收，并将清场并封闭样品现场。</w:t>
            </w:r>
          </w:p>
          <w:p w14:paraId="2328B69D">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(6</w:t>
            </w:r>
            <w:r>
              <w:rPr>
                <w:rFonts w:hint="eastAsia" w:ascii="宋体" w:hAnsi="宋体" w:cs="宋体"/>
                <w:color w:val="auto"/>
                <w:szCs w:val="21"/>
                <w:highlight w:val="none"/>
                <w:lang w:eastAsia="zh-CN"/>
              </w:rPr>
              <w:t>）</w:t>
            </w:r>
            <w:r>
              <w:rPr>
                <w:rFonts w:hint="eastAsia" w:ascii="宋体" w:hAnsi="宋体" w:cs="宋体"/>
                <w:color w:val="auto"/>
                <w:szCs w:val="21"/>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BE6D0A5">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（7）制作、运输、安装和保管样品所发生的一切费用由投标人自理。</w:t>
            </w:r>
          </w:p>
        </w:tc>
      </w:tr>
      <w:tr w14:paraId="28BE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2AC36B5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1584" w:type="dxa"/>
            <w:shd w:val="clear" w:color="auto" w:fill="auto"/>
            <w:vAlign w:val="center"/>
          </w:tcPr>
          <w:p w14:paraId="422E1D17">
            <w:pPr>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方案讲解演示</w:t>
            </w:r>
          </w:p>
        </w:tc>
        <w:tc>
          <w:tcPr>
            <w:tcW w:w="7219" w:type="dxa"/>
            <w:shd w:val="clear" w:color="auto" w:fill="auto"/>
            <w:vAlign w:val="center"/>
          </w:tcPr>
          <w:p w14:paraId="60DF5486">
            <w:pPr>
              <w:spacing w:line="400" w:lineRule="exact"/>
              <w:rPr>
                <w:rFonts w:ascii="宋体" w:hAnsi="宋体" w:cs="宋体"/>
                <w:color w:val="auto"/>
                <w:szCs w:val="21"/>
                <w:highlight w:val="none"/>
              </w:rPr>
            </w:pP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14:paraId="581D61D1">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sym w:font="Wingdings" w:char="00FE"/>
            </w:r>
            <w:r>
              <w:rPr>
                <w:rFonts w:hint="eastAsia" w:ascii="宋体" w:hAnsi="宋体" w:cs="宋体"/>
                <w:color w:val="auto"/>
                <w:kern w:val="0"/>
                <w:szCs w:val="21"/>
                <w:highlight w:val="none"/>
              </w:rPr>
              <w:t>B组织。</w:t>
            </w:r>
          </w:p>
          <w:p w14:paraId="00D2F19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（1）在评标时安排每个投标人进行方案讲解演示。每个投标人时间不超过</w:t>
            </w:r>
            <w:r>
              <w:rPr>
                <w:rFonts w:hint="eastAsia" w:ascii="宋体" w:hAnsi="宋体" w:cs="宋体"/>
                <w:color w:val="auto"/>
                <w:kern w:val="0"/>
                <w:szCs w:val="21"/>
                <w:highlight w:val="none"/>
                <w:u w:val="single"/>
                <w:lang w:val="en-US" w:eastAsia="zh-CN"/>
              </w:rPr>
              <w:t>15</w:t>
            </w:r>
            <w:r>
              <w:rPr>
                <w:rFonts w:hint="eastAsia" w:ascii="宋体" w:hAnsi="宋体" w:cs="宋体"/>
                <w:color w:val="auto"/>
                <w:kern w:val="0"/>
                <w:szCs w:val="21"/>
                <w:highlight w:val="none"/>
              </w:rPr>
              <w:t>分钟，讲解次序以投标文件解密时间先后次序为准。</w:t>
            </w:r>
          </w:p>
          <w:p w14:paraId="786A7253">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（2）方案讲解演示方式：</w:t>
            </w:r>
          </w:p>
          <w:p w14:paraId="56D0AE29">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录制演示内容。录制的演示内容需以U盘形式单独密封包装，送达时间及地址同备份投标文件送达地点。</w:t>
            </w:r>
          </w:p>
          <w:p w14:paraId="5AB8757E">
            <w:pPr>
              <w:spacing w:line="400" w:lineRule="exact"/>
              <w:rPr>
                <w:rFonts w:ascii="宋体" w:hAnsi="宋体" w:cs="宋体"/>
                <w:color w:val="auto"/>
                <w:szCs w:val="21"/>
                <w:highlight w:val="none"/>
              </w:rPr>
            </w:pPr>
            <w:r>
              <w:rPr>
                <w:rFonts w:hint="eastAsia" w:ascii="宋体" w:hAnsi="宋体" w:cs="宋体"/>
                <w:color w:val="auto"/>
                <w:kern w:val="0"/>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0F6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150B5B1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1584" w:type="dxa"/>
            <w:shd w:val="clear" w:color="auto" w:fill="auto"/>
            <w:vAlign w:val="center"/>
          </w:tcPr>
          <w:p w14:paraId="4DA2E3EE">
            <w:pPr>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投标人应当提供的资格、资信证明文件</w:t>
            </w:r>
          </w:p>
        </w:tc>
        <w:tc>
          <w:tcPr>
            <w:tcW w:w="7219" w:type="dxa"/>
            <w:shd w:val="clear" w:color="auto" w:fill="auto"/>
          </w:tcPr>
          <w:p w14:paraId="34CC095D">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（1）资格证明文件：见招标文件第二部分三、投标“投标文件的组成”。</w:t>
            </w:r>
          </w:p>
          <w:p w14:paraId="3346F04A">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投标人未提供有效的资格证明文件的，视为投标人不具备招标文件中规定的资格要求，投标无效。</w:t>
            </w:r>
          </w:p>
          <w:p w14:paraId="1C1AAFE4">
            <w:pPr>
              <w:snapToGrid w:val="0"/>
              <w:spacing w:line="400" w:lineRule="exact"/>
              <w:rPr>
                <w:rFonts w:ascii="宋体" w:hAnsi="宋体" w:cs="宋体"/>
                <w:color w:val="auto"/>
                <w:szCs w:val="21"/>
                <w:highlight w:val="none"/>
              </w:rPr>
            </w:pPr>
            <w:r>
              <w:rPr>
                <w:rFonts w:hint="eastAsia" w:ascii="宋体" w:hAnsi="宋体" w:cs="宋体"/>
                <w:color w:val="auto"/>
                <w:kern w:val="0"/>
                <w:szCs w:val="21"/>
                <w:highlight w:val="none"/>
              </w:rPr>
              <w:t>（2）资信证明文件：根据招标文件第四部分评标标准提供。</w:t>
            </w:r>
          </w:p>
        </w:tc>
      </w:tr>
      <w:tr w14:paraId="577E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65EE2EC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1584" w:type="dxa"/>
            <w:shd w:val="clear" w:color="auto" w:fill="auto"/>
            <w:vAlign w:val="center"/>
          </w:tcPr>
          <w:p w14:paraId="7832FD96">
            <w:pPr>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节能产品、环境标志产品</w:t>
            </w:r>
          </w:p>
        </w:tc>
        <w:tc>
          <w:tcPr>
            <w:tcW w:w="7219" w:type="dxa"/>
            <w:shd w:val="clear" w:color="auto" w:fill="auto"/>
          </w:tcPr>
          <w:p w14:paraId="20B740EF">
            <w:pPr>
              <w:snapToGrid w:val="0"/>
              <w:spacing w:line="400" w:lineRule="exact"/>
              <w:rPr>
                <w:rFonts w:ascii="宋体" w:hAnsi="宋体" w:cs="宋体"/>
                <w:color w:val="auto"/>
                <w:szCs w:val="21"/>
                <w:highlight w:val="none"/>
              </w:rPr>
            </w:pPr>
            <w:r>
              <w:rPr>
                <w:rFonts w:hint="eastAsia" w:ascii="宋体" w:hAnsi="宋体" w:cs="宋体"/>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4E1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20AF680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1584" w:type="dxa"/>
            <w:shd w:val="clear" w:color="auto" w:fill="auto"/>
            <w:vAlign w:val="center"/>
          </w:tcPr>
          <w:p w14:paraId="04BB1B83">
            <w:pPr>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报价要求</w:t>
            </w:r>
          </w:p>
        </w:tc>
        <w:tc>
          <w:tcPr>
            <w:tcW w:w="7219" w:type="dxa"/>
            <w:shd w:val="clear" w:color="auto" w:fill="auto"/>
            <w:vAlign w:val="center"/>
          </w:tcPr>
          <w:p w14:paraId="1F8D41FF">
            <w:pPr>
              <w:snapToGrid w:val="0"/>
              <w:spacing w:line="360" w:lineRule="auto"/>
              <w:jc w:val="left"/>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有关本项目实施所需的所有费用（含税费）均计入报价。投标文件中价格全部采用人民币报价。招标文件未列明，而投标人认为必需的费用也需列入报价。</w:t>
            </w:r>
          </w:p>
          <w:p w14:paraId="2EA6E24A">
            <w:pPr>
              <w:snapToGrid w:val="0"/>
              <w:spacing w:line="360" w:lineRule="auto"/>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投标报价出现下列情形的，投标无效：</w:t>
            </w:r>
          </w:p>
          <w:p w14:paraId="7DACE669">
            <w:pPr>
              <w:snapToGrid w:val="0"/>
              <w:spacing w:line="360" w:lineRule="auto"/>
              <w:ind w:firstLine="211" w:firstLineChars="100"/>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投标文件出现不是唯一的、有选择性投标报价的；</w:t>
            </w:r>
          </w:p>
          <w:p w14:paraId="532AA787">
            <w:pPr>
              <w:snapToGrid w:val="0"/>
              <w:spacing w:line="360" w:lineRule="auto"/>
              <w:ind w:firstLine="211" w:firstLineChars="100"/>
              <w:jc w:val="left"/>
              <w:rPr>
                <w:rFonts w:ascii="宋体" w:hAnsi="宋体" w:cs="宋体"/>
                <w:color w:val="auto"/>
                <w:kern w:val="0"/>
                <w:szCs w:val="21"/>
                <w:highlight w:val="none"/>
                <w:lang w:val="zh-CN"/>
              </w:rPr>
            </w:pPr>
            <w:r>
              <w:rPr>
                <w:rFonts w:hint="eastAsia" w:ascii="宋体" w:hAnsi="宋体" w:cs="宋体"/>
                <w:b/>
                <w:color w:val="auto"/>
                <w:kern w:val="0"/>
                <w:szCs w:val="21"/>
                <w:highlight w:val="none"/>
                <w:lang w:val="zh-CN"/>
              </w:rPr>
              <w:t>投标报价超过招标文件中规定的预算金额或者最高限价的；</w:t>
            </w:r>
          </w:p>
          <w:p w14:paraId="48AC0680">
            <w:pPr>
              <w:spacing w:line="360" w:lineRule="auto"/>
              <w:ind w:firstLine="211" w:firstLineChars="100"/>
              <w:rPr>
                <w:rFonts w:ascii="宋体" w:hAnsi="宋体" w:cs="宋体"/>
                <w:b/>
                <w:color w:val="auto"/>
                <w:szCs w:val="21"/>
                <w:highlight w:val="none"/>
              </w:rPr>
            </w:pPr>
            <w:r>
              <w:rPr>
                <w:rFonts w:hint="eastAsia" w:ascii="宋体" w:hAnsi="宋体" w:cs="宋体"/>
                <w:b/>
                <w:color w:val="auto"/>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Cs w:val="21"/>
                <w:highlight w:val="none"/>
              </w:rPr>
              <w:t>；</w:t>
            </w:r>
          </w:p>
          <w:p w14:paraId="2D3D086F">
            <w:pPr>
              <w:spacing w:line="400" w:lineRule="exact"/>
              <w:rPr>
                <w:rFonts w:ascii="宋体" w:hAnsi="宋体" w:cs="宋体"/>
                <w:color w:val="auto"/>
                <w:szCs w:val="21"/>
                <w:highlight w:val="none"/>
              </w:rPr>
            </w:pPr>
            <w:r>
              <w:rPr>
                <w:rFonts w:hint="eastAsia" w:ascii="宋体" w:hAnsi="宋体" w:cs="宋体"/>
                <w:b/>
                <w:color w:val="auto"/>
                <w:kern w:val="0"/>
                <w:szCs w:val="21"/>
                <w:highlight w:val="none"/>
              </w:rPr>
              <w:t>投标人对根据修正原则修正后的报价不确认的</w:t>
            </w:r>
            <w:r>
              <w:rPr>
                <w:rFonts w:hint="eastAsia" w:ascii="宋体" w:hAnsi="宋体" w:cs="宋体"/>
                <w:b/>
                <w:color w:val="auto"/>
                <w:szCs w:val="21"/>
                <w:highlight w:val="none"/>
              </w:rPr>
              <w:t>。</w:t>
            </w:r>
          </w:p>
        </w:tc>
      </w:tr>
      <w:tr w14:paraId="3F12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6C38BC8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1584" w:type="dxa"/>
            <w:shd w:val="clear" w:color="auto" w:fill="auto"/>
            <w:vAlign w:val="center"/>
          </w:tcPr>
          <w:p w14:paraId="148F3E6A">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 xml:space="preserve">备份投标文件送达地点和签收人员 </w:t>
            </w:r>
          </w:p>
        </w:tc>
        <w:tc>
          <w:tcPr>
            <w:tcW w:w="7219" w:type="dxa"/>
            <w:shd w:val="clear" w:color="auto" w:fill="auto"/>
            <w:vAlign w:val="center"/>
          </w:tcPr>
          <w:p w14:paraId="50EFD4AD">
            <w:pPr>
              <w:pStyle w:val="2"/>
              <w:spacing w:line="400" w:lineRule="exact"/>
              <w:rPr>
                <w:rFonts w:hAnsi="宋体" w:cs="宋体"/>
                <w:color w:val="auto"/>
                <w:kern w:val="28"/>
                <w:highlight w:val="none"/>
              </w:rPr>
            </w:pPr>
            <w:r>
              <w:rPr>
                <w:rFonts w:hint="eastAsia" w:hAnsi="宋体" w:cs="宋体"/>
                <w:color w:val="auto"/>
                <w:kern w:val="28"/>
                <w:highlight w:val="none"/>
              </w:rPr>
              <w:t>投标人可以准备U盘存储的电子备份投标文件1份，按政府采购云平台要求制作的电子备份投标文件，以用于异常情况处理。</w:t>
            </w:r>
          </w:p>
          <w:p w14:paraId="7F0A35FB">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投标人若需要递交备份投标文件的可按照以下要求进行递交：</w:t>
            </w:r>
          </w:p>
          <w:p w14:paraId="5060833A">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①采用邮寄方式提交电子备份投标文件，需按以下要求递交：</w:t>
            </w:r>
          </w:p>
          <w:p w14:paraId="3D05AF73">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投标人须在投标截止时间前一个工作日前将电子备份投标文件邮寄至规定地点，由采购代理机构工作人员进行签收。各投标人自行考虑邮寄在途时间，邮寄过程中无论何种因素导致备份投标文件未按时递交的后果，均由投标人自行负责。备份投标文件递交时间以采购代理机构实际收到投标文件的时间为准。迟到的电子备份投标文件将被拒收。请各投标人确保密封包装在邮寄过程密封包装完好，并在邮寄包裹上注明项目名称，因邮寄过程的密封破损造成不符合开标要求的，本采购代理机构及招标人概不负责。</w:t>
            </w:r>
          </w:p>
          <w:p w14:paraId="1B278259">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电子备份投标文件邮寄地址为：宁波市鄞州区天童南路666号中基大厦19楼。</w:t>
            </w:r>
          </w:p>
          <w:p w14:paraId="1E6F70CC">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收件人：史维，联系方式：0574-87425467。</w:t>
            </w:r>
          </w:p>
          <w:p w14:paraId="43BD4D95">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②采用现场递交方式递交备份电子投标文件，在投标当天投标截止时间前投标人员进入开标现场[中基招标会议中心（宁波市鄞州区天童南路666号中基大厦</w:t>
            </w:r>
            <w:r>
              <w:rPr>
                <w:rFonts w:hint="eastAsia" w:ascii="宋体" w:hAnsi="宋体" w:cs="宋体"/>
                <w:snapToGrid w:val="0"/>
                <w:color w:val="auto"/>
                <w:kern w:val="28"/>
                <w:szCs w:val="21"/>
                <w:highlight w:val="none"/>
                <w:lang w:val="en-US" w:eastAsia="zh-CN"/>
              </w:rPr>
              <w:t>1</w:t>
            </w:r>
            <w:r>
              <w:rPr>
                <w:rFonts w:hint="eastAsia" w:ascii="宋体" w:hAnsi="宋体" w:cs="宋体"/>
                <w:snapToGrid w:val="0"/>
                <w:color w:val="auto"/>
                <w:kern w:val="28"/>
                <w:szCs w:val="21"/>
                <w:highlight w:val="none"/>
              </w:rPr>
              <w:t xml:space="preserve">楼）开标室]递交备份投标文件。     </w:t>
            </w:r>
          </w:p>
          <w:p w14:paraId="775BBC34">
            <w:pPr>
              <w:spacing w:line="400" w:lineRule="exact"/>
              <w:rPr>
                <w:rFonts w:ascii="宋体" w:hAnsi="宋体" w:cs="宋体"/>
                <w:color w:val="auto"/>
                <w:szCs w:val="21"/>
                <w:highlight w:val="none"/>
              </w:rPr>
            </w:pPr>
            <w:r>
              <w:rPr>
                <w:rFonts w:hint="eastAsia" w:ascii="宋体" w:hAnsi="宋体" w:cs="宋体"/>
                <w:b/>
                <w:bCs/>
                <w:snapToGrid w:val="0"/>
                <w:color w:val="auto"/>
                <w:kern w:val="28"/>
                <w:szCs w:val="21"/>
                <w:highlight w:val="none"/>
              </w:rPr>
              <w:t>采购人、采购代理机构不强制投标人提交备份投标文件。</w:t>
            </w:r>
          </w:p>
        </w:tc>
      </w:tr>
      <w:tr w14:paraId="56E7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restart"/>
            <w:shd w:val="clear" w:color="auto" w:fill="auto"/>
            <w:vAlign w:val="center"/>
          </w:tcPr>
          <w:p w14:paraId="2CACB36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1584" w:type="dxa"/>
            <w:vMerge w:val="restart"/>
            <w:shd w:val="clear" w:color="auto" w:fill="auto"/>
            <w:vAlign w:val="center"/>
          </w:tcPr>
          <w:p w14:paraId="62069F7A">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特别说明</w:t>
            </w:r>
          </w:p>
        </w:tc>
        <w:tc>
          <w:tcPr>
            <w:tcW w:w="7219" w:type="dxa"/>
            <w:shd w:val="clear" w:color="auto" w:fill="auto"/>
            <w:vAlign w:val="center"/>
          </w:tcPr>
          <w:p w14:paraId="231621E7">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本项目接受联合体投标。</w:t>
            </w:r>
          </w:p>
        </w:tc>
      </w:tr>
      <w:tr w14:paraId="3EE7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shd w:val="clear" w:color="auto" w:fill="auto"/>
            <w:vAlign w:val="center"/>
          </w:tcPr>
          <w:p w14:paraId="33F944E3">
            <w:pPr>
              <w:spacing w:line="400" w:lineRule="exact"/>
              <w:jc w:val="center"/>
              <w:rPr>
                <w:rFonts w:ascii="宋体" w:hAnsi="宋体" w:cs="宋体"/>
                <w:color w:val="auto"/>
                <w:szCs w:val="21"/>
                <w:highlight w:val="none"/>
              </w:rPr>
            </w:pPr>
          </w:p>
        </w:tc>
        <w:tc>
          <w:tcPr>
            <w:tcW w:w="1584" w:type="dxa"/>
            <w:vMerge w:val="continue"/>
            <w:shd w:val="clear" w:color="auto" w:fill="auto"/>
            <w:vAlign w:val="center"/>
          </w:tcPr>
          <w:p w14:paraId="0142E3D7">
            <w:pPr>
              <w:snapToGrid w:val="0"/>
              <w:spacing w:line="400" w:lineRule="exact"/>
              <w:jc w:val="center"/>
              <w:rPr>
                <w:rFonts w:ascii="宋体" w:hAnsi="宋体" w:cs="宋体"/>
                <w:b/>
                <w:color w:val="auto"/>
                <w:szCs w:val="21"/>
                <w:highlight w:val="none"/>
              </w:rPr>
            </w:pPr>
          </w:p>
        </w:tc>
        <w:tc>
          <w:tcPr>
            <w:tcW w:w="7219" w:type="dxa"/>
            <w:shd w:val="clear" w:color="auto" w:fill="auto"/>
            <w:vAlign w:val="center"/>
          </w:tcPr>
          <w:p w14:paraId="17F5DA87">
            <w:pPr>
              <w:spacing w:line="400" w:lineRule="exact"/>
              <w:rPr>
                <w:rFonts w:ascii="宋体" w:hAnsi="宋体" w:cs="宋体"/>
                <w:snapToGrid w:val="0"/>
                <w:color w:val="auto"/>
                <w:kern w:val="28"/>
                <w:szCs w:val="21"/>
                <w:highlight w:val="none"/>
              </w:rPr>
            </w:pPr>
            <w:r>
              <w:rPr>
                <w:rFonts w:hint="eastAsia" w:ascii="宋体" w:hAnsi="宋体" w:cs="宋体"/>
                <w:color w:val="auto"/>
                <w:kern w:val="0"/>
                <w:szCs w:val="21"/>
                <w:highlight w:val="none"/>
              </w:rPr>
              <w:t>☐</w:t>
            </w:r>
            <w:r>
              <w:rPr>
                <w:rFonts w:hint="eastAsia" w:ascii="宋体" w:hAnsi="宋体" w:cs="宋体"/>
                <w:snapToGrid w:val="0"/>
                <w:color w:val="auto"/>
                <w:kern w:val="28"/>
                <w:szCs w:val="21"/>
                <w:highlight w:val="none"/>
              </w:rPr>
              <w:t>联合体投标的，联合体各方均需按招标文件第四部分评标标准要求提供资信证明文件，否则视为不符合相关要求。</w:t>
            </w:r>
          </w:p>
          <w:p w14:paraId="2F266D96">
            <w:pPr>
              <w:spacing w:line="400" w:lineRule="exact"/>
              <w:rPr>
                <w:rFonts w:ascii="宋体" w:hAnsi="宋体" w:cs="宋体"/>
                <w:snapToGrid w:val="0"/>
                <w:color w:val="auto"/>
                <w:kern w:val="28"/>
                <w:szCs w:val="21"/>
                <w:highlight w:val="none"/>
              </w:rPr>
            </w:pPr>
            <w:r>
              <w:rPr>
                <w:rFonts w:hint="eastAsia" w:ascii="宋体" w:hAnsi="宋体" w:cs="宋体"/>
                <w:color w:val="auto"/>
                <w:kern w:val="0"/>
                <w:szCs w:val="21"/>
                <w:highlight w:val="none"/>
              </w:rPr>
              <w:sym w:font="Wingdings" w:char="00FE"/>
            </w:r>
            <w:r>
              <w:rPr>
                <w:rFonts w:hint="eastAsia" w:ascii="宋体" w:hAnsi="宋体" w:cs="宋体"/>
                <w:snapToGrid w:val="0"/>
                <w:color w:val="auto"/>
                <w:kern w:val="28"/>
                <w:szCs w:val="21"/>
                <w:highlight w:val="none"/>
              </w:rPr>
              <w:t>联合体投标的，联合体中有一方或者联合体成员根据分工按招标文件第四部分评标标准要求提供资信证明文件的，视为符合了相关要求。</w:t>
            </w:r>
          </w:p>
        </w:tc>
      </w:tr>
      <w:tr w14:paraId="1787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shd w:val="clear" w:color="auto" w:fill="auto"/>
            <w:vAlign w:val="center"/>
          </w:tcPr>
          <w:p w14:paraId="6F81E6A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1584" w:type="dxa"/>
            <w:shd w:val="clear" w:color="auto" w:fill="auto"/>
            <w:vAlign w:val="center"/>
          </w:tcPr>
          <w:p w14:paraId="17CFD9B4">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采购代理服务费</w:t>
            </w:r>
          </w:p>
        </w:tc>
        <w:tc>
          <w:tcPr>
            <w:tcW w:w="7219" w:type="dxa"/>
            <w:shd w:val="clear" w:color="auto" w:fill="auto"/>
            <w:vAlign w:val="center"/>
          </w:tcPr>
          <w:p w14:paraId="106B8F69">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（1）收取方式：投标人应当自中标结果公告发布之日起5个工作日内一次性向采购代理机构支付代理服务费。</w:t>
            </w:r>
          </w:p>
          <w:p w14:paraId="163958DF">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（2）采购代理服务费用收取标准：本项目采购代理服务费用参照国家发改委发改办价格[2003]857号通知和国家计委计价格[2002]1980号文件中招标费率规定的货物类标准下浮40%（差额累进制），以</w:t>
            </w:r>
            <w:r>
              <w:rPr>
                <w:rFonts w:hint="eastAsia" w:ascii="宋体" w:hAnsi="宋体" w:cs="宋体"/>
                <w:snapToGrid w:val="0"/>
                <w:color w:val="auto"/>
                <w:kern w:val="28"/>
                <w:szCs w:val="21"/>
                <w:highlight w:val="none"/>
                <w:lang w:val="en-US" w:eastAsia="zh-CN"/>
              </w:rPr>
              <w:t>预算</w:t>
            </w:r>
            <w:r>
              <w:rPr>
                <w:rFonts w:hint="eastAsia" w:ascii="宋体" w:hAnsi="宋体" w:cs="宋体"/>
                <w:snapToGrid w:val="0"/>
                <w:color w:val="auto"/>
                <w:kern w:val="28"/>
                <w:szCs w:val="21"/>
                <w:highlight w:val="none"/>
              </w:rPr>
              <w:t>金额为计费基数向中标人收取。</w:t>
            </w:r>
          </w:p>
          <w:p w14:paraId="18FF04E1">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（3）中标人如未按上述规定办理，本采购代理机构有权进行追索。</w:t>
            </w:r>
          </w:p>
          <w:p w14:paraId="0C685EB7">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关于本次招标的服务费均汇入以下账户：</w:t>
            </w:r>
          </w:p>
          <w:p w14:paraId="42BDEB37">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开户银行：宁波银行科技支行</w:t>
            </w:r>
          </w:p>
          <w:p w14:paraId="11C220B8">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账    号：31010122000005488</w:t>
            </w:r>
          </w:p>
          <w:p w14:paraId="49558790">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户    名：宁波中基国际招标有限公司</w:t>
            </w:r>
          </w:p>
          <w:p w14:paraId="65CB1B0F">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（4）支付流程：中标供应商按照中标结果公告确定金额支付至采购代理机构账户后将汇款底单、开票信息和发票邮寄地址发送至</w:t>
            </w:r>
            <w:r>
              <w:rPr>
                <w:rFonts w:hint="eastAsia" w:ascii="宋体" w:hAnsi="宋体" w:cs="宋体"/>
                <w:snapToGrid w:val="0"/>
                <w:color w:val="auto"/>
                <w:kern w:val="28"/>
                <w:szCs w:val="21"/>
                <w:highlight w:val="none"/>
                <w:u w:val="single"/>
              </w:rPr>
              <w:t>719126619@qq.com</w:t>
            </w:r>
            <w:r>
              <w:rPr>
                <w:rFonts w:hint="eastAsia" w:ascii="宋体" w:hAnsi="宋体" w:cs="宋体"/>
                <w:snapToGrid w:val="0"/>
                <w:color w:val="auto"/>
                <w:kern w:val="28"/>
                <w:szCs w:val="21"/>
                <w:highlight w:val="none"/>
              </w:rPr>
              <w:t>，采购代理机构在收到邮件后开具发票。</w:t>
            </w:r>
          </w:p>
        </w:tc>
      </w:tr>
    </w:tbl>
    <w:p w14:paraId="4335C29A">
      <w:pPr>
        <w:snapToGrid w:val="0"/>
        <w:spacing w:line="360" w:lineRule="auto"/>
        <w:jc w:val="center"/>
        <w:rPr>
          <w:rFonts w:ascii="宋体" w:hAnsi="宋体" w:cs="宋体"/>
          <w:b/>
          <w:color w:val="auto"/>
          <w:sz w:val="32"/>
          <w:szCs w:val="20"/>
          <w:highlight w:val="none"/>
        </w:rPr>
      </w:pPr>
    </w:p>
    <w:bookmarkEnd w:id="14"/>
    <w:p w14:paraId="59702875">
      <w:pPr>
        <w:rPr>
          <w:rFonts w:ascii="宋体" w:hAnsi="宋体" w:cs="宋体"/>
          <w:b/>
          <w:color w:val="auto"/>
          <w:sz w:val="32"/>
          <w:szCs w:val="20"/>
          <w:highlight w:val="none"/>
        </w:rPr>
      </w:pPr>
      <w:bookmarkStart w:id="31" w:name="第三部分"/>
      <w:bookmarkStart w:id="32" w:name="_Toc164416483"/>
      <w:r>
        <w:rPr>
          <w:rFonts w:hint="eastAsia" w:ascii="宋体" w:hAnsi="宋体" w:cs="宋体"/>
          <w:b/>
          <w:color w:val="auto"/>
          <w:sz w:val="32"/>
          <w:szCs w:val="20"/>
          <w:highlight w:val="none"/>
        </w:rPr>
        <w:br w:type="page"/>
      </w:r>
    </w:p>
    <w:p w14:paraId="25D4460A">
      <w:pPr>
        <w:adjustRightInd/>
        <w:spacing w:line="360" w:lineRule="auto"/>
        <w:ind w:firstLine="3845" w:firstLineChars="1197"/>
        <w:outlineLvl w:val="1"/>
        <w:rPr>
          <w:rFonts w:ascii="宋体" w:hAnsi="宋体" w:cs="宋体"/>
          <w:b/>
          <w:color w:val="auto"/>
          <w:sz w:val="32"/>
          <w:szCs w:val="20"/>
          <w:highlight w:val="none"/>
        </w:rPr>
      </w:pPr>
      <w:bookmarkStart w:id="33" w:name="_Toc19896"/>
      <w:r>
        <w:rPr>
          <w:rFonts w:hint="eastAsia" w:ascii="宋体" w:hAnsi="宋体" w:cs="宋体"/>
          <w:b/>
          <w:color w:val="auto"/>
          <w:sz w:val="32"/>
          <w:szCs w:val="20"/>
          <w:highlight w:val="none"/>
        </w:rPr>
        <w:t>一、总则</w:t>
      </w:r>
      <w:bookmarkEnd w:id="33"/>
    </w:p>
    <w:p w14:paraId="1AEE258B">
      <w:pPr>
        <w:snapToGrid w:val="0"/>
        <w:spacing w:line="360" w:lineRule="auto"/>
        <w:ind w:firstLine="316" w:firstLineChars="150"/>
        <w:jc w:val="left"/>
        <w:outlineLvl w:val="1"/>
        <w:rPr>
          <w:rFonts w:ascii="宋体" w:hAnsi="宋体" w:cs="宋体"/>
          <w:b/>
          <w:color w:val="auto"/>
          <w:szCs w:val="21"/>
          <w:highlight w:val="none"/>
        </w:rPr>
      </w:pPr>
      <w:bookmarkStart w:id="34" w:name="_Toc4803"/>
      <w:r>
        <w:rPr>
          <w:rFonts w:hint="eastAsia" w:ascii="宋体" w:hAnsi="宋体" w:cs="宋体"/>
          <w:b/>
          <w:color w:val="auto"/>
          <w:szCs w:val="21"/>
          <w:highlight w:val="none"/>
        </w:rPr>
        <w:t>1. 适用范围</w:t>
      </w:r>
      <w:bookmarkEnd w:id="34"/>
    </w:p>
    <w:p w14:paraId="0B12416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本招标文件适用于该项目的招标、投标、开标、资格审查及信用信息查询、评标、定标、合同、验收等行为（法律、法规另有规定的，从其规定）。</w:t>
      </w:r>
    </w:p>
    <w:p w14:paraId="02BABDE2">
      <w:pPr>
        <w:numPr>
          <w:ilvl w:val="0"/>
          <w:numId w:val="1"/>
        </w:numPr>
        <w:snapToGrid w:val="0"/>
        <w:spacing w:line="360" w:lineRule="auto"/>
        <w:ind w:firstLine="316" w:firstLineChars="150"/>
        <w:jc w:val="left"/>
        <w:outlineLvl w:val="1"/>
        <w:rPr>
          <w:rFonts w:ascii="宋体" w:hAnsi="宋体" w:cs="宋体"/>
          <w:b/>
          <w:color w:val="auto"/>
          <w:szCs w:val="21"/>
          <w:highlight w:val="none"/>
        </w:rPr>
      </w:pPr>
      <w:bookmarkStart w:id="35" w:name="_Toc17533"/>
      <w:r>
        <w:rPr>
          <w:rFonts w:hint="eastAsia" w:ascii="宋体" w:hAnsi="宋体" w:cs="宋体"/>
          <w:b/>
          <w:color w:val="auto"/>
          <w:szCs w:val="21"/>
          <w:highlight w:val="none"/>
        </w:rPr>
        <w:t>定义</w:t>
      </w:r>
      <w:bookmarkEnd w:id="35"/>
    </w:p>
    <w:p w14:paraId="539727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“采购人”系指招标公告中载明的本项目的采购人。</w:t>
      </w:r>
    </w:p>
    <w:p w14:paraId="17A2BC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“采购代理机构”系指招标公告中载明的本项目的采购代理机构。</w:t>
      </w:r>
    </w:p>
    <w:p w14:paraId="5F5899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“投标人”系指是指响应招标、参加投标竞争的法人、其他组织或者自然人。</w:t>
      </w:r>
    </w:p>
    <w:p w14:paraId="0408F7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 “负责人”系指法人企业的法定负责人，或其他组织为法律、行政法规规定代表单位行使职权的主要负责人，或自然人本人。</w:t>
      </w:r>
    </w:p>
    <w:p w14:paraId="3EC8B6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2.5“电子签名”系指数据电文中以电子形式所含、所附用于识别签名人身份并表明签名人认可其中内容的数据；“公章”系指单位法定名称章。因特殊原因需要使用冠以法定名称的业务专用章的，</w:t>
      </w:r>
      <w:r>
        <w:rPr>
          <w:rFonts w:hint="eastAsia" w:ascii="宋体" w:hAnsi="宋体" w:cs="宋体"/>
          <w:color w:val="auto"/>
          <w:szCs w:val="21"/>
          <w:highlight w:val="none"/>
          <w:lang w:eastAsia="zh-CN"/>
        </w:rPr>
        <w:t>投标文件中</w:t>
      </w:r>
      <w:r>
        <w:rPr>
          <w:rFonts w:hint="eastAsia" w:ascii="宋体" w:hAnsi="宋体" w:cs="宋体"/>
          <w:color w:val="auto"/>
          <w:szCs w:val="21"/>
          <w:highlight w:val="none"/>
        </w:rPr>
        <w:t>须提供《业务专用章使用说明函》（附件4）。</w:t>
      </w:r>
    </w:p>
    <w:p w14:paraId="538CF0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2.6“电子交易平台”系指本项目政府采购活动所依托的政府采购云平台（https://www.zcygov.cn/）。</w:t>
      </w:r>
    </w:p>
    <w:p w14:paraId="488A74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 “▲” 系指实质性要求条款，“★”系指重要性要求条款，“</w:t>
      </w:r>
      <w:r>
        <w:rPr>
          <w:rFonts w:hint="eastAsia" w:ascii="宋体" w:hAnsi="宋体" w:cs="宋体"/>
          <w:color w:val="auto"/>
          <w:kern w:val="0"/>
          <w:szCs w:val="21"/>
          <w:highlight w:val="none"/>
        </w:rPr>
        <w:sym w:font="Wingdings" w:char="00FE"/>
      </w:r>
      <w:r>
        <w:rPr>
          <w:rFonts w:hint="eastAsia" w:ascii="宋体" w:hAnsi="宋体" w:cs="宋体"/>
          <w:color w:val="auto"/>
          <w:szCs w:val="21"/>
          <w:highlight w:val="none"/>
        </w:rPr>
        <w:t>” 系指适用本项目的要求，“</w:t>
      </w:r>
      <w:r>
        <w:rPr>
          <w:rFonts w:hint="eastAsia" w:ascii="宋体" w:hAnsi="宋体" w:cs="宋体"/>
          <w:color w:val="auto"/>
          <w:kern w:val="0"/>
          <w:szCs w:val="21"/>
          <w:highlight w:val="none"/>
        </w:rPr>
        <w:t>☐</w:t>
      </w:r>
      <w:r>
        <w:rPr>
          <w:rFonts w:hint="eastAsia" w:ascii="宋体" w:hAnsi="宋体" w:cs="宋体"/>
          <w:color w:val="auto"/>
          <w:szCs w:val="21"/>
          <w:highlight w:val="none"/>
        </w:rPr>
        <w:t>” 系指不适用本项目的要求。</w:t>
      </w:r>
    </w:p>
    <w:p w14:paraId="3839CDFC">
      <w:pPr>
        <w:spacing w:line="360" w:lineRule="auto"/>
        <w:ind w:firstLine="211" w:firstLineChars="100"/>
        <w:rPr>
          <w:rFonts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color w:val="auto"/>
          <w:sz w:val="18"/>
          <w:szCs w:val="21"/>
          <w:highlight w:val="none"/>
        </w:rPr>
        <w:t xml:space="preserve"> </w:t>
      </w:r>
      <w:r>
        <w:rPr>
          <w:rFonts w:hint="eastAsia" w:ascii="宋体" w:hAnsi="宋体" w:cs="宋体"/>
          <w:b/>
          <w:color w:val="auto"/>
          <w:szCs w:val="21"/>
          <w:highlight w:val="none"/>
        </w:rPr>
        <w:t>采购项目需要落实的政府采购政策</w:t>
      </w:r>
    </w:p>
    <w:p w14:paraId="5B198118">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Cs w:val="21"/>
          <w:highlight w:val="none"/>
        </w:rPr>
        <w:t>优先采购向我国企业转让技术、与我国企业签订消化吸收再创新方案的供应商的进口产品</w:t>
      </w:r>
      <w:r>
        <w:rPr>
          <w:rFonts w:hint="eastAsia" w:ascii="宋体" w:hAnsi="宋体" w:cs="宋体"/>
          <w:color w:val="auto"/>
          <w:szCs w:val="21"/>
          <w:highlight w:val="none"/>
        </w:rPr>
        <w:t>。</w:t>
      </w:r>
    </w:p>
    <w:p w14:paraId="574590AD">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3.2 支持绿色发展</w:t>
      </w:r>
    </w:p>
    <w:p w14:paraId="5F3E7942">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Cs w:val="21"/>
          <w:highlight w:val="none"/>
        </w:rPr>
        <w:t>采购人拟采购的产品属于政府强制采购的节能产品品目清单范围的，供应商相应的投标产品未获得国家确定的认证机构出具的、处于有效期之内的节能产品认证证书的，投标无效。</w:t>
      </w:r>
    </w:p>
    <w:p w14:paraId="2D5E9C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6" w:name="_Hlk107568539"/>
    </w:p>
    <w:p w14:paraId="55FF20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鼓励供应商在参加政府采购过程中开展绿色设计、选择绿色材料、打造绿色制造工艺、开展绿色运输、做好废弃产品回收处理，实现产品全周期的绿色环保。</w:t>
      </w:r>
      <w:bookmarkEnd w:id="36"/>
    </w:p>
    <w:p w14:paraId="054A3AA7">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3.3支持中小企业发展</w:t>
      </w:r>
    </w:p>
    <w:p w14:paraId="122B02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5820A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2400F950">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7ACF73A">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以联合体形式参加政府采购活动，联合体各方均为中小企业的，联合体视同中小企业。其中，联合体各方均为小微企业的，联合体视同小微企业。</w:t>
      </w:r>
    </w:p>
    <w:p w14:paraId="466E34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DB56A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3.3.4符合《关于促进残疾人就业政府采购政策的通知》（财库〔2017〕141号）规定的条件并提供《残疾人福利性单位声明函》（附件1）的残疾人福利性单位视同小型、微型企业；</w:t>
      </w:r>
    </w:p>
    <w:p w14:paraId="0D81DF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C797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B87AF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3.3.7中小企业享受扶持政策获得政府采购合同的，小微企业不得将合同分包给大中型企业，中型企业不得将合同分包给大型企业。</w:t>
      </w:r>
    </w:p>
    <w:p w14:paraId="3A9506B2">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3.4</w:t>
      </w:r>
      <w:r>
        <w:rPr>
          <w:rFonts w:hint="eastAsia" w:ascii="宋体" w:hAnsi="宋体" w:cs="宋体"/>
          <w:bCs/>
          <w:color w:val="auto"/>
          <w:szCs w:val="21"/>
          <w:highlight w:val="none"/>
        </w:rPr>
        <w:t>支持创新发展</w:t>
      </w:r>
    </w:p>
    <w:p w14:paraId="4A0734BE">
      <w:pPr>
        <w:pStyle w:val="2"/>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3.4.1对省级以上主管部门认定的首台套产品，自纳入《省推广应用指导目录》起三年内参加政府采购活动，视同已具备相应销售业绩，业绩分为满分。</w:t>
      </w:r>
    </w:p>
    <w:p w14:paraId="1F850E5B">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3.5平等对待内外资企业和符合条件的破产重整企业</w:t>
      </w:r>
    </w:p>
    <w:p w14:paraId="0800E622">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平等对待内外资企业和符合条件的破产重整企业，切实保障企业公平竞争，平等维护企业的合法利益。</w:t>
      </w:r>
      <w:r>
        <w:rPr>
          <w:rFonts w:hint="eastAsia" w:ascii="宋体" w:hAnsi="宋体" w:cs="宋体"/>
          <w:color w:val="auto"/>
          <w:szCs w:val="21"/>
          <w:highlight w:val="none"/>
        </w:rPr>
        <w:cr/>
      </w:r>
      <w:r>
        <w:rPr>
          <w:rFonts w:hint="eastAsia" w:ascii="宋体" w:hAnsi="宋体" w:cs="宋体"/>
          <w:b/>
          <w:color w:val="auto"/>
          <w:szCs w:val="21"/>
          <w:highlight w:val="none"/>
        </w:rPr>
        <w:t>4. 询问、质疑、投诉</w:t>
      </w:r>
    </w:p>
    <w:p w14:paraId="3249FF3C">
      <w:pPr>
        <w:autoSpaceDE w:val="0"/>
        <w:autoSpaceDN w:val="0"/>
        <w:spacing w:line="360" w:lineRule="auto"/>
        <w:ind w:firstLine="210" w:firstLineChars="1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zh-CN"/>
        </w:rPr>
        <w:t>供应商询问</w:t>
      </w:r>
    </w:p>
    <w:p w14:paraId="25BB1CA8">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E199C61">
      <w:pPr>
        <w:autoSpaceDE w:val="0"/>
        <w:autoSpaceDN w:val="0"/>
        <w:spacing w:line="360" w:lineRule="auto"/>
        <w:ind w:firstLine="210" w:firstLineChars="1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zh-CN"/>
        </w:rPr>
        <w:t>供应商质疑</w:t>
      </w:r>
    </w:p>
    <w:p w14:paraId="5DB175ED">
      <w:pPr>
        <w:pStyle w:val="2"/>
        <w:spacing w:line="360" w:lineRule="auto"/>
        <w:ind w:firstLine="420" w:firstLineChars="200"/>
        <w:rPr>
          <w:rFonts w:hAnsi="宋体" w:cs="宋体"/>
          <w:color w:val="auto"/>
          <w:szCs w:val="18"/>
          <w:highlight w:val="none"/>
        </w:rPr>
      </w:pPr>
      <w:r>
        <w:rPr>
          <w:rFonts w:hint="eastAsia" w:hAnsi="宋体" w:cs="宋体"/>
          <w:color w:val="auto"/>
          <w:kern w:val="0"/>
          <w:szCs w:val="18"/>
          <w:highlight w:val="none"/>
          <w:lang w:val="zh-CN"/>
        </w:rPr>
        <w:t>4.</w:t>
      </w:r>
      <w:r>
        <w:rPr>
          <w:rFonts w:hint="eastAsia" w:hAnsi="宋体" w:cs="宋体"/>
          <w:color w:val="auto"/>
          <w:kern w:val="0"/>
          <w:szCs w:val="18"/>
          <w:highlight w:val="none"/>
        </w:rPr>
        <w:t>2</w:t>
      </w:r>
      <w:r>
        <w:rPr>
          <w:rFonts w:hint="eastAsia" w:hAnsi="宋体" w:cs="宋体"/>
          <w:color w:val="auto"/>
          <w:szCs w:val="18"/>
          <w:highlight w:val="none"/>
        </w:rPr>
        <w:t>.1提出质疑的供应商应当是参与所质疑项目采购活动的供应商。潜在供应商已依法获取其可质疑的招标文件的，可以对该文件提出质疑。</w:t>
      </w:r>
    </w:p>
    <w:p w14:paraId="0DC06A6C">
      <w:pPr>
        <w:pStyle w:val="2"/>
        <w:spacing w:line="360" w:lineRule="auto"/>
        <w:ind w:firstLine="420" w:firstLineChars="200"/>
        <w:rPr>
          <w:rFonts w:hAnsi="宋体" w:cs="宋体"/>
          <w:color w:val="auto"/>
          <w:szCs w:val="18"/>
          <w:highlight w:val="none"/>
        </w:rPr>
      </w:pPr>
      <w:r>
        <w:rPr>
          <w:rFonts w:hint="eastAsia" w:hAnsi="宋体" w:cs="宋体"/>
          <w:color w:val="auto"/>
          <w:kern w:val="0"/>
          <w:szCs w:val="18"/>
          <w:highlight w:val="none"/>
          <w:lang w:val="zh-CN"/>
        </w:rPr>
        <w:t>4.</w:t>
      </w:r>
      <w:r>
        <w:rPr>
          <w:rFonts w:hint="eastAsia" w:hAnsi="宋体" w:cs="宋体"/>
          <w:color w:val="auto"/>
          <w:kern w:val="0"/>
          <w:szCs w:val="18"/>
          <w:highlight w:val="none"/>
        </w:rPr>
        <w:t>2</w:t>
      </w:r>
      <w:r>
        <w:rPr>
          <w:rFonts w:hint="eastAsia" w:hAnsi="宋体" w:cs="宋体"/>
          <w:color w:val="auto"/>
          <w:szCs w:val="18"/>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F1657AD">
      <w:pPr>
        <w:pStyle w:val="6"/>
        <w:spacing w:line="360" w:lineRule="auto"/>
        <w:ind w:firstLine="420" w:firstLineChars="200"/>
        <w:rPr>
          <w:rFonts w:hAnsi="宋体" w:cs="宋体"/>
          <w:snapToGrid/>
          <w:color w:val="auto"/>
          <w:kern w:val="2"/>
          <w:sz w:val="21"/>
          <w:szCs w:val="16"/>
          <w:highlight w:val="none"/>
        </w:rPr>
      </w:pPr>
      <w:r>
        <w:rPr>
          <w:rFonts w:hint="eastAsia" w:hAnsi="宋体" w:cs="宋体"/>
          <w:snapToGrid/>
          <w:color w:val="auto"/>
          <w:kern w:val="2"/>
          <w:sz w:val="21"/>
          <w:szCs w:val="16"/>
          <w:highlight w:val="none"/>
        </w:rPr>
        <w:t>4.2.2.1</w:t>
      </w:r>
      <w:r>
        <w:rPr>
          <w:rFonts w:hint="eastAsia" w:hAnsi="宋体" w:cs="宋体"/>
          <w:snapToGrid/>
          <w:color w:val="auto"/>
          <w:kern w:val="2"/>
          <w:sz w:val="21"/>
          <w:szCs w:val="16"/>
          <w:highlight w:val="none"/>
          <w:lang w:eastAsia="zh-CN"/>
        </w:rPr>
        <w:t>对采购文件提出质疑的，质疑期限为供应商获取采购文件之日或者采购公告期限届满之日（公告期限届满后获取采购文件的，以公告期限届满之日为准）起7个工作日内</w:t>
      </w:r>
      <w:r>
        <w:rPr>
          <w:rFonts w:hint="eastAsia" w:hAnsi="宋体" w:cs="宋体"/>
          <w:snapToGrid/>
          <w:color w:val="auto"/>
          <w:kern w:val="2"/>
          <w:sz w:val="21"/>
          <w:szCs w:val="16"/>
          <w:highlight w:val="none"/>
        </w:rPr>
        <w:t>。</w:t>
      </w:r>
    </w:p>
    <w:p w14:paraId="4EC04641">
      <w:pPr>
        <w:pStyle w:val="2"/>
        <w:spacing w:line="360" w:lineRule="auto"/>
        <w:ind w:left="479" w:leftChars="228"/>
        <w:rPr>
          <w:rFonts w:hAnsi="宋体" w:cs="宋体"/>
          <w:color w:val="auto"/>
          <w:szCs w:val="18"/>
          <w:highlight w:val="none"/>
        </w:rPr>
      </w:pPr>
      <w:r>
        <w:rPr>
          <w:rFonts w:hint="eastAsia" w:hAnsi="宋体" w:cs="宋体"/>
          <w:color w:val="auto"/>
          <w:szCs w:val="18"/>
          <w:highlight w:val="none"/>
        </w:rPr>
        <w:t>4.2.2.2对采购过程提出质疑的，质疑期限为各采购程序环节结束之日起计算。4.2.2.3对采购结果提出质疑的，质疑期限自采购结果公告期限届满之日起计算。</w:t>
      </w:r>
    </w:p>
    <w:p w14:paraId="07B35011">
      <w:pPr>
        <w:pStyle w:val="2"/>
        <w:spacing w:line="360" w:lineRule="auto"/>
        <w:ind w:firstLine="420" w:firstLineChars="200"/>
        <w:rPr>
          <w:rFonts w:hAnsi="宋体" w:cs="宋体"/>
          <w:color w:val="auto"/>
          <w:kern w:val="0"/>
          <w:szCs w:val="18"/>
          <w:highlight w:val="none"/>
          <w:lang w:val="zh-CN"/>
        </w:rPr>
      </w:pPr>
      <w:r>
        <w:rPr>
          <w:rFonts w:hint="eastAsia" w:hAnsi="宋体" w:cs="宋体"/>
          <w:color w:val="auto"/>
          <w:kern w:val="0"/>
          <w:szCs w:val="18"/>
          <w:highlight w:val="none"/>
          <w:lang w:val="zh-CN"/>
        </w:rPr>
        <w:t>4.</w:t>
      </w:r>
      <w:r>
        <w:rPr>
          <w:rFonts w:hint="eastAsia" w:hAnsi="宋体" w:cs="宋体"/>
          <w:color w:val="auto"/>
          <w:kern w:val="0"/>
          <w:szCs w:val="18"/>
          <w:highlight w:val="none"/>
        </w:rPr>
        <w:t>2</w:t>
      </w:r>
      <w:r>
        <w:rPr>
          <w:rFonts w:hint="eastAsia" w:hAnsi="宋体" w:cs="宋体"/>
          <w:color w:val="auto"/>
          <w:kern w:val="0"/>
          <w:szCs w:val="18"/>
          <w:highlight w:val="none"/>
          <w:lang w:val="zh-CN"/>
        </w:rPr>
        <w:t>.3</w:t>
      </w:r>
      <w:r>
        <w:rPr>
          <w:rFonts w:hint="eastAsia" w:hAnsi="宋体" w:cs="宋体"/>
          <w:color w:val="auto"/>
          <w:szCs w:val="18"/>
          <w:highlight w:val="none"/>
        </w:rPr>
        <w:t>供应商提出质疑应当提交质疑函和必要的证明材料。质疑函应当包括下列内容：</w:t>
      </w:r>
    </w:p>
    <w:p w14:paraId="3C69DD0E">
      <w:pPr>
        <w:pStyle w:val="2"/>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2</w:t>
      </w:r>
      <w:r>
        <w:rPr>
          <w:rFonts w:hint="eastAsia" w:hAnsi="宋体" w:cs="宋体"/>
          <w:color w:val="auto"/>
          <w:kern w:val="0"/>
          <w:highlight w:val="none"/>
          <w:lang w:val="zh-CN"/>
        </w:rPr>
        <w:t>.3.1供应商的姓名或者名称、地址、邮编、联系人及联系电话；</w:t>
      </w:r>
    </w:p>
    <w:p w14:paraId="4218EED6">
      <w:pPr>
        <w:pStyle w:val="2"/>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2</w:t>
      </w:r>
      <w:r>
        <w:rPr>
          <w:rFonts w:hint="eastAsia" w:hAnsi="宋体" w:cs="宋体"/>
          <w:color w:val="auto"/>
          <w:kern w:val="0"/>
          <w:highlight w:val="none"/>
          <w:lang w:val="zh-CN"/>
        </w:rPr>
        <w:t>.3.2质疑项目的名称、编号；</w:t>
      </w:r>
    </w:p>
    <w:p w14:paraId="3EDF5C94">
      <w:pPr>
        <w:pStyle w:val="2"/>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2</w:t>
      </w:r>
      <w:r>
        <w:rPr>
          <w:rFonts w:hint="eastAsia" w:hAnsi="宋体" w:cs="宋体"/>
          <w:color w:val="auto"/>
          <w:kern w:val="0"/>
          <w:highlight w:val="none"/>
          <w:lang w:val="zh-CN"/>
        </w:rPr>
        <w:t>.3.3具体、明确的质疑事项和与质疑事项相关的请求；</w:t>
      </w:r>
    </w:p>
    <w:p w14:paraId="7F4F273C">
      <w:pPr>
        <w:pStyle w:val="2"/>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2</w:t>
      </w:r>
      <w:r>
        <w:rPr>
          <w:rFonts w:hint="eastAsia" w:hAnsi="宋体" w:cs="宋体"/>
          <w:color w:val="auto"/>
          <w:kern w:val="0"/>
          <w:highlight w:val="none"/>
          <w:lang w:val="zh-CN"/>
        </w:rPr>
        <w:t>.3.4事实依据；</w:t>
      </w:r>
    </w:p>
    <w:p w14:paraId="50BF4FD5">
      <w:pPr>
        <w:pStyle w:val="2"/>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2</w:t>
      </w:r>
      <w:r>
        <w:rPr>
          <w:rFonts w:hint="eastAsia" w:hAnsi="宋体" w:cs="宋体"/>
          <w:color w:val="auto"/>
          <w:kern w:val="0"/>
          <w:highlight w:val="none"/>
          <w:lang w:val="zh-CN"/>
        </w:rPr>
        <w:t>.3.5必要的法律依据；</w:t>
      </w:r>
    </w:p>
    <w:p w14:paraId="6497C17B">
      <w:pPr>
        <w:pStyle w:val="2"/>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2</w:t>
      </w:r>
      <w:r>
        <w:rPr>
          <w:rFonts w:hint="eastAsia" w:hAnsi="宋体" w:cs="宋体"/>
          <w:color w:val="auto"/>
          <w:kern w:val="0"/>
          <w:highlight w:val="none"/>
          <w:lang w:val="zh-CN"/>
        </w:rPr>
        <w:t>.3.6提出质疑的日期。</w:t>
      </w:r>
    </w:p>
    <w:p w14:paraId="048F156F">
      <w:pPr>
        <w:pStyle w:val="2"/>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78EFD82B">
      <w:pPr>
        <w:pStyle w:val="2"/>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质疑函范本请到浙江政府采购网下载专区下载。</w:t>
      </w:r>
    </w:p>
    <w:p w14:paraId="24A81E67">
      <w:pPr>
        <w:pStyle w:val="2"/>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rPr>
        <w:t>4.2.4</w:t>
      </w:r>
      <w:r>
        <w:rPr>
          <w:rFonts w:hint="eastAsia" w:hAnsi="宋体" w:cs="宋体"/>
          <w:color w:val="auto"/>
          <w:kern w:val="0"/>
          <w:highlight w:val="none"/>
          <w:lang w:val="zh-CN"/>
        </w:rPr>
        <w:t>对同一采购程序环节的质疑，供应商须在法定质疑期内一次性提出。</w:t>
      </w:r>
    </w:p>
    <w:p w14:paraId="3B8BF0A3">
      <w:pPr>
        <w:pStyle w:val="2"/>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rPr>
        <w:t>4.2.5</w:t>
      </w:r>
      <w:r>
        <w:rPr>
          <w:rFonts w:hint="eastAsia" w:hAnsi="宋体" w:cs="宋体"/>
          <w:color w:val="auto"/>
          <w:kern w:val="0"/>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color w:val="auto"/>
          <w:kern w:val="0"/>
          <w:highlight w:val="none"/>
        </w:rPr>
        <w:t>浙江省财政厅关于进一步加强政府采购公平竞争打造最优营商环境的通知</w:t>
      </w:r>
      <w:r>
        <w:rPr>
          <w:rFonts w:hint="eastAsia" w:hAnsi="宋体" w:cs="宋体"/>
          <w:color w:val="auto"/>
          <w:kern w:val="0"/>
          <w:highlight w:val="none"/>
          <w:lang w:val="zh-CN"/>
        </w:rPr>
        <w:t>》（</w:t>
      </w:r>
      <w:r>
        <w:rPr>
          <w:rFonts w:hint="eastAsia" w:hAnsi="宋体" w:cs="宋体"/>
          <w:color w:val="auto"/>
          <w:kern w:val="0"/>
          <w:highlight w:val="none"/>
        </w:rPr>
        <w:t>浙财</w:t>
      </w:r>
      <w:r>
        <w:rPr>
          <w:rFonts w:hint="eastAsia" w:hAnsi="宋体" w:cs="宋体"/>
          <w:color w:val="auto"/>
          <w:kern w:val="0"/>
          <w:highlight w:val="none"/>
          <w:lang w:val="zh-CN"/>
        </w:rPr>
        <w:t>采监〔2021〕</w:t>
      </w:r>
      <w:r>
        <w:rPr>
          <w:rFonts w:hint="eastAsia" w:hAnsi="宋体" w:cs="宋体"/>
          <w:color w:val="auto"/>
          <w:kern w:val="0"/>
          <w:highlight w:val="none"/>
        </w:rPr>
        <w:t>22</w:t>
      </w:r>
      <w:r>
        <w:rPr>
          <w:rFonts w:hint="eastAsia" w:hAnsi="宋体" w:cs="宋体"/>
          <w:color w:val="auto"/>
          <w:kern w:val="0"/>
          <w:highlight w:val="none"/>
          <w:lang w:val="zh-CN"/>
        </w:rPr>
        <w:t>号），采购人或者采购代理机构在质疑回复后5个工作日内，在浙江政府采购网的“其他公告”栏目公开质疑答复，答复内容应当完整。质疑函作为附件上传。</w:t>
      </w:r>
    </w:p>
    <w:p w14:paraId="50B6EE05">
      <w:pPr>
        <w:pStyle w:val="2"/>
        <w:spacing w:line="360" w:lineRule="auto"/>
        <w:ind w:firstLine="420" w:firstLineChars="200"/>
        <w:rPr>
          <w:rFonts w:hAnsi="宋体" w:cs="宋体"/>
          <w:color w:val="auto"/>
          <w:kern w:val="0"/>
          <w:highlight w:val="none"/>
        </w:rPr>
      </w:pPr>
      <w:r>
        <w:rPr>
          <w:rFonts w:hint="eastAsia" w:hAnsi="宋体" w:cs="宋体"/>
          <w:color w:val="auto"/>
          <w:kern w:val="0"/>
          <w:highlight w:val="none"/>
        </w:rPr>
        <w:t>4</w:t>
      </w:r>
      <w:r>
        <w:rPr>
          <w:rFonts w:hint="eastAsia" w:hAnsi="宋体" w:cs="宋体"/>
          <w:color w:val="auto"/>
          <w:kern w:val="0"/>
          <w:highlight w:val="none"/>
          <w:lang w:val="zh-CN"/>
        </w:rPr>
        <w:t>.2</w:t>
      </w:r>
      <w:r>
        <w:rPr>
          <w:rFonts w:hint="eastAsia" w:hAnsi="宋体" w:cs="宋体"/>
          <w:color w:val="auto"/>
          <w:kern w:val="0"/>
          <w:highlight w:val="none"/>
        </w:rPr>
        <w:t>.5询问或者质疑事项可能影响采购结果的，采购人应当暂停签订合同，已经签订合同的，应当中止履行合同。</w:t>
      </w:r>
    </w:p>
    <w:p w14:paraId="18BB39DE">
      <w:pPr>
        <w:pStyle w:val="2"/>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rPr>
        <w:t>4</w:t>
      </w:r>
      <w:r>
        <w:rPr>
          <w:rFonts w:hint="eastAsia" w:hAnsi="宋体" w:cs="宋体"/>
          <w:color w:val="auto"/>
          <w:kern w:val="0"/>
          <w:highlight w:val="none"/>
          <w:lang w:val="zh-CN"/>
        </w:rPr>
        <w:t>.3供应商投诉</w:t>
      </w:r>
    </w:p>
    <w:p w14:paraId="4BDBE00A">
      <w:pPr>
        <w:pStyle w:val="2"/>
        <w:spacing w:line="360" w:lineRule="auto"/>
        <w:ind w:firstLine="420" w:firstLineChars="200"/>
        <w:rPr>
          <w:rFonts w:hAnsi="宋体" w:cs="宋体"/>
          <w:color w:val="auto"/>
          <w:kern w:val="0"/>
          <w:highlight w:val="none"/>
        </w:rPr>
      </w:pPr>
      <w:r>
        <w:rPr>
          <w:rFonts w:hint="eastAsia" w:hAnsi="宋体" w:cs="宋体"/>
          <w:color w:val="auto"/>
          <w:kern w:val="0"/>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46DAEB4A">
      <w:pPr>
        <w:pStyle w:val="2"/>
        <w:spacing w:line="360" w:lineRule="auto"/>
        <w:ind w:firstLine="420" w:firstLineChars="200"/>
        <w:rPr>
          <w:rFonts w:hAnsi="宋体" w:cs="宋体"/>
          <w:color w:val="auto"/>
          <w:kern w:val="0"/>
          <w:highlight w:val="none"/>
        </w:rPr>
      </w:pPr>
      <w:r>
        <w:rPr>
          <w:rFonts w:hint="eastAsia" w:hAnsi="宋体" w:cs="宋体"/>
          <w:color w:val="auto"/>
          <w:kern w:val="0"/>
          <w:highlight w:val="none"/>
        </w:rPr>
        <w:t>4.3.</w:t>
      </w:r>
      <w:r>
        <w:rPr>
          <w:rFonts w:hint="eastAsia" w:hAnsi="宋体" w:cs="宋体"/>
          <w:color w:val="auto"/>
          <w:kern w:val="0"/>
          <w:highlight w:val="none"/>
          <w:lang w:val="zh-CN"/>
        </w:rPr>
        <w:t>2</w:t>
      </w:r>
      <w:r>
        <w:rPr>
          <w:rFonts w:hint="eastAsia" w:hAnsi="宋体" w:cs="宋体"/>
          <w:color w:val="auto"/>
          <w:kern w:val="0"/>
          <w:highlight w:val="none"/>
        </w:rPr>
        <w:t>供应商投诉的事项不得超出已质疑事项的范围，基于质疑答复内容提出的投诉事项除外。</w:t>
      </w:r>
    </w:p>
    <w:p w14:paraId="40B401C8">
      <w:pPr>
        <w:pStyle w:val="2"/>
        <w:spacing w:line="360" w:lineRule="auto"/>
        <w:ind w:firstLine="420" w:firstLineChars="200"/>
        <w:rPr>
          <w:rFonts w:hAnsi="宋体" w:cs="宋体"/>
          <w:color w:val="auto"/>
          <w:kern w:val="0"/>
          <w:highlight w:val="none"/>
        </w:rPr>
      </w:pPr>
      <w:r>
        <w:rPr>
          <w:rFonts w:hint="eastAsia" w:hAnsi="宋体" w:cs="宋体"/>
          <w:color w:val="auto"/>
          <w:kern w:val="0"/>
          <w:highlight w:val="none"/>
        </w:rPr>
        <w:t>4.3.3供应商投诉应当有明确的请求和必要的证明材料。</w:t>
      </w:r>
    </w:p>
    <w:p w14:paraId="5615A5B1">
      <w:pPr>
        <w:pStyle w:val="2"/>
        <w:spacing w:line="360" w:lineRule="auto"/>
        <w:ind w:firstLine="420" w:firstLineChars="200"/>
        <w:rPr>
          <w:rFonts w:hAnsi="宋体" w:cs="宋体"/>
          <w:color w:val="auto"/>
          <w:kern w:val="0"/>
          <w:highlight w:val="none"/>
        </w:rPr>
      </w:pPr>
      <w:r>
        <w:rPr>
          <w:rFonts w:hint="eastAsia" w:hAnsi="宋体" w:cs="宋体"/>
          <w:color w:val="auto"/>
          <w:kern w:val="0"/>
          <w:highlight w:val="none"/>
        </w:rPr>
        <w:t>4.3.5 以联合体形式参加政府采购活动的，其投诉应当由组成联合体的所有供应商共同提出。</w:t>
      </w:r>
    </w:p>
    <w:p w14:paraId="1A99EE88">
      <w:pPr>
        <w:pStyle w:val="2"/>
        <w:spacing w:line="360" w:lineRule="auto"/>
        <w:ind w:firstLine="420" w:firstLineChars="200"/>
        <w:rPr>
          <w:rFonts w:hAnsi="宋体" w:cs="宋体"/>
          <w:color w:val="auto"/>
          <w:kern w:val="0"/>
          <w:highlight w:val="none"/>
        </w:rPr>
      </w:pPr>
      <w:r>
        <w:rPr>
          <w:rFonts w:hint="eastAsia" w:hAnsi="宋体" w:cs="宋体"/>
          <w:color w:val="auto"/>
          <w:kern w:val="0"/>
          <w:highlight w:val="none"/>
        </w:rPr>
        <w:t>投诉书范本请到浙江政府采购网下载专区下载。</w:t>
      </w:r>
    </w:p>
    <w:p w14:paraId="445C29B4">
      <w:pPr>
        <w:pStyle w:val="135"/>
        <w:snapToGrid w:val="0"/>
        <w:spacing w:before="0"/>
        <w:ind w:firstLine="360"/>
        <w:rPr>
          <w:rFonts w:ascii="宋体" w:hAnsi="宋体" w:cs="宋体"/>
          <w:color w:val="auto"/>
          <w:sz w:val="18"/>
          <w:szCs w:val="18"/>
          <w:highlight w:val="none"/>
        </w:rPr>
      </w:pPr>
    </w:p>
    <w:p w14:paraId="316607E4">
      <w:pPr>
        <w:adjustRightInd/>
        <w:spacing w:line="360" w:lineRule="auto"/>
        <w:jc w:val="center"/>
        <w:outlineLvl w:val="1"/>
        <w:rPr>
          <w:rFonts w:ascii="宋体" w:hAnsi="宋体" w:cs="宋体"/>
          <w:b/>
          <w:color w:val="auto"/>
          <w:sz w:val="32"/>
          <w:szCs w:val="20"/>
          <w:highlight w:val="none"/>
        </w:rPr>
      </w:pPr>
      <w:bookmarkStart w:id="37" w:name="_Toc20717"/>
      <w:r>
        <w:rPr>
          <w:rFonts w:hint="eastAsia" w:ascii="宋体" w:hAnsi="宋体" w:cs="宋体"/>
          <w:b/>
          <w:color w:val="auto"/>
          <w:sz w:val="32"/>
          <w:szCs w:val="20"/>
          <w:highlight w:val="none"/>
        </w:rPr>
        <w:t>二、招标文件的构成、澄清、修改</w:t>
      </w:r>
      <w:bookmarkEnd w:id="37"/>
    </w:p>
    <w:p w14:paraId="637719D7">
      <w:pPr>
        <w:pStyle w:val="2"/>
        <w:spacing w:line="360" w:lineRule="auto"/>
        <w:rPr>
          <w:rFonts w:hAnsi="宋体" w:cs="宋体"/>
          <w:b/>
          <w:color w:val="auto"/>
          <w:highlight w:val="none"/>
        </w:rPr>
      </w:pPr>
      <w:r>
        <w:rPr>
          <w:rFonts w:hint="eastAsia" w:hAnsi="宋体" w:cs="宋体"/>
          <w:b/>
          <w:color w:val="auto"/>
          <w:highlight w:val="none"/>
        </w:rPr>
        <w:t>5．招标文件的构成</w:t>
      </w:r>
    </w:p>
    <w:p w14:paraId="1B27FE88">
      <w:pPr>
        <w:pStyle w:val="2"/>
        <w:spacing w:line="360" w:lineRule="auto"/>
        <w:ind w:firstLine="420" w:firstLineChars="200"/>
        <w:rPr>
          <w:rFonts w:hAnsi="宋体" w:cs="宋体"/>
          <w:color w:val="auto"/>
          <w:highlight w:val="none"/>
        </w:rPr>
      </w:pPr>
      <w:r>
        <w:rPr>
          <w:rFonts w:hint="eastAsia" w:hAnsi="宋体" w:cs="宋体"/>
          <w:color w:val="auto"/>
          <w:highlight w:val="none"/>
        </w:rPr>
        <w:t>5.1 招标文件包括下列文件及附件：</w:t>
      </w:r>
    </w:p>
    <w:p w14:paraId="22F7BA9D">
      <w:pPr>
        <w:pStyle w:val="2"/>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5.1.1招标公告；</w:t>
      </w:r>
    </w:p>
    <w:p w14:paraId="52CB9C95">
      <w:pPr>
        <w:pStyle w:val="2"/>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5.1.2投标人须知；</w:t>
      </w:r>
    </w:p>
    <w:p w14:paraId="6FF3349E">
      <w:pPr>
        <w:pStyle w:val="2"/>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5.1.3采购需求；</w:t>
      </w:r>
    </w:p>
    <w:p w14:paraId="59A14B08">
      <w:pPr>
        <w:pStyle w:val="2"/>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5.1.4评标办法；</w:t>
      </w:r>
    </w:p>
    <w:p w14:paraId="257BF02A">
      <w:pPr>
        <w:pStyle w:val="2"/>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5.1.5拟签订的合同文本；</w:t>
      </w:r>
    </w:p>
    <w:p w14:paraId="53B32227">
      <w:pPr>
        <w:pStyle w:val="2"/>
        <w:tabs>
          <w:tab w:val="left" w:pos="840"/>
        </w:tabs>
        <w:spacing w:line="360" w:lineRule="auto"/>
        <w:ind w:firstLine="840" w:firstLineChars="400"/>
        <w:rPr>
          <w:rFonts w:hAnsi="宋体" w:cs="宋体"/>
          <w:color w:val="auto"/>
          <w:highlight w:val="none"/>
        </w:rPr>
      </w:pPr>
      <w:r>
        <w:rPr>
          <w:rFonts w:hint="eastAsia" w:hAnsi="宋体" w:cs="宋体"/>
          <w:color w:val="auto"/>
          <w:szCs w:val="18"/>
          <w:highlight w:val="none"/>
        </w:rPr>
        <w:t>5.1.6</w:t>
      </w:r>
      <w:r>
        <w:rPr>
          <w:rFonts w:hint="eastAsia" w:hAnsi="宋体" w:cs="宋体"/>
          <w:color w:val="auto"/>
          <w:highlight w:val="none"/>
        </w:rPr>
        <w:t>应提交的有关格式范例。</w:t>
      </w:r>
    </w:p>
    <w:p w14:paraId="55D9A5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5.2与本项目有关的</w:t>
      </w:r>
      <w:r>
        <w:rPr>
          <w:rFonts w:hint="eastAsia" w:ascii="宋体" w:hAnsi="宋体" w:cs="宋体"/>
          <w:bCs/>
          <w:color w:val="auto"/>
          <w:szCs w:val="21"/>
          <w:highlight w:val="none"/>
        </w:rPr>
        <w:t>澄清或者修改的内容为招标文件的组成部分</w:t>
      </w:r>
      <w:r>
        <w:rPr>
          <w:rFonts w:hint="eastAsia" w:ascii="宋体" w:hAnsi="宋体" w:cs="宋体"/>
          <w:color w:val="auto"/>
          <w:szCs w:val="21"/>
          <w:highlight w:val="none"/>
        </w:rPr>
        <w:t>。</w:t>
      </w:r>
    </w:p>
    <w:p w14:paraId="0FAB1C5A">
      <w:pPr>
        <w:pStyle w:val="2"/>
        <w:spacing w:line="360" w:lineRule="auto"/>
        <w:rPr>
          <w:rFonts w:hAnsi="宋体" w:cs="宋体"/>
          <w:b/>
          <w:color w:val="auto"/>
          <w:highlight w:val="none"/>
        </w:rPr>
      </w:pPr>
      <w:r>
        <w:rPr>
          <w:rFonts w:hint="eastAsia" w:hAnsi="宋体" w:cs="宋体"/>
          <w:b/>
          <w:color w:val="auto"/>
          <w:highlight w:val="none"/>
        </w:rPr>
        <w:t>6. 招标文件的澄清、修改</w:t>
      </w:r>
    </w:p>
    <w:p w14:paraId="6807AFF4">
      <w:pPr>
        <w:pStyle w:val="135"/>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6.1已获取招标文件的潜在投标人，若有问题需要澄清，应于投标截止时间前，以书面形式向采购代理机构提出。</w:t>
      </w:r>
    </w:p>
    <w:p w14:paraId="4C0E54FD">
      <w:pPr>
        <w:pStyle w:val="135"/>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6C3F9E7">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DC5C960">
      <w:pPr>
        <w:adjustRightInd/>
        <w:spacing w:line="360" w:lineRule="auto"/>
        <w:jc w:val="center"/>
        <w:outlineLvl w:val="1"/>
        <w:rPr>
          <w:rFonts w:ascii="宋体" w:hAnsi="宋体" w:cs="宋体"/>
          <w:b/>
          <w:color w:val="auto"/>
          <w:sz w:val="30"/>
          <w:szCs w:val="20"/>
          <w:highlight w:val="none"/>
        </w:rPr>
      </w:pPr>
      <w:bookmarkStart w:id="38" w:name="_Toc6708"/>
      <w:r>
        <w:rPr>
          <w:rFonts w:hint="eastAsia" w:ascii="宋体" w:hAnsi="宋体" w:cs="宋体"/>
          <w:b/>
          <w:color w:val="auto"/>
          <w:sz w:val="30"/>
          <w:szCs w:val="20"/>
          <w:highlight w:val="none"/>
        </w:rPr>
        <w:t>三、投标</w:t>
      </w:r>
      <w:bookmarkEnd w:id="38"/>
    </w:p>
    <w:p w14:paraId="316E1B3B">
      <w:pPr>
        <w:pStyle w:val="2"/>
        <w:spacing w:line="360" w:lineRule="auto"/>
        <w:rPr>
          <w:rFonts w:hAnsi="宋体" w:cs="宋体"/>
          <w:b/>
          <w:color w:val="auto"/>
          <w:highlight w:val="none"/>
        </w:rPr>
      </w:pPr>
      <w:r>
        <w:rPr>
          <w:rFonts w:hint="eastAsia" w:hAnsi="宋体" w:cs="宋体"/>
          <w:b/>
          <w:color w:val="auto"/>
          <w:highlight w:val="none"/>
        </w:rPr>
        <w:t>7. 招标文件的获取</w:t>
      </w:r>
    </w:p>
    <w:p w14:paraId="7FCD0DA4">
      <w:pPr>
        <w:spacing w:line="360" w:lineRule="auto"/>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详见招标公告中获取招标文件的时间期限、地点、方式及招标文件售价。</w:t>
      </w:r>
    </w:p>
    <w:p w14:paraId="122CF052">
      <w:pPr>
        <w:pStyle w:val="2"/>
        <w:numPr>
          <w:ilvl w:val="0"/>
          <w:numId w:val="2"/>
        </w:numPr>
        <w:spacing w:line="360" w:lineRule="auto"/>
        <w:rPr>
          <w:rFonts w:hAnsi="宋体" w:cs="宋体"/>
          <w:b/>
          <w:color w:val="auto"/>
          <w:highlight w:val="none"/>
        </w:rPr>
      </w:pPr>
      <w:r>
        <w:rPr>
          <w:rFonts w:hint="eastAsia" w:hAnsi="宋体" w:cs="宋体"/>
          <w:b/>
          <w:color w:val="auto"/>
          <w:highlight w:val="none"/>
        </w:rPr>
        <w:t>开标前答疑会或现场考察</w:t>
      </w:r>
    </w:p>
    <w:p w14:paraId="366FE6E1">
      <w:pPr>
        <w:pStyle w:val="2"/>
        <w:spacing w:line="360" w:lineRule="auto"/>
        <w:ind w:firstLine="420" w:firstLineChars="200"/>
        <w:rPr>
          <w:rFonts w:hAnsi="宋体" w:cs="宋体"/>
          <w:color w:val="auto"/>
          <w:highlight w:val="none"/>
        </w:rPr>
      </w:pPr>
      <w:r>
        <w:rPr>
          <w:rFonts w:hint="eastAsia" w:hAnsi="宋体" w:cs="宋体"/>
          <w:color w:val="auto"/>
          <w:highlight w:val="none"/>
        </w:rPr>
        <w:t>采购人组织潜在投标人现场考察或者召开开标前答疑会的，潜在投标人按第二部分投标人须知前附表的规定参加现场考察或者开标前答疑会。</w:t>
      </w:r>
    </w:p>
    <w:p w14:paraId="36D5CF52">
      <w:pPr>
        <w:pStyle w:val="2"/>
        <w:numPr>
          <w:ilvl w:val="0"/>
          <w:numId w:val="2"/>
        </w:numPr>
        <w:spacing w:line="360" w:lineRule="auto"/>
        <w:rPr>
          <w:rFonts w:hAnsi="宋体" w:cs="宋体"/>
          <w:b/>
          <w:color w:val="auto"/>
          <w:sz w:val="18"/>
          <w:highlight w:val="none"/>
        </w:rPr>
      </w:pPr>
      <w:r>
        <w:rPr>
          <w:rFonts w:hint="eastAsia" w:hAnsi="宋体" w:cs="宋体"/>
          <w:b/>
          <w:color w:val="auto"/>
          <w:kern w:val="28"/>
          <w:highlight w:val="none"/>
        </w:rPr>
        <w:t>投标保证金</w:t>
      </w:r>
    </w:p>
    <w:p w14:paraId="55C52DAC">
      <w:pPr>
        <w:pStyle w:val="6"/>
        <w:spacing w:line="360" w:lineRule="auto"/>
        <w:ind w:firstLine="411" w:firstLineChars="196"/>
        <w:rPr>
          <w:rFonts w:hAnsi="宋体" w:cs="宋体"/>
          <w:color w:val="auto"/>
          <w:sz w:val="21"/>
          <w:szCs w:val="16"/>
          <w:highlight w:val="none"/>
        </w:rPr>
      </w:pPr>
      <w:r>
        <w:rPr>
          <w:rFonts w:hint="eastAsia" w:hAnsi="宋体" w:cs="宋体"/>
          <w:color w:val="auto"/>
          <w:sz w:val="21"/>
          <w:szCs w:val="16"/>
          <w:highlight w:val="none"/>
        </w:rPr>
        <w:t>本项目不需缴纳投标保证金。</w:t>
      </w:r>
    </w:p>
    <w:p w14:paraId="55D6E319">
      <w:pPr>
        <w:pStyle w:val="2"/>
        <w:spacing w:line="360" w:lineRule="auto"/>
        <w:rPr>
          <w:rFonts w:hAnsi="宋体" w:cs="宋体"/>
          <w:b/>
          <w:color w:val="auto"/>
          <w:highlight w:val="none"/>
        </w:rPr>
      </w:pPr>
      <w:r>
        <w:rPr>
          <w:rFonts w:hint="eastAsia" w:hAnsi="宋体" w:cs="宋体"/>
          <w:b/>
          <w:color w:val="auto"/>
          <w:highlight w:val="none"/>
        </w:rPr>
        <w:t>10. 投标文件的语言</w:t>
      </w:r>
    </w:p>
    <w:p w14:paraId="7D62AD02">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投标文件及投标人与采购有关的来往通知、函件和文件均应使用中文。</w:t>
      </w:r>
    </w:p>
    <w:p w14:paraId="74D09854">
      <w:pPr>
        <w:pStyle w:val="2"/>
        <w:spacing w:line="360" w:lineRule="auto"/>
        <w:rPr>
          <w:rFonts w:hAnsi="宋体" w:cs="宋体"/>
          <w:b/>
          <w:color w:val="auto"/>
          <w:highlight w:val="none"/>
        </w:rPr>
      </w:pPr>
      <w:r>
        <w:rPr>
          <w:rFonts w:hint="eastAsia" w:hAnsi="宋体" w:cs="宋体"/>
          <w:b/>
          <w:color w:val="auto"/>
          <w:highlight w:val="none"/>
        </w:rPr>
        <w:t>11. 投标文件的组成</w:t>
      </w:r>
    </w:p>
    <w:p w14:paraId="3637D7A3">
      <w:pPr>
        <w:snapToGrid w:val="0"/>
        <w:spacing w:line="360" w:lineRule="auto"/>
        <w:ind w:firstLine="422" w:firstLineChars="200"/>
        <w:rPr>
          <w:rFonts w:ascii="宋体" w:hAnsi="宋体" w:cs="宋体"/>
          <w:b/>
          <w:bCs/>
          <w:color w:val="auto"/>
          <w:szCs w:val="21"/>
          <w:highlight w:val="none"/>
        </w:rPr>
      </w:pPr>
    </w:p>
    <w:p w14:paraId="5F9A12DA">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11.1资格文件：</w:t>
      </w:r>
    </w:p>
    <w:p w14:paraId="6F964B5F">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11.1.1有效的企业法人营业执照（或事业法人登记证）、其他组织（个体工商户）的营业执照或者民办非企业单位登记证书；</w:t>
      </w:r>
    </w:p>
    <w:p w14:paraId="50770727">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11.1.2符合参加政府采购活动应当具备的一般条件的承诺函；</w:t>
      </w:r>
    </w:p>
    <w:p w14:paraId="239AED8B">
      <w:pPr>
        <w:snapToGrid w:val="0"/>
        <w:spacing w:line="360" w:lineRule="auto"/>
        <w:ind w:firstLine="840" w:firstLineChars="400"/>
        <w:rPr>
          <w:rFonts w:ascii="宋体" w:hAnsi="宋体" w:cs="宋体"/>
          <w:snapToGrid w:val="0"/>
          <w:color w:val="auto"/>
          <w:kern w:val="28"/>
          <w:szCs w:val="21"/>
          <w:highlight w:val="none"/>
        </w:rPr>
      </w:pPr>
      <w:r>
        <w:rPr>
          <w:rFonts w:hint="eastAsia" w:ascii="宋体" w:hAnsi="宋体" w:cs="宋体"/>
          <w:color w:val="auto"/>
          <w:szCs w:val="21"/>
          <w:highlight w:val="none"/>
        </w:rPr>
        <w:t>11.1.</w:t>
      </w:r>
      <w:bookmarkStart w:id="39" w:name="_Hlk101259339"/>
      <w:r>
        <w:rPr>
          <w:rFonts w:hint="eastAsia" w:ascii="宋体" w:hAnsi="宋体" w:cs="宋体"/>
          <w:color w:val="auto"/>
          <w:szCs w:val="21"/>
          <w:highlight w:val="none"/>
        </w:rPr>
        <w:t>3</w:t>
      </w:r>
      <w:bookmarkEnd w:id="39"/>
      <w:r>
        <w:rPr>
          <w:rFonts w:hint="eastAsia" w:ascii="宋体" w:hAnsi="宋体" w:cs="宋体"/>
          <w:color w:val="auto"/>
          <w:szCs w:val="21"/>
          <w:highlight w:val="none"/>
        </w:rPr>
        <w:t>联合协议（</w:t>
      </w:r>
      <w:r>
        <w:rPr>
          <w:rFonts w:hint="eastAsia" w:ascii="宋体" w:hAnsi="宋体" w:cs="宋体"/>
          <w:color w:val="auto"/>
          <w:szCs w:val="21"/>
          <w:highlight w:val="none"/>
          <w:lang w:val="en-US" w:eastAsia="zh-CN"/>
        </w:rPr>
        <w:t>如</w:t>
      </w:r>
      <w:r>
        <w:rPr>
          <w:rFonts w:hint="eastAsia" w:ascii="宋体" w:hAnsi="宋体" w:cs="宋体"/>
          <w:color w:val="auto"/>
          <w:szCs w:val="21"/>
          <w:highlight w:val="none"/>
        </w:rPr>
        <w:t>适用）；</w:t>
      </w:r>
    </w:p>
    <w:p w14:paraId="2CCD9F58">
      <w:pPr>
        <w:pStyle w:val="24"/>
        <w:ind w:firstLine="840" w:firstLineChars="400"/>
        <w:rPr>
          <w:rFonts w:hAnsi="宋体" w:cs="宋体"/>
          <w:color w:val="auto"/>
          <w:sz w:val="21"/>
          <w:szCs w:val="18"/>
          <w:highlight w:val="none"/>
          <w:lang w:val="en-US"/>
        </w:rPr>
      </w:pPr>
      <w:r>
        <w:rPr>
          <w:rFonts w:hint="eastAsia" w:hAnsi="宋体" w:cs="宋体"/>
          <w:color w:val="auto"/>
          <w:sz w:val="21"/>
          <w:szCs w:val="18"/>
          <w:highlight w:val="none"/>
          <w:lang w:val="en-US"/>
        </w:rPr>
        <w:t>11.1.4</w:t>
      </w:r>
      <w:r>
        <w:rPr>
          <w:rFonts w:hint="eastAsia" w:hAnsi="宋体" w:cs="宋体"/>
          <w:color w:val="auto"/>
          <w:kern w:val="0"/>
          <w:sz w:val="21"/>
          <w:szCs w:val="18"/>
          <w:highlight w:val="none"/>
        </w:rPr>
        <w:t>业务专用章使用说明函（如适用）。</w:t>
      </w:r>
    </w:p>
    <w:p w14:paraId="46DE0B6F">
      <w:pPr>
        <w:snapToGrid w:val="0"/>
        <w:spacing w:line="360" w:lineRule="auto"/>
        <w:ind w:firstLine="422" w:firstLineChars="200"/>
        <w:rPr>
          <w:rFonts w:ascii="宋体" w:hAnsi="宋体" w:cs="宋体"/>
          <w:b/>
          <w:bCs/>
          <w:color w:val="auto"/>
          <w:szCs w:val="21"/>
          <w:highlight w:val="none"/>
          <w:lang w:val="zh-CN"/>
        </w:rPr>
      </w:pPr>
      <w:r>
        <w:rPr>
          <w:rFonts w:hint="eastAsia" w:ascii="宋体" w:hAnsi="宋体" w:cs="宋体"/>
          <w:b/>
          <w:bCs/>
          <w:color w:val="auto"/>
          <w:szCs w:val="21"/>
          <w:highlight w:val="none"/>
          <w:lang w:val="zh-CN"/>
        </w:rPr>
        <w:t>11.</w:t>
      </w:r>
      <w:r>
        <w:rPr>
          <w:rFonts w:hint="eastAsia" w:ascii="宋体" w:hAnsi="宋体" w:cs="宋体"/>
          <w:b/>
          <w:bCs/>
          <w:color w:val="auto"/>
          <w:szCs w:val="21"/>
          <w:highlight w:val="none"/>
        </w:rPr>
        <w:t>2商务技术</w:t>
      </w:r>
      <w:r>
        <w:rPr>
          <w:rFonts w:hint="eastAsia" w:ascii="宋体" w:hAnsi="宋体" w:cs="宋体"/>
          <w:b/>
          <w:bCs/>
          <w:color w:val="auto"/>
          <w:szCs w:val="21"/>
          <w:highlight w:val="none"/>
          <w:lang w:val="zh-CN"/>
        </w:rPr>
        <w:t>文件：</w:t>
      </w:r>
    </w:p>
    <w:p w14:paraId="0EA09830">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11.2.1投标函；</w:t>
      </w:r>
    </w:p>
    <w:p w14:paraId="22CB6759">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11.2.2授权委托书或法定代表人（单位负责人、自然人本人）身份证明；</w:t>
      </w:r>
    </w:p>
    <w:p w14:paraId="24E57BAB">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11.2.3分包意向协议（本项目不适用</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6C370F77">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11.2.3符合性审查资料；</w:t>
      </w:r>
    </w:p>
    <w:p w14:paraId="282A3771">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rPr>
        <w:t>11.2.4</w:t>
      </w:r>
      <w:r>
        <w:rPr>
          <w:rFonts w:hint="eastAsia" w:ascii="宋体" w:hAnsi="宋体" w:cs="宋体"/>
          <w:color w:val="auto"/>
          <w:szCs w:val="21"/>
          <w:highlight w:val="none"/>
          <w:lang w:val="zh-CN"/>
        </w:rPr>
        <w:t>政府采购供应商廉洁自律承诺书</w:t>
      </w:r>
      <w:r>
        <w:rPr>
          <w:rFonts w:hint="eastAsia" w:ascii="宋体" w:hAnsi="宋体" w:cs="宋体"/>
          <w:color w:val="auto"/>
          <w:szCs w:val="21"/>
          <w:highlight w:val="none"/>
        </w:rPr>
        <w:t>；</w:t>
      </w:r>
    </w:p>
    <w:p w14:paraId="5D215157">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11.2.5投标标的清单；</w:t>
      </w:r>
    </w:p>
    <w:p w14:paraId="3E408871">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11.2.6商务技术要求偏离表；</w:t>
      </w:r>
    </w:p>
    <w:p w14:paraId="64D5D7C3">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11.2.7评标标准相应的商务技术资料；</w:t>
      </w:r>
    </w:p>
    <w:p w14:paraId="7085B92F">
      <w:pPr>
        <w:snapToGrid w:val="0"/>
        <w:spacing w:line="360" w:lineRule="auto"/>
        <w:ind w:firstLine="840" w:firstLineChars="4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（7-1）供货及配送方案</w:t>
      </w:r>
      <w:r>
        <w:rPr>
          <w:rFonts w:hint="eastAsia" w:ascii="宋体" w:hAnsi="宋体" w:cs="宋体"/>
          <w:color w:val="auto"/>
          <w:szCs w:val="21"/>
          <w:highlight w:val="none"/>
          <w:lang w:eastAsia="zh-CN"/>
        </w:rPr>
        <w:t>；</w:t>
      </w:r>
    </w:p>
    <w:p w14:paraId="4DE3E6AF">
      <w:pPr>
        <w:snapToGrid w:val="0"/>
        <w:spacing w:line="360" w:lineRule="auto"/>
        <w:ind w:firstLine="840" w:firstLineChars="4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（7-2）验收方案</w:t>
      </w:r>
      <w:r>
        <w:rPr>
          <w:rFonts w:hint="eastAsia" w:ascii="宋体" w:hAnsi="宋体" w:cs="宋体"/>
          <w:color w:val="auto"/>
          <w:szCs w:val="21"/>
          <w:highlight w:val="none"/>
          <w:lang w:eastAsia="zh-CN"/>
        </w:rPr>
        <w:t>；</w:t>
      </w:r>
    </w:p>
    <w:p w14:paraId="5C3DFD8E">
      <w:pPr>
        <w:snapToGrid w:val="0"/>
        <w:spacing w:line="360" w:lineRule="auto"/>
        <w:ind w:firstLine="840" w:firstLineChars="4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（7-3）售后服务</w:t>
      </w:r>
      <w:r>
        <w:rPr>
          <w:rFonts w:hint="eastAsia" w:ascii="宋体" w:hAnsi="宋体" w:cs="宋体"/>
          <w:color w:val="auto"/>
          <w:szCs w:val="21"/>
          <w:highlight w:val="none"/>
          <w:lang w:eastAsia="zh-CN"/>
        </w:rPr>
        <w:t>；</w:t>
      </w:r>
    </w:p>
    <w:p w14:paraId="2C6BC175">
      <w:pPr>
        <w:snapToGrid w:val="0"/>
        <w:spacing w:line="360" w:lineRule="auto"/>
        <w:ind w:firstLine="840" w:firstLineChars="4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（7-4）服务质量保障措施及承诺</w:t>
      </w:r>
      <w:r>
        <w:rPr>
          <w:rFonts w:hint="eastAsia" w:ascii="宋体" w:hAnsi="宋体" w:cs="宋体"/>
          <w:color w:val="auto"/>
          <w:szCs w:val="21"/>
          <w:highlight w:val="none"/>
          <w:lang w:eastAsia="zh-CN"/>
        </w:rPr>
        <w:t>；</w:t>
      </w:r>
    </w:p>
    <w:p w14:paraId="275DA798">
      <w:pPr>
        <w:snapToGrid w:val="0"/>
        <w:spacing w:line="360" w:lineRule="auto"/>
        <w:ind w:firstLine="840" w:firstLineChars="4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（7-5）培训方案</w:t>
      </w:r>
      <w:r>
        <w:rPr>
          <w:rFonts w:hint="eastAsia" w:ascii="宋体" w:hAnsi="宋体" w:cs="宋体"/>
          <w:color w:val="auto"/>
          <w:szCs w:val="21"/>
          <w:highlight w:val="none"/>
          <w:lang w:eastAsia="zh-CN"/>
        </w:rPr>
        <w:t>；</w:t>
      </w:r>
    </w:p>
    <w:p w14:paraId="5BB17C65">
      <w:pPr>
        <w:snapToGrid w:val="0"/>
        <w:spacing w:line="360" w:lineRule="auto"/>
        <w:ind w:firstLine="840" w:firstLineChars="400"/>
        <w:jc w:val="left"/>
        <w:rPr>
          <w:rFonts w:hint="eastAsia" w:ascii="宋体" w:hAnsi="宋体" w:cs="宋体"/>
          <w:color w:val="auto"/>
          <w:szCs w:val="21"/>
          <w:highlight w:val="none"/>
          <w:lang w:eastAsia="zh-CN"/>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）认证证书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p>
    <w:p w14:paraId="5F1EA7E7">
      <w:pPr>
        <w:snapToGrid w:val="0"/>
        <w:spacing w:line="360" w:lineRule="auto"/>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）同类项目</w:t>
      </w:r>
      <w:r>
        <w:rPr>
          <w:rFonts w:hint="eastAsia" w:ascii="宋体" w:hAnsi="宋体" w:cs="宋体"/>
          <w:color w:val="auto"/>
          <w:szCs w:val="21"/>
          <w:highlight w:val="none"/>
          <w:lang w:val="zh-CN"/>
        </w:rPr>
        <w:t>业绩一览表</w:t>
      </w:r>
      <w:r>
        <w:rPr>
          <w:rFonts w:hint="eastAsia" w:ascii="宋体" w:hAnsi="宋体" w:cs="宋体"/>
          <w:color w:val="auto"/>
          <w:szCs w:val="21"/>
          <w:highlight w:val="none"/>
        </w:rPr>
        <w:t>；</w:t>
      </w:r>
    </w:p>
    <w:p w14:paraId="6B7BB897">
      <w:pPr>
        <w:snapToGrid w:val="0"/>
        <w:spacing w:line="360" w:lineRule="auto"/>
        <w:ind w:firstLine="840" w:firstLineChars="400"/>
        <w:jc w:val="left"/>
        <w:rPr>
          <w:rFonts w:ascii="宋体" w:hAnsi="宋体" w:cs="宋体"/>
          <w:color w:val="auto"/>
          <w:szCs w:val="21"/>
          <w:highlight w:val="none"/>
          <w:lang w:val="zh-CN"/>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宋体" w:hAnsi="宋体" w:cs="宋体"/>
          <w:color w:val="auto"/>
          <w:szCs w:val="21"/>
          <w:highlight w:val="none"/>
          <w:lang w:val="zh-CN"/>
        </w:rPr>
        <w:t>节能产品、环境标志产品证明资料（如有，请按第四部分评标办法要求提供）；</w:t>
      </w:r>
    </w:p>
    <w:p w14:paraId="7EEE79C4">
      <w:pPr>
        <w:snapToGrid w:val="0"/>
        <w:spacing w:line="360" w:lineRule="auto"/>
        <w:ind w:firstLine="840" w:firstLineChars="400"/>
        <w:jc w:val="left"/>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7</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val="zh-CN"/>
        </w:rPr>
        <w:t>）投标人根据第四部分评标办法要求提供的其它方案或资料；</w:t>
      </w:r>
    </w:p>
    <w:p w14:paraId="52438C0D">
      <w:pPr>
        <w:snapToGrid w:val="0"/>
        <w:spacing w:line="360" w:lineRule="auto"/>
        <w:ind w:firstLine="840" w:firstLineChars="400"/>
        <w:jc w:val="left"/>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7</w:t>
      </w:r>
      <w:r>
        <w:rPr>
          <w:rFonts w:hint="eastAsia" w:ascii="宋体" w:hAnsi="宋体" w:cs="宋体"/>
          <w:color w:val="auto"/>
          <w:szCs w:val="21"/>
          <w:highlight w:val="none"/>
          <w:lang w:val="zh-CN"/>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lang w:val="zh-CN"/>
        </w:rPr>
        <w:t>）投标人认为有必要提交的其他商务技术部分文件和资料。</w:t>
      </w:r>
    </w:p>
    <w:p w14:paraId="00F3C80F">
      <w:pPr>
        <w:snapToGrid w:val="0"/>
        <w:spacing w:line="360" w:lineRule="auto"/>
        <w:ind w:firstLine="843" w:firstLineChars="400"/>
        <w:jc w:val="left"/>
        <w:rPr>
          <w:rFonts w:ascii="宋体" w:hAnsi="宋体" w:cs="宋体"/>
          <w:b/>
          <w:bCs/>
          <w:color w:val="auto"/>
          <w:szCs w:val="21"/>
          <w:highlight w:val="none"/>
          <w:u w:val="single"/>
          <w:lang w:val="zh-CN"/>
        </w:rPr>
      </w:pPr>
      <w:r>
        <w:rPr>
          <w:rFonts w:hint="eastAsia" w:ascii="宋体" w:hAnsi="宋体" w:cs="宋体"/>
          <w:b/>
          <w:bCs/>
          <w:color w:val="auto"/>
          <w:kern w:val="0"/>
          <w:szCs w:val="21"/>
          <w:highlight w:val="none"/>
          <w:lang w:val="zh-CN"/>
        </w:rPr>
        <w:t>11.</w:t>
      </w:r>
      <w:r>
        <w:rPr>
          <w:rFonts w:hint="eastAsia" w:ascii="宋体" w:hAnsi="宋体" w:cs="宋体"/>
          <w:b/>
          <w:bCs/>
          <w:color w:val="auto"/>
          <w:kern w:val="0"/>
          <w:szCs w:val="21"/>
          <w:highlight w:val="none"/>
        </w:rPr>
        <w:t>3</w:t>
      </w:r>
      <w:r>
        <w:rPr>
          <w:rFonts w:hint="eastAsia" w:ascii="宋体" w:hAnsi="宋体" w:cs="宋体"/>
          <w:b/>
          <w:bCs/>
          <w:color w:val="auto"/>
          <w:szCs w:val="21"/>
          <w:highlight w:val="none"/>
        </w:rPr>
        <w:t xml:space="preserve">报价文件： </w:t>
      </w:r>
    </w:p>
    <w:p w14:paraId="24CEA426">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11.3.1开标一览表（报价表）；</w:t>
      </w:r>
    </w:p>
    <w:p w14:paraId="7B0F9A3A">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11.3.2分项报价表；</w:t>
      </w:r>
    </w:p>
    <w:p w14:paraId="522CC857">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11.3.3中小企业声明函（如是请提供）；</w:t>
      </w:r>
    </w:p>
    <w:p w14:paraId="2D206584">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11.3.4残疾人福利性单位声明函（如是请提供）；</w:t>
      </w:r>
    </w:p>
    <w:p w14:paraId="5F2225CB">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11.3.5</w:t>
      </w:r>
      <w:r>
        <w:rPr>
          <w:rFonts w:hint="eastAsia" w:ascii="宋体" w:hAnsi="宋体" w:cs="宋体"/>
          <w:color w:val="auto"/>
          <w:highlight w:val="none"/>
        </w:rPr>
        <w:t>由省级以上监狱管理局、戒毒管理局（含新疆生产建设兵团）出具的属于监狱企业的证明文件（如是请提供）</w:t>
      </w:r>
      <w:r>
        <w:rPr>
          <w:rFonts w:hint="eastAsia" w:ascii="宋体" w:hAnsi="宋体" w:cs="宋体"/>
          <w:color w:val="auto"/>
          <w:szCs w:val="21"/>
          <w:highlight w:val="none"/>
        </w:rPr>
        <w:t>。</w:t>
      </w:r>
    </w:p>
    <w:p w14:paraId="5CCCA317">
      <w:pPr>
        <w:spacing w:line="360" w:lineRule="auto"/>
        <w:ind w:firstLine="632" w:firstLineChars="300"/>
        <w:rPr>
          <w:rFonts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投标文件含有采购人不能接受的附加条件的，投标无效；</w:t>
      </w:r>
    </w:p>
    <w:p w14:paraId="63296254">
      <w:pPr>
        <w:spacing w:line="360" w:lineRule="auto"/>
        <w:ind w:firstLine="632" w:firstLineChars="300"/>
        <w:rPr>
          <w:rFonts w:ascii="宋体" w:hAnsi="宋体" w:cs="宋体"/>
          <w:b/>
          <w:color w:val="auto"/>
          <w:szCs w:val="18"/>
          <w:highlight w:val="none"/>
        </w:rPr>
      </w:pPr>
      <w:r>
        <w:rPr>
          <w:rFonts w:hint="eastAsia" w:ascii="宋体" w:hAnsi="宋体" w:cs="宋体"/>
          <w:b/>
          <w:color w:val="auto"/>
          <w:szCs w:val="21"/>
          <w:highlight w:val="none"/>
        </w:rPr>
        <w:t>投标人提供虚假材料投标的，投标无效。</w:t>
      </w:r>
    </w:p>
    <w:p w14:paraId="687DE90C">
      <w:pPr>
        <w:snapToGrid w:val="0"/>
        <w:spacing w:line="360" w:lineRule="auto"/>
        <w:rPr>
          <w:rFonts w:ascii="宋体" w:hAnsi="宋体" w:cs="宋体"/>
          <w:b/>
          <w:color w:val="auto"/>
          <w:szCs w:val="21"/>
          <w:highlight w:val="none"/>
        </w:rPr>
      </w:pPr>
      <w:bookmarkStart w:id="40" w:name="_Toc14413"/>
      <w:r>
        <w:rPr>
          <w:rFonts w:hint="eastAsia" w:ascii="宋体" w:hAnsi="宋体" w:cs="宋体"/>
          <w:b/>
          <w:color w:val="auto"/>
          <w:szCs w:val="21"/>
          <w:highlight w:val="none"/>
        </w:rPr>
        <w:t>12.投标文件的编制</w:t>
      </w:r>
      <w:bookmarkEnd w:id="40"/>
    </w:p>
    <w:p w14:paraId="2F10EBF2">
      <w:pPr>
        <w:spacing w:line="360" w:lineRule="auto"/>
        <w:ind w:firstLine="420" w:firstLineChars="200"/>
        <w:rPr>
          <w:rFonts w:ascii="宋体" w:hAnsi="宋体" w:cs="宋体"/>
          <w:b/>
          <w:color w:val="auto"/>
          <w:szCs w:val="21"/>
          <w:highlight w:val="none"/>
        </w:rPr>
      </w:pPr>
      <w:r>
        <w:rPr>
          <w:rFonts w:hint="eastAsia" w:ascii="宋体" w:hAnsi="宋体" w:cs="宋体"/>
          <w:color w:val="auto"/>
          <w:kern w:val="0"/>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AA3686B">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BD3576A">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12.3使用“政采云电子交易客户端”需要提前申领CA数字证书，申领流程请自行前往“浙江政府采购网-下载专区-电子交易客户端-CA驱动和申领流程”进行查阅。</w:t>
      </w:r>
    </w:p>
    <w:p w14:paraId="3BB637DC">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13.投标文件的签署、盖章</w:t>
      </w:r>
    </w:p>
    <w:p w14:paraId="665A1EFA">
      <w:pPr>
        <w:pStyle w:val="135"/>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13.1投标文件按照招标文件第六部分格式要求进行签署、盖章。以联合体形式参与本项目投标的，联合协议中联合体成员均需盖章。除招标文件有特别要求外，其他采购文件要求需盖章的部分仅由联合体牵头人盖章即可。除银行、保险、石油石化、电力、电信、移动、联通等行业允许分公司参加外，其余法人的分支机构不允许参加投标；分公司参加投标的，分公司负责人签署的相关投标资料与本采购文件规定由法定代表人签署的文件材料具有同等效力。</w:t>
      </w:r>
      <w:r>
        <w:rPr>
          <w:rFonts w:hint="eastAsia" w:ascii="宋体" w:hAnsi="宋体" w:cs="宋体"/>
          <w:b/>
          <w:color w:val="auto"/>
          <w:sz w:val="21"/>
          <w:szCs w:val="21"/>
          <w:highlight w:val="none"/>
        </w:rPr>
        <w:t>▲投标人的投标文件未按照招标文件要求签署、盖章的，其投标无效</w:t>
      </w:r>
      <w:r>
        <w:rPr>
          <w:rFonts w:hint="eastAsia" w:ascii="宋体" w:hAnsi="宋体" w:cs="宋体"/>
          <w:color w:val="auto"/>
          <w:sz w:val="21"/>
          <w:szCs w:val="21"/>
          <w:highlight w:val="none"/>
        </w:rPr>
        <w:t>。</w:t>
      </w:r>
    </w:p>
    <w:p w14:paraId="211FDB1D">
      <w:pPr>
        <w:pStyle w:val="135"/>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13.2为确保网上操作合法、有效和安全，投标人应当在投标截止时间前完成在“政府采购云平台”的身份认证，确保在电子投标过程中能够对相关数据电文进行加密和使用电子签名。</w:t>
      </w:r>
    </w:p>
    <w:p w14:paraId="5B427E46">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16"/>
          <w:highlight w:val="none"/>
        </w:rPr>
        <w:t>13.3招标文件对投标文件签署、盖章的要求适用于电子签名。</w:t>
      </w:r>
    </w:p>
    <w:p w14:paraId="4E89EE1B">
      <w:pPr>
        <w:pStyle w:val="135"/>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14.投标文件的提交、补充、修改、撤回</w:t>
      </w:r>
    </w:p>
    <w:p w14:paraId="5D6F830C">
      <w:pPr>
        <w:pStyle w:val="135"/>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140513B">
      <w:pPr>
        <w:pStyle w:val="135"/>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79666BAB">
      <w:pPr>
        <w:pStyle w:val="135"/>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AE2B482">
      <w:pPr>
        <w:pStyle w:val="2"/>
        <w:spacing w:line="360" w:lineRule="auto"/>
        <w:rPr>
          <w:rFonts w:hAnsi="宋体" w:cs="宋体"/>
          <w:b/>
          <w:color w:val="auto"/>
          <w:highlight w:val="none"/>
        </w:rPr>
      </w:pPr>
      <w:r>
        <w:rPr>
          <w:rFonts w:hint="eastAsia" w:hAnsi="宋体" w:cs="宋体"/>
          <w:b/>
          <w:color w:val="auto"/>
          <w:highlight w:val="none"/>
        </w:rPr>
        <w:t>15.备份投标文件</w:t>
      </w:r>
    </w:p>
    <w:p w14:paraId="05A34410">
      <w:pPr>
        <w:pStyle w:val="2"/>
        <w:spacing w:line="360" w:lineRule="auto"/>
        <w:ind w:firstLine="315" w:firstLineChars="150"/>
        <w:rPr>
          <w:rFonts w:hAnsi="宋体" w:cs="宋体"/>
          <w:b/>
          <w:color w:val="auto"/>
          <w:highlight w:val="none"/>
        </w:rPr>
      </w:pPr>
      <w:r>
        <w:rPr>
          <w:rFonts w:hint="eastAsia" w:hAnsi="宋体" w:cs="宋体"/>
          <w:color w:val="auto"/>
          <w:highlight w:val="none"/>
        </w:rPr>
        <w:t xml:space="preserve"> 15.1投标人在电子交易平台传输递交投标文件后，还可以在投标截止时间前直接提交或者以邮寄方式递交备份投标文件1份，</w:t>
      </w:r>
      <w:r>
        <w:rPr>
          <w:rFonts w:hint="eastAsia" w:hAnsi="宋体" w:cs="宋体"/>
          <w:b/>
          <w:color w:val="auto"/>
          <w:highlight w:val="none"/>
        </w:rPr>
        <w:t>但采购人、采购代理机构不强制投标人提交备份投标文件。</w:t>
      </w:r>
    </w:p>
    <w:p w14:paraId="54819E95">
      <w:pPr>
        <w:pStyle w:val="2"/>
        <w:spacing w:line="360" w:lineRule="auto"/>
        <w:ind w:firstLine="420" w:firstLineChars="200"/>
        <w:rPr>
          <w:rFonts w:hAnsi="宋体" w:cs="宋体"/>
          <w:b/>
          <w:color w:val="auto"/>
          <w:highlight w:val="none"/>
        </w:rPr>
      </w:pPr>
      <w:r>
        <w:rPr>
          <w:rFonts w:hint="eastAsia" w:hAnsi="宋体" w:cs="宋体"/>
          <w:color w:val="auto"/>
          <w:highlight w:val="none"/>
        </w:rPr>
        <w:t>15.2备份投标文件须在“政采云投标客户端”制作生成，并储存在</w:t>
      </w:r>
      <w:r>
        <w:rPr>
          <w:rFonts w:hint="eastAsia" w:hAnsi="宋体" w:cs="宋体"/>
          <w:color w:val="auto"/>
          <w:kern w:val="28"/>
          <w:szCs w:val="18"/>
          <w:highlight w:val="none"/>
        </w:rPr>
        <w:t>U盘存储</w:t>
      </w:r>
      <w:r>
        <w:rPr>
          <w:rFonts w:hint="eastAsia" w:hAnsi="宋体" w:cs="宋体"/>
          <w:color w:val="auto"/>
          <w:szCs w:val="18"/>
          <w:highlight w:val="none"/>
        </w:rPr>
        <w:t>介质</w:t>
      </w:r>
      <w:r>
        <w:rPr>
          <w:rFonts w:hint="eastAsia" w:hAnsi="宋体" w:cs="宋体"/>
          <w:color w:val="auto"/>
          <w:highlight w:val="none"/>
        </w:rPr>
        <w:t>中。备份投标文件应当密封包装并在包装上加盖公章并注明投标项目名称，投标人名称</w:t>
      </w:r>
      <w:r>
        <w:rPr>
          <w:rFonts w:hint="eastAsia" w:hAnsi="宋体" w:cs="宋体"/>
          <w:color w:val="auto"/>
          <w:highlight w:val="none"/>
          <w:lang w:eastAsia="zh-CN"/>
        </w:rPr>
        <w:t>（</w:t>
      </w:r>
      <w:r>
        <w:rPr>
          <w:rFonts w:hint="eastAsia" w:hAnsi="宋体" w:cs="宋体"/>
          <w:color w:val="auto"/>
          <w:highlight w:val="none"/>
        </w:rPr>
        <w:t>联合体投标的，包装物封面需注明联合体投标，并注明联合体成员各方的名称和联合协议中约定的牵头人的名称</w:t>
      </w:r>
      <w:r>
        <w:rPr>
          <w:rFonts w:hint="eastAsia" w:hAnsi="宋体" w:cs="宋体"/>
          <w:color w:val="auto"/>
          <w:highlight w:val="none"/>
          <w:lang w:eastAsia="zh-CN"/>
        </w:rPr>
        <w:t>）</w:t>
      </w:r>
      <w:r>
        <w:rPr>
          <w:rFonts w:hint="eastAsia" w:hAnsi="宋体" w:cs="宋体"/>
          <w:color w:val="auto"/>
          <w:highlight w:val="none"/>
        </w:rPr>
        <w:t>。</w:t>
      </w:r>
      <w:r>
        <w:rPr>
          <w:rFonts w:hint="eastAsia" w:hAnsi="宋体" w:cs="宋体"/>
          <w:b/>
          <w:color w:val="auto"/>
          <w:szCs w:val="18"/>
          <w:highlight w:val="none"/>
        </w:rPr>
        <w:t>不符合上述制作、</w:t>
      </w:r>
      <w:r>
        <w:rPr>
          <w:rFonts w:hint="eastAsia" w:hAnsi="宋体" w:cs="宋体"/>
          <w:b/>
          <w:color w:val="auto"/>
          <w:highlight w:val="none"/>
        </w:rPr>
        <w:t>存储、密封规定的备份投标文件将被视为无效或者被拒绝接收。</w:t>
      </w:r>
    </w:p>
    <w:p w14:paraId="43CE1302">
      <w:pPr>
        <w:pStyle w:val="2"/>
        <w:spacing w:line="360" w:lineRule="auto"/>
        <w:ind w:firstLine="420" w:firstLineChars="200"/>
        <w:rPr>
          <w:rFonts w:hAnsi="宋体" w:cs="宋体"/>
          <w:color w:val="auto"/>
          <w:highlight w:val="none"/>
        </w:rPr>
      </w:pPr>
      <w:r>
        <w:rPr>
          <w:rFonts w:hint="eastAsia" w:hAnsi="宋体" w:cs="宋体"/>
          <w:color w:val="auto"/>
          <w:highlight w:val="none"/>
        </w:rPr>
        <w:t>15.3直接提交备份投标文件的，投标人应于投标截止时间前在</w:t>
      </w:r>
      <w:r>
        <w:rPr>
          <w:rFonts w:hint="eastAsia" w:hAnsi="宋体" w:cs="宋体"/>
          <w:snapToGrid/>
          <w:color w:val="auto"/>
          <w:highlight w:val="none"/>
        </w:rPr>
        <w:t>招标文件第二部分投标人须知前附表载明</w:t>
      </w:r>
      <w:r>
        <w:rPr>
          <w:rFonts w:hint="eastAsia" w:hAnsi="宋体" w:cs="宋体"/>
          <w:color w:val="auto"/>
          <w:highlight w:val="none"/>
        </w:rPr>
        <w:t>地点将备份投标文件提交给采购代理机构，采购代理机构将拒绝接受逾期送达的备份投标文件。</w:t>
      </w:r>
    </w:p>
    <w:p w14:paraId="69447E7F">
      <w:pPr>
        <w:pStyle w:val="2"/>
        <w:spacing w:line="360" w:lineRule="auto"/>
        <w:ind w:firstLine="420" w:firstLineChars="200"/>
        <w:rPr>
          <w:rFonts w:hAnsi="宋体" w:cs="宋体"/>
          <w:color w:val="auto"/>
          <w:highlight w:val="none"/>
        </w:rPr>
      </w:pPr>
      <w:r>
        <w:rPr>
          <w:rFonts w:hint="eastAsia" w:hAnsi="宋体" w:cs="宋体"/>
          <w:color w:val="auto"/>
          <w:highlight w:val="none"/>
        </w:rPr>
        <w:t>15.4以邮寄方式递交备份投标文件的，投标人应先将备份投标文件按要求密封和标记，再进行邮件外包装后邮寄。备份投标文件须在招标文件第二部分投标人须知前附表规定的截止时间之前送达到规定的地点</w:t>
      </w:r>
      <w:r>
        <w:rPr>
          <w:rFonts w:hint="eastAsia" w:hAnsi="宋体" w:cs="宋体"/>
          <w:snapToGrid/>
          <w:color w:val="auto"/>
          <w:highlight w:val="none"/>
        </w:rPr>
        <w:t>；</w:t>
      </w:r>
      <w:r>
        <w:rPr>
          <w:rFonts w:hint="eastAsia" w:hAnsi="宋体" w:cs="宋体"/>
          <w:color w:val="auto"/>
          <w:highlight w:val="none"/>
        </w:rPr>
        <w:t>送达时间以签收人签收时间为准。采购代理机构将拒绝接受逾期送达的备份投标文件。邮寄过程中，电子备份投标文件发生泄露、遗失、损坏或延期送达等情况的，由投标人自行负责。</w:t>
      </w:r>
    </w:p>
    <w:p w14:paraId="45000764">
      <w:pPr>
        <w:pStyle w:val="2"/>
        <w:spacing w:line="360" w:lineRule="auto"/>
        <w:ind w:firstLine="420" w:firstLineChars="199"/>
        <w:rPr>
          <w:rFonts w:hAnsi="宋体" w:cs="宋体"/>
          <w:b/>
          <w:color w:val="auto"/>
          <w:highlight w:val="none"/>
        </w:rPr>
      </w:pPr>
      <w:r>
        <w:rPr>
          <w:rFonts w:hint="eastAsia" w:hAnsi="宋体" w:cs="宋体"/>
          <w:b/>
          <w:color w:val="auto"/>
          <w:highlight w:val="none"/>
        </w:rPr>
        <w:t>15.5投标人仅提交备份投标文件，未在电子交易平台传输递交投标文件的，投标无效。</w:t>
      </w:r>
    </w:p>
    <w:p w14:paraId="071035A4">
      <w:pPr>
        <w:pStyle w:val="135"/>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14:paraId="5F4D0018">
      <w:pPr>
        <w:pStyle w:val="25"/>
        <w:spacing w:line="360" w:lineRule="auto"/>
        <w:ind w:firstLine="315" w:firstLineChars="150"/>
        <w:rPr>
          <w:rFonts w:cs="宋体"/>
          <w:color w:val="auto"/>
          <w:sz w:val="21"/>
          <w:szCs w:val="18"/>
          <w:highlight w:val="none"/>
        </w:rPr>
      </w:pPr>
      <w:r>
        <w:rPr>
          <w:rFonts w:hint="eastAsia" w:cs="宋体"/>
          <w:color w:val="auto"/>
          <w:sz w:val="21"/>
          <w:szCs w:val="18"/>
          <w:highlight w:val="none"/>
        </w:rPr>
        <w:t>有招标文件第四部分</w:t>
      </w:r>
      <w:r>
        <w:rPr>
          <w:rFonts w:hint="eastAsia" w:cs="宋体"/>
          <w:color w:val="auto"/>
          <w:sz w:val="21"/>
          <w:szCs w:val="21"/>
          <w:highlight w:val="none"/>
        </w:rPr>
        <w:t>4.2规定</w:t>
      </w:r>
      <w:r>
        <w:rPr>
          <w:rFonts w:hint="eastAsia" w:cs="宋体"/>
          <w:color w:val="auto"/>
          <w:sz w:val="21"/>
          <w:szCs w:val="18"/>
          <w:highlight w:val="none"/>
        </w:rPr>
        <w:t>的情形之一的，投标无效：</w:t>
      </w:r>
    </w:p>
    <w:p w14:paraId="71F6D5C8">
      <w:pPr>
        <w:pStyle w:val="135"/>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17.投标有效期</w:t>
      </w:r>
    </w:p>
    <w:p w14:paraId="2C66AE9A">
      <w:pPr>
        <w:spacing w:line="360" w:lineRule="auto"/>
        <w:ind w:firstLine="420" w:firstLineChars="200"/>
        <w:rPr>
          <w:rFonts w:ascii="宋体" w:hAnsi="宋体" w:cs="宋体"/>
          <w:b/>
          <w:color w:val="auto"/>
          <w:szCs w:val="18"/>
          <w:highlight w:val="none"/>
        </w:rPr>
      </w:pPr>
      <w:r>
        <w:rPr>
          <w:rFonts w:hint="eastAsia" w:ascii="宋体" w:hAnsi="宋体" w:cs="宋体"/>
          <w:color w:val="auto"/>
          <w:szCs w:val="16"/>
          <w:highlight w:val="none"/>
        </w:rPr>
        <w:t>17.1投标有效期为从提交投标文件的截止之日起90天。▲</w:t>
      </w:r>
      <w:r>
        <w:rPr>
          <w:rFonts w:hint="eastAsia" w:ascii="宋体" w:hAnsi="宋体" w:cs="宋体"/>
          <w:b/>
          <w:color w:val="auto"/>
          <w:szCs w:val="16"/>
          <w:highlight w:val="none"/>
        </w:rPr>
        <w:t>投标人的投标文件中承</w:t>
      </w:r>
      <w:r>
        <w:rPr>
          <w:rFonts w:hint="eastAsia" w:ascii="宋体" w:hAnsi="宋体" w:cs="宋体"/>
          <w:b/>
          <w:color w:val="auto"/>
          <w:szCs w:val="18"/>
          <w:highlight w:val="none"/>
        </w:rPr>
        <w:t>诺的投标有效期少于招标文件中载明的投标有效期的，投标无效。</w:t>
      </w:r>
    </w:p>
    <w:p w14:paraId="1E8C00D2">
      <w:pPr>
        <w:pStyle w:val="135"/>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17.2投标文件合格投递后，自投标截止日期起，在投标有效期内有效。</w:t>
      </w:r>
    </w:p>
    <w:p w14:paraId="4259A5F0">
      <w:pPr>
        <w:pStyle w:val="135"/>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2E91321">
      <w:pPr>
        <w:pStyle w:val="135"/>
        <w:spacing w:before="0"/>
        <w:ind w:firstLine="643"/>
        <w:rPr>
          <w:rFonts w:ascii="宋体" w:hAnsi="宋体" w:cs="宋体"/>
          <w:b/>
          <w:color w:val="auto"/>
          <w:sz w:val="32"/>
          <w:highlight w:val="none"/>
        </w:rPr>
      </w:pPr>
    </w:p>
    <w:p w14:paraId="21C5EC36">
      <w:pPr>
        <w:pStyle w:val="135"/>
        <w:spacing w:before="0"/>
        <w:ind w:firstLine="1928" w:firstLineChars="600"/>
        <w:outlineLvl w:val="1"/>
        <w:rPr>
          <w:rFonts w:ascii="宋体" w:hAnsi="宋体" w:cs="宋体"/>
          <w:b/>
          <w:color w:val="auto"/>
          <w:sz w:val="32"/>
          <w:highlight w:val="none"/>
        </w:rPr>
      </w:pPr>
      <w:bookmarkStart w:id="41" w:name="_Toc24357"/>
      <w:r>
        <w:rPr>
          <w:rFonts w:hint="eastAsia" w:ascii="宋体" w:hAnsi="宋体" w:cs="宋体"/>
          <w:b/>
          <w:color w:val="auto"/>
          <w:sz w:val="32"/>
          <w:highlight w:val="none"/>
        </w:rPr>
        <w:t>四、开标、资格审查与信用信息查询</w:t>
      </w:r>
      <w:bookmarkEnd w:id="41"/>
    </w:p>
    <w:p w14:paraId="6DFF6A06">
      <w:pPr>
        <w:pStyle w:val="559"/>
        <w:spacing w:before="0" w:line="360" w:lineRule="auto"/>
        <w:ind w:left="0" w:firstLine="0"/>
        <w:contextualSpacing/>
        <w:rPr>
          <w:rFonts w:ascii="宋体" w:hAnsi="宋体" w:cs="宋体"/>
          <w:color w:val="auto"/>
          <w:sz w:val="21"/>
          <w:szCs w:val="16"/>
          <w:highlight w:val="none"/>
        </w:rPr>
      </w:pPr>
      <w:r>
        <w:rPr>
          <w:rFonts w:hint="eastAsia" w:ascii="宋体" w:hAnsi="宋体" w:cs="宋体"/>
          <w:b/>
          <w:color w:val="auto"/>
          <w:sz w:val="21"/>
          <w:szCs w:val="21"/>
          <w:highlight w:val="none"/>
        </w:rPr>
        <w:t>18.开标</w:t>
      </w:r>
      <w:r>
        <w:rPr>
          <w:rFonts w:hint="eastAsia" w:ascii="宋体" w:hAnsi="宋体" w:cs="宋体"/>
          <w:color w:val="auto"/>
          <w:sz w:val="21"/>
          <w:szCs w:val="16"/>
          <w:highlight w:val="none"/>
        </w:rPr>
        <w:t xml:space="preserve"> </w:t>
      </w:r>
    </w:p>
    <w:p w14:paraId="139F06CB">
      <w:pPr>
        <w:pStyle w:val="559"/>
        <w:spacing w:before="0" w:line="360" w:lineRule="auto"/>
        <w:ind w:left="0" w:firstLine="420" w:firstLineChars="200"/>
        <w:contextualSpacing/>
        <w:rPr>
          <w:rFonts w:ascii="宋体" w:hAnsi="宋体" w:cs="宋体"/>
          <w:color w:val="auto"/>
          <w:sz w:val="21"/>
          <w:szCs w:val="16"/>
          <w:highlight w:val="none"/>
        </w:rPr>
      </w:pPr>
      <w:r>
        <w:rPr>
          <w:rFonts w:hint="eastAsia" w:ascii="宋体" w:hAnsi="宋体" w:cs="宋体"/>
          <w:color w:val="auto"/>
          <w:sz w:val="21"/>
          <w:szCs w:val="16"/>
          <w:highlight w:val="none"/>
        </w:rPr>
        <w:t>18.1采购代理机构按照招标文件规定的时间通过电子交易平台组织开标，所有投标人均应当准时在线参加。投标人不足3家的，不得开标。</w:t>
      </w:r>
    </w:p>
    <w:p w14:paraId="066DD18A">
      <w:pPr>
        <w:pStyle w:val="559"/>
        <w:spacing w:before="0" w:line="360" w:lineRule="auto"/>
        <w:ind w:left="0" w:firstLine="210" w:firstLineChars="100"/>
        <w:contextualSpacing/>
        <w:rPr>
          <w:rFonts w:ascii="宋体" w:hAnsi="宋体" w:cs="宋体"/>
          <w:color w:val="auto"/>
          <w:sz w:val="21"/>
          <w:szCs w:val="16"/>
          <w:highlight w:val="none"/>
        </w:rPr>
      </w:pPr>
      <w:r>
        <w:rPr>
          <w:rFonts w:hint="eastAsia" w:ascii="宋体" w:hAnsi="宋体" w:cs="宋体"/>
          <w:color w:val="auto"/>
          <w:sz w:val="21"/>
          <w:szCs w:val="16"/>
          <w:highlight w:val="none"/>
        </w:rPr>
        <w:t>　18.2开标时，电子交易平台按开标时间自动提取所有投标文件。采购代理机构依托电子交易平台发起开始解密指令，投标人按照平台提示和招标文件的规定在半小时内完成在线解密。</w:t>
      </w:r>
    </w:p>
    <w:p w14:paraId="39250E4D">
      <w:pPr>
        <w:pStyle w:val="559"/>
        <w:spacing w:before="0" w:line="360" w:lineRule="auto"/>
        <w:ind w:left="0" w:firstLine="210" w:firstLineChars="100"/>
        <w:contextualSpacing/>
        <w:rPr>
          <w:rFonts w:ascii="宋体" w:hAnsi="宋体" w:cs="宋体"/>
          <w:b/>
          <w:color w:val="auto"/>
          <w:sz w:val="21"/>
          <w:szCs w:val="16"/>
          <w:highlight w:val="none"/>
        </w:rPr>
      </w:pPr>
      <w:r>
        <w:rPr>
          <w:rFonts w:hint="eastAsia" w:ascii="宋体" w:hAnsi="宋体" w:cs="宋体"/>
          <w:color w:val="auto"/>
          <w:sz w:val="21"/>
          <w:szCs w:val="16"/>
          <w:highlight w:val="none"/>
        </w:rPr>
        <w:t>　18.3</w:t>
      </w:r>
      <w:r>
        <w:rPr>
          <w:rFonts w:hint="eastAsia" w:ascii="宋体" w:hAnsi="宋体" w:cs="宋体"/>
          <w:b/>
          <w:color w:val="auto"/>
          <w:sz w:val="21"/>
          <w:szCs w:val="16"/>
          <w:highlight w:val="none"/>
        </w:rPr>
        <w:t>投标文件未按时解密，投标人提供了备份投标文件的，以备份投标文件作为依据，否则视为投标文件撤回。投标文件已按时解密的，备份投标文件自动失效。</w:t>
      </w:r>
    </w:p>
    <w:p w14:paraId="37085CB8">
      <w:pPr>
        <w:widowControl/>
        <w:numPr>
          <w:ilvl w:val="0"/>
          <w:numId w:val="3"/>
        </w:numPr>
        <w:spacing w:line="360" w:lineRule="auto"/>
        <w:jc w:val="left"/>
        <w:rPr>
          <w:rFonts w:ascii="宋体" w:hAnsi="宋体" w:cs="宋体"/>
          <w:b/>
          <w:color w:val="auto"/>
          <w:szCs w:val="16"/>
          <w:highlight w:val="none"/>
        </w:rPr>
      </w:pPr>
      <w:r>
        <w:rPr>
          <w:rFonts w:hint="eastAsia" w:ascii="宋体" w:hAnsi="宋体" w:cs="宋体"/>
          <w:b/>
          <w:color w:val="auto"/>
          <w:szCs w:val="16"/>
          <w:highlight w:val="none"/>
        </w:rPr>
        <w:t>资格审查</w:t>
      </w:r>
    </w:p>
    <w:p w14:paraId="087895B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19.1</w:t>
      </w:r>
      <w:r>
        <w:rPr>
          <w:rFonts w:hint="eastAsia" w:ascii="宋体" w:hAnsi="宋体" w:cs="宋体"/>
          <w:color w:val="auto"/>
          <w:szCs w:val="21"/>
          <w:highlight w:val="none"/>
        </w:rPr>
        <w:t>采购人或采购代理机构依据法律法规和招标文件的规定，对投标人的资格进行审查。</w:t>
      </w:r>
    </w:p>
    <w:p w14:paraId="5028487C">
      <w:pPr>
        <w:pStyle w:val="135"/>
        <w:spacing w:before="0"/>
        <w:ind w:firstLine="420"/>
        <w:rPr>
          <w:rFonts w:ascii="宋体" w:hAnsi="宋体" w:cs="宋体"/>
          <w:color w:val="auto"/>
          <w:sz w:val="21"/>
          <w:szCs w:val="16"/>
          <w:highlight w:val="none"/>
        </w:rPr>
      </w:pPr>
      <w:r>
        <w:rPr>
          <w:rFonts w:hint="eastAsia" w:ascii="宋体" w:hAnsi="宋体" w:cs="宋体"/>
          <w:color w:val="auto"/>
          <w:kern w:val="0"/>
          <w:sz w:val="21"/>
          <w:szCs w:val="21"/>
          <w:highlight w:val="none"/>
        </w:rPr>
        <w:t>19.2投标人未按照招标文件要求提供与</w:t>
      </w:r>
      <w:r>
        <w:rPr>
          <w:rFonts w:hint="eastAsia" w:ascii="宋体" w:hAnsi="宋体" w:cs="宋体"/>
          <w:color w:val="auto"/>
          <w:sz w:val="21"/>
          <w:szCs w:val="16"/>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16"/>
          <w:highlight w:val="none"/>
        </w:rPr>
        <w:t>投标人不具备招标文件中规定的资格要求，其投标无效。</w:t>
      </w:r>
    </w:p>
    <w:p w14:paraId="27131D34">
      <w:pPr>
        <w:pStyle w:val="135"/>
        <w:spacing w:before="0"/>
        <w:ind w:firstLine="420"/>
        <w:rPr>
          <w:rFonts w:ascii="宋体" w:hAnsi="宋体" w:cs="宋体"/>
          <w:color w:val="auto"/>
          <w:sz w:val="21"/>
          <w:szCs w:val="16"/>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16"/>
          <w:highlight w:val="none"/>
        </w:rPr>
        <w:t>3对未通过资格审查的投标人，采购人或采购代理机构告知其未通过的原因。</w:t>
      </w:r>
    </w:p>
    <w:p w14:paraId="768739D8">
      <w:pPr>
        <w:pStyle w:val="135"/>
        <w:spacing w:before="0"/>
        <w:ind w:firstLine="420"/>
        <w:rPr>
          <w:rFonts w:ascii="宋体" w:hAnsi="宋体" w:cs="宋体"/>
          <w:color w:val="auto"/>
          <w:sz w:val="21"/>
          <w:szCs w:val="16"/>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16"/>
          <w:highlight w:val="none"/>
        </w:rPr>
        <w:t>4合格投标人不足3家的，不再评标。</w:t>
      </w:r>
    </w:p>
    <w:p w14:paraId="7C58ACAA">
      <w:pPr>
        <w:pStyle w:val="135"/>
        <w:numPr>
          <w:ilvl w:val="0"/>
          <w:numId w:val="3"/>
        </w:numPr>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信用信息查询</w:t>
      </w:r>
    </w:p>
    <w:p w14:paraId="0BBCE9FD">
      <w:pPr>
        <w:pStyle w:val="135"/>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20.1信用信息查询渠道及截止时间：采购代理机构将在资格审查时通过“信用中国”网站</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www.creditchina.gov.cn)、中国政府采购网</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www.ccgp.gov.cn</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渠道查询投标人接受资格审查时的信用记录。</w:t>
      </w:r>
    </w:p>
    <w:p w14:paraId="32F193BE">
      <w:pPr>
        <w:pStyle w:val="135"/>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14:paraId="1F001C47">
      <w:pPr>
        <w:pStyle w:val="135"/>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20.3信用信息的使用规则：经查询列入失信被执行人名单、重大税收违法失信主体、政府采购严重违法失信行为记录名单的投标人将被拒绝参与政府采购活动。</w:t>
      </w:r>
    </w:p>
    <w:p w14:paraId="37C817CC">
      <w:pPr>
        <w:pStyle w:val="135"/>
        <w:spacing w:before="0"/>
        <w:ind w:firstLine="420"/>
        <w:rPr>
          <w:rFonts w:ascii="宋体" w:hAnsi="宋体" w:cs="宋体"/>
          <w:color w:val="auto"/>
          <w:sz w:val="21"/>
          <w:szCs w:val="16"/>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16"/>
          <w:highlight w:val="none"/>
        </w:rPr>
        <w:t>。</w:t>
      </w:r>
    </w:p>
    <w:p w14:paraId="3E74D683">
      <w:pPr>
        <w:pStyle w:val="135"/>
        <w:spacing w:before="0"/>
        <w:ind w:firstLine="0" w:firstLineChars="0"/>
        <w:rPr>
          <w:rFonts w:ascii="宋体" w:hAnsi="宋体" w:cs="宋体"/>
          <w:color w:val="auto"/>
          <w:kern w:val="0"/>
          <w:szCs w:val="24"/>
          <w:highlight w:val="none"/>
        </w:rPr>
      </w:pPr>
    </w:p>
    <w:p w14:paraId="2CF62440">
      <w:pPr>
        <w:snapToGrid w:val="0"/>
        <w:spacing w:line="360" w:lineRule="auto"/>
        <w:jc w:val="center"/>
        <w:outlineLvl w:val="1"/>
        <w:rPr>
          <w:rFonts w:ascii="宋体" w:hAnsi="宋体" w:cs="宋体"/>
          <w:b/>
          <w:color w:val="auto"/>
          <w:sz w:val="36"/>
          <w:szCs w:val="36"/>
          <w:highlight w:val="none"/>
        </w:rPr>
      </w:pPr>
      <w:bookmarkStart w:id="42" w:name="_Toc23139"/>
      <w:r>
        <w:rPr>
          <w:rFonts w:hint="eastAsia" w:ascii="宋体" w:hAnsi="宋体" w:cs="宋体"/>
          <w:b/>
          <w:color w:val="auto"/>
          <w:sz w:val="36"/>
          <w:szCs w:val="36"/>
          <w:highlight w:val="none"/>
        </w:rPr>
        <w:t>五、评标</w:t>
      </w:r>
      <w:bookmarkEnd w:id="42"/>
    </w:p>
    <w:p w14:paraId="74FACEC8">
      <w:pPr>
        <w:spacing w:line="360" w:lineRule="auto"/>
        <w:rPr>
          <w:rFonts w:ascii="宋体" w:hAnsi="宋体" w:cs="宋体"/>
          <w:b/>
          <w:color w:val="auto"/>
          <w:szCs w:val="21"/>
          <w:highlight w:val="none"/>
        </w:rPr>
      </w:pPr>
      <w:bookmarkStart w:id="43" w:name="_Toc91899903"/>
      <w:r>
        <w:rPr>
          <w:rFonts w:hint="eastAsia" w:ascii="宋体" w:hAnsi="宋体" w:cs="宋体"/>
          <w:b/>
          <w:color w:val="auto"/>
          <w:szCs w:val="21"/>
          <w:highlight w:val="none"/>
        </w:rPr>
        <w:t>21.</w:t>
      </w:r>
      <w:r>
        <w:rPr>
          <w:rFonts w:hint="eastAsia" w:ascii="宋体" w:hAnsi="宋体" w:cs="宋体"/>
          <w:color w:val="auto"/>
          <w:szCs w:val="21"/>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Cs w:val="21"/>
          <w:highlight w:val="none"/>
        </w:rPr>
        <w:t>详见招标文件第四部分评标办法。</w:t>
      </w:r>
    </w:p>
    <w:p w14:paraId="5B6AF241">
      <w:pPr>
        <w:spacing w:line="360" w:lineRule="auto"/>
        <w:rPr>
          <w:rFonts w:ascii="宋体" w:hAnsi="宋体" w:cs="宋体"/>
          <w:b/>
          <w:color w:val="auto"/>
          <w:sz w:val="24"/>
          <w:highlight w:val="none"/>
        </w:rPr>
      </w:pPr>
    </w:p>
    <w:p w14:paraId="7A35E242">
      <w:pPr>
        <w:snapToGrid w:val="0"/>
        <w:spacing w:line="360" w:lineRule="auto"/>
        <w:jc w:val="center"/>
        <w:outlineLvl w:val="1"/>
        <w:rPr>
          <w:rFonts w:ascii="宋体" w:hAnsi="宋体" w:cs="宋体"/>
          <w:b/>
          <w:color w:val="auto"/>
          <w:sz w:val="36"/>
          <w:szCs w:val="36"/>
          <w:highlight w:val="none"/>
        </w:rPr>
      </w:pPr>
      <w:bookmarkStart w:id="44" w:name="_Toc32708"/>
      <w:r>
        <w:rPr>
          <w:rFonts w:hint="eastAsia" w:ascii="宋体" w:hAnsi="宋体" w:cs="宋体"/>
          <w:b/>
          <w:color w:val="auto"/>
          <w:sz w:val="36"/>
          <w:szCs w:val="36"/>
          <w:highlight w:val="none"/>
        </w:rPr>
        <w:t>六、定 标</w:t>
      </w:r>
      <w:bookmarkEnd w:id="44"/>
    </w:p>
    <w:p w14:paraId="504A6D2B">
      <w:pPr>
        <w:pStyle w:val="25"/>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22. 确定中标供应商</w:t>
      </w:r>
    </w:p>
    <w:p w14:paraId="74CA8E0C">
      <w:pPr>
        <w:pStyle w:val="135"/>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个工作日内在线确定中标或者成交供应商。中标、成交通知书和中标、成交结果公告应当在规定时间内同时发出。</w:t>
      </w:r>
    </w:p>
    <w:p w14:paraId="5B889AC1">
      <w:pPr>
        <w:pStyle w:val="135"/>
        <w:numPr>
          <w:ilvl w:val="0"/>
          <w:numId w:val="4"/>
        </w:numPr>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中标通知与中标结果公告</w:t>
      </w:r>
    </w:p>
    <w:p w14:paraId="09EA6B66">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23.1自中标人确定之日起2个工作日内，采购代理机构通过电子交易平台向中标人发出中标通知书，同时编制发布采购结果公告。采购代理机构也可以以纸质形式进行中标通知。</w:t>
      </w:r>
    </w:p>
    <w:p w14:paraId="0B8B50CC">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23.2中标结果公告内容包括采购人及其委托的采购代理机构的名称、地址、联系方式，项目名称和项目编号，中标人名称、地址和中标金额，主要中标标的的名称、规格型号、数量、单价、服务要求或者标的基本概况，开标记录、资格审查情况、评审专家抽取规则、符合性审查情况、中标公告期限以及评审专家名单、评分汇总。</w:t>
      </w:r>
    </w:p>
    <w:p w14:paraId="767BD212">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23.3公告期限为1个工作日。</w:t>
      </w:r>
    </w:p>
    <w:p w14:paraId="6FAC5168">
      <w:pPr>
        <w:snapToGrid w:val="0"/>
        <w:spacing w:line="360" w:lineRule="auto"/>
        <w:ind w:left="120" w:leftChars="57" w:firstLine="482" w:firstLineChars="150"/>
        <w:jc w:val="center"/>
        <w:outlineLvl w:val="1"/>
        <w:rPr>
          <w:rFonts w:ascii="宋体" w:hAnsi="宋体" w:cs="宋体"/>
          <w:b/>
          <w:color w:val="auto"/>
          <w:sz w:val="32"/>
          <w:highlight w:val="none"/>
        </w:rPr>
      </w:pPr>
      <w:bookmarkStart w:id="45" w:name="_Toc22272"/>
      <w:r>
        <w:rPr>
          <w:rFonts w:hint="eastAsia" w:ascii="宋体" w:hAnsi="宋体" w:cs="宋体"/>
          <w:b/>
          <w:color w:val="auto"/>
          <w:sz w:val="32"/>
          <w:highlight w:val="none"/>
        </w:rPr>
        <w:t>七、合同授予</w:t>
      </w:r>
      <w:bookmarkEnd w:id="45"/>
    </w:p>
    <w:p w14:paraId="3289D0DC">
      <w:pPr>
        <w:pStyle w:val="25"/>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合同主要条款详见第五部分拟签订的合同文本。</w:t>
      </w:r>
    </w:p>
    <w:p w14:paraId="41612280">
      <w:pPr>
        <w:pStyle w:val="25"/>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25. 合同的签订</w:t>
      </w:r>
    </w:p>
    <w:p w14:paraId="39933464">
      <w:pPr>
        <w:pStyle w:val="135"/>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25.1 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4CEFA685">
      <w:pPr>
        <w:pStyle w:val="135"/>
        <w:snapToGrid w:val="0"/>
        <w:spacing w:before="0"/>
        <w:ind w:firstLine="420"/>
        <w:rPr>
          <w:rFonts w:ascii="宋体" w:hAnsi="宋体" w:cs="宋体"/>
          <w:color w:val="auto"/>
          <w:kern w:val="0"/>
          <w:sz w:val="21"/>
          <w:szCs w:val="16"/>
          <w:highlight w:val="none"/>
        </w:rPr>
      </w:pPr>
      <w:r>
        <w:rPr>
          <w:rFonts w:hint="eastAsia" w:ascii="宋体" w:hAnsi="宋体" w:cs="宋体"/>
          <w:color w:val="auto"/>
          <w:kern w:val="0"/>
          <w:sz w:val="21"/>
          <w:szCs w:val="16"/>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ADD1866">
      <w:pPr>
        <w:pStyle w:val="135"/>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25.3如签订合同并生效后，供应商无法，无故拒绝或延期要处罚，除按照合同条款处理外，列入不良行为记录一次，并给予通报。</w:t>
      </w:r>
    </w:p>
    <w:p w14:paraId="2C19068F">
      <w:pPr>
        <w:pStyle w:val="135"/>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25.4中标供应商拒绝与采购人签订合同的，采购人可以按照评审报告推荐的中标或者成交候选人名单排序，确定下一候选人为中标供应商，也可以重新开展政府采购活动。</w:t>
      </w:r>
    </w:p>
    <w:p w14:paraId="27641E34">
      <w:pPr>
        <w:pStyle w:val="135"/>
        <w:snapToGrid w:val="0"/>
        <w:spacing w:before="0" w:after="120"/>
        <w:ind w:firstLine="420"/>
        <w:rPr>
          <w:rFonts w:ascii="宋体" w:hAnsi="宋体" w:cs="宋体"/>
          <w:color w:val="auto"/>
          <w:sz w:val="21"/>
          <w:szCs w:val="16"/>
          <w:highlight w:val="none"/>
        </w:rPr>
      </w:pPr>
      <w:r>
        <w:rPr>
          <w:rFonts w:hint="eastAsia" w:ascii="宋体" w:hAnsi="宋体" w:cs="宋体"/>
          <w:color w:val="auto"/>
          <w:sz w:val="21"/>
          <w:szCs w:val="16"/>
          <w:highlight w:val="none"/>
        </w:rPr>
        <w:t>25.5采购合同由采购人与中标供应商根据招标文件、投标文件等内容通过政府采购电子交易平台在线签订，自动备案。</w:t>
      </w:r>
    </w:p>
    <w:p w14:paraId="7D41D0C3">
      <w:pPr>
        <w:pStyle w:val="25"/>
        <w:spacing w:line="360" w:lineRule="auto"/>
        <w:ind w:left="420" w:hanging="420" w:hangingChars="199"/>
        <w:rPr>
          <w:rFonts w:cs="宋体"/>
          <w:color w:val="auto"/>
          <w:kern w:val="0"/>
          <w:sz w:val="21"/>
          <w:szCs w:val="21"/>
          <w:highlight w:val="none"/>
        </w:rPr>
      </w:pPr>
      <w:r>
        <w:rPr>
          <w:rFonts w:hint="eastAsia" w:cs="宋体"/>
          <w:b/>
          <w:color w:val="auto"/>
          <w:sz w:val="21"/>
          <w:szCs w:val="21"/>
          <w:highlight w:val="none"/>
        </w:rPr>
        <w:t>26. 履约保证金（如有）</w:t>
      </w:r>
    </w:p>
    <w:p w14:paraId="1FCE7A9B">
      <w:pPr>
        <w:tabs>
          <w:tab w:val="left" w:pos="0"/>
        </w:tabs>
        <w:spacing w:line="360" w:lineRule="auto"/>
        <w:ind w:firstLine="482"/>
        <w:rPr>
          <w:rFonts w:ascii="宋体" w:hAnsi="宋体" w:cs="宋体"/>
          <w:color w:val="auto"/>
          <w:kern w:val="0"/>
          <w:szCs w:val="21"/>
          <w:highlight w:val="none"/>
        </w:rPr>
      </w:pPr>
      <w:r>
        <w:rPr>
          <w:rFonts w:hint="eastAsia" w:ascii="宋体" w:hAnsi="宋体" w:cs="宋体"/>
          <w:color w:val="auto"/>
          <w:kern w:val="0"/>
          <w:szCs w:val="21"/>
          <w:highlight w:val="none"/>
        </w:rPr>
        <w:t>拟签订的合同文本要求中标供应商提交履约保证金的，供应商应当以支票、汇票、本票或者金融机构、担保机构出具的保函等非现金形式提交。履约保证金的数额不得超过政府采购合同金额的1%。履约保证金在投标单位履行完采购合同约定义务事项后无息退还。</w:t>
      </w:r>
    </w:p>
    <w:p w14:paraId="7B9BA887">
      <w:pPr>
        <w:tabs>
          <w:tab w:val="left" w:pos="0"/>
        </w:tabs>
        <w:spacing w:line="360" w:lineRule="auto"/>
        <w:ind w:firstLine="482"/>
        <w:rPr>
          <w:rFonts w:ascii="宋体" w:hAnsi="宋体" w:cs="宋体"/>
          <w:color w:val="auto"/>
          <w:sz w:val="24"/>
          <w:highlight w:val="none"/>
        </w:rPr>
      </w:pPr>
    </w:p>
    <w:p w14:paraId="7681928C">
      <w:pPr>
        <w:snapToGrid w:val="0"/>
        <w:spacing w:line="360" w:lineRule="auto"/>
        <w:ind w:firstLine="3357" w:firstLineChars="1045"/>
        <w:rPr>
          <w:rFonts w:ascii="宋体" w:hAnsi="宋体" w:cs="宋体"/>
          <w:b/>
          <w:color w:val="auto"/>
          <w:sz w:val="32"/>
          <w:highlight w:val="none"/>
        </w:rPr>
      </w:pPr>
    </w:p>
    <w:p w14:paraId="3D981C9D">
      <w:pPr>
        <w:snapToGrid w:val="0"/>
        <w:spacing w:line="360" w:lineRule="auto"/>
        <w:ind w:firstLine="3357" w:firstLineChars="1045"/>
        <w:outlineLvl w:val="1"/>
        <w:rPr>
          <w:rFonts w:ascii="宋体" w:hAnsi="宋体" w:cs="宋体"/>
          <w:b/>
          <w:color w:val="auto"/>
          <w:sz w:val="24"/>
          <w:highlight w:val="none"/>
        </w:rPr>
      </w:pPr>
      <w:bookmarkStart w:id="46" w:name="_Toc362"/>
      <w:r>
        <w:rPr>
          <w:rFonts w:hint="eastAsia" w:ascii="宋体" w:hAnsi="宋体" w:cs="宋体"/>
          <w:b/>
          <w:color w:val="auto"/>
          <w:sz w:val="32"/>
          <w:highlight w:val="none"/>
        </w:rPr>
        <w:t>八、电子交易活动的中止</w:t>
      </w:r>
      <w:bookmarkEnd w:id="46"/>
    </w:p>
    <w:p w14:paraId="74509202">
      <w:pPr>
        <w:pStyle w:val="135"/>
        <w:snapToGrid w:val="0"/>
        <w:spacing w:before="0"/>
        <w:ind w:firstLine="0" w:firstLineChars="0"/>
        <w:rPr>
          <w:rFonts w:ascii="宋体" w:hAnsi="宋体" w:cs="宋体"/>
          <w:color w:val="auto"/>
          <w:sz w:val="21"/>
          <w:szCs w:val="16"/>
          <w:highlight w:val="none"/>
        </w:rPr>
      </w:pPr>
      <w:r>
        <w:rPr>
          <w:rFonts w:hint="eastAsia" w:ascii="宋体" w:hAnsi="宋体" w:cs="宋体"/>
          <w:b/>
          <w:bCs/>
          <w:color w:val="auto"/>
          <w:sz w:val="21"/>
          <w:szCs w:val="16"/>
          <w:highlight w:val="none"/>
        </w:rPr>
        <w:t>2</w:t>
      </w:r>
      <w:r>
        <w:rPr>
          <w:rFonts w:hint="eastAsia" w:ascii="宋体" w:hAnsi="宋体" w:cs="宋体"/>
          <w:b/>
          <w:bCs/>
          <w:color w:val="auto"/>
          <w:sz w:val="21"/>
          <w:szCs w:val="21"/>
          <w:highlight w:val="none"/>
        </w:rPr>
        <w:t>7</w:t>
      </w:r>
      <w:r>
        <w:rPr>
          <w:rFonts w:hint="eastAsia" w:ascii="宋体" w:hAnsi="宋体" w:cs="宋体"/>
          <w:b/>
          <w:color w:val="auto"/>
          <w:sz w:val="21"/>
          <w:szCs w:val="21"/>
          <w:highlight w:val="none"/>
        </w:rPr>
        <w:t>. 电子交易活动的中止。</w:t>
      </w:r>
      <w:r>
        <w:rPr>
          <w:rFonts w:hint="eastAsia" w:ascii="宋体" w:hAnsi="宋体" w:cs="宋体"/>
          <w:color w:val="auto"/>
          <w:sz w:val="21"/>
          <w:szCs w:val="16"/>
          <w:highlight w:val="none"/>
        </w:rPr>
        <w:t>采购过程中出现以下情形，导致电子交易平台无法正常运行，或者无法保证电子交易的公平、公正和安全时，采购代理机构可中止电子交易活动：</w:t>
      </w:r>
    </w:p>
    <w:p w14:paraId="79171C07">
      <w:pPr>
        <w:pStyle w:val="135"/>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 xml:space="preserve">27.1电子交易平台发生故障而无法登录访问的； </w:t>
      </w:r>
    </w:p>
    <w:p w14:paraId="1AC7B10A">
      <w:pPr>
        <w:pStyle w:val="135"/>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27.2电子交易平台应用或数据库出现错误，不能进行正常操作的；</w:t>
      </w:r>
    </w:p>
    <w:p w14:paraId="38D411CA">
      <w:pPr>
        <w:pStyle w:val="135"/>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27.3电子交易平台发现严重安全漏洞，有潜在泄密危险的；</w:t>
      </w:r>
    </w:p>
    <w:p w14:paraId="50355756">
      <w:pPr>
        <w:pStyle w:val="135"/>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 xml:space="preserve">27.4病毒发作导致不能进行正常操作的； </w:t>
      </w:r>
    </w:p>
    <w:p w14:paraId="61C81C0B">
      <w:pPr>
        <w:pStyle w:val="135"/>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27.5其他无法保证电子交易的公平、公正和安全的情况。</w:t>
      </w:r>
    </w:p>
    <w:p w14:paraId="16340FCB">
      <w:pPr>
        <w:pStyle w:val="135"/>
        <w:snapToGrid w:val="0"/>
        <w:spacing w:before="0"/>
        <w:ind w:firstLine="0" w:firstLineChars="0"/>
        <w:rPr>
          <w:rFonts w:ascii="宋体" w:hAnsi="宋体" w:cs="宋体"/>
          <w:color w:val="auto"/>
          <w:sz w:val="21"/>
          <w:szCs w:val="16"/>
          <w:highlight w:val="none"/>
        </w:rPr>
      </w:pPr>
      <w:r>
        <w:rPr>
          <w:rFonts w:hint="eastAsia" w:ascii="宋体" w:hAnsi="宋体" w:cs="宋体"/>
          <w:color w:val="auto"/>
          <w:sz w:val="21"/>
          <w:szCs w:val="16"/>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564719B">
      <w:pPr>
        <w:tabs>
          <w:tab w:val="left" w:pos="0"/>
        </w:tabs>
        <w:spacing w:line="360" w:lineRule="auto"/>
        <w:ind w:firstLine="480"/>
        <w:rPr>
          <w:rFonts w:ascii="宋体" w:hAnsi="宋体" w:cs="宋体"/>
          <w:color w:val="auto"/>
          <w:sz w:val="24"/>
          <w:highlight w:val="none"/>
        </w:rPr>
      </w:pPr>
    </w:p>
    <w:p w14:paraId="5EF90F65">
      <w:pPr>
        <w:snapToGrid w:val="0"/>
        <w:spacing w:line="360" w:lineRule="auto"/>
        <w:ind w:left="120" w:leftChars="57" w:firstLine="482" w:firstLineChars="150"/>
        <w:jc w:val="center"/>
        <w:outlineLvl w:val="1"/>
        <w:rPr>
          <w:rFonts w:ascii="宋体" w:hAnsi="宋体" w:cs="宋体"/>
          <w:b/>
          <w:color w:val="auto"/>
          <w:sz w:val="32"/>
          <w:highlight w:val="none"/>
        </w:rPr>
      </w:pPr>
      <w:bookmarkStart w:id="47" w:name="_Toc12798"/>
      <w:r>
        <w:rPr>
          <w:rFonts w:hint="eastAsia" w:ascii="宋体" w:hAnsi="宋体" w:cs="宋体"/>
          <w:b/>
          <w:color w:val="auto"/>
          <w:sz w:val="32"/>
          <w:highlight w:val="none"/>
        </w:rPr>
        <w:t>九、验收</w:t>
      </w:r>
      <w:bookmarkEnd w:id="47"/>
    </w:p>
    <w:p w14:paraId="4C8C3643">
      <w:pPr>
        <w:pStyle w:val="25"/>
        <w:spacing w:line="360" w:lineRule="auto"/>
        <w:ind w:firstLine="0" w:firstLineChars="0"/>
        <w:rPr>
          <w:rFonts w:cs="宋体"/>
          <w:b/>
          <w:color w:val="auto"/>
          <w:sz w:val="21"/>
          <w:szCs w:val="21"/>
          <w:highlight w:val="none"/>
        </w:rPr>
      </w:pPr>
      <w:r>
        <w:rPr>
          <w:rFonts w:hint="eastAsia" w:cs="宋体"/>
          <w:b/>
          <w:color w:val="auto"/>
          <w:sz w:val="21"/>
          <w:szCs w:val="21"/>
          <w:highlight w:val="none"/>
        </w:rPr>
        <w:t>29.验收</w:t>
      </w:r>
    </w:p>
    <w:p w14:paraId="6E93BDCF">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E05FFE9">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29.2采购人可以邀请参加本项目的其他投标人或者第三方机构参与验收。参与验收的投标人或者第三方机构的意见作为验收书的参考资料一并存档。</w:t>
      </w:r>
    </w:p>
    <w:p w14:paraId="2E891682">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08FA968">
      <w:pPr>
        <w:tabs>
          <w:tab w:val="left" w:pos="0"/>
        </w:tabs>
        <w:spacing w:line="360" w:lineRule="auto"/>
        <w:ind w:firstLine="480"/>
        <w:rPr>
          <w:rFonts w:ascii="宋体" w:hAnsi="宋体" w:cs="宋体"/>
          <w:color w:val="auto"/>
          <w:kern w:val="0"/>
          <w:szCs w:val="21"/>
          <w:highlight w:val="none"/>
        </w:rPr>
        <w:sectPr>
          <w:footerReference r:id="rId6" w:type="first"/>
          <w:footerReference r:id="rId5" w:type="default"/>
          <w:pgSz w:w="11906" w:h="16838"/>
          <w:pgMar w:top="1440" w:right="1440" w:bottom="1440" w:left="1440" w:header="851" w:footer="992" w:gutter="0"/>
          <w:cols w:space="0" w:num="1"/>
          <w:titlePg/>
          <w:docGrid w:linePitch="312" w:charSpace="0"/>
        </w:sectPr>
      </w:pPr>
      <w:r>
        <w:rPr>
          <w:rFonts w:hint="eastAsia" w:ascii="宋体" w:hAnsi="宋体" w:cs="宋体"/>
          <w:color w:val="auto"/>
          <w:kern w:val="0"/>
          <w:szCs w:val="21"/>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3"/>
      <w:bookmarkStart w:id="48" w:name="_Hlt75236011"/>
      <w:bookmarkEnd w:id="48"/>
      <w:bookmarkStart w:id="49" w:name="_Hlt74730295"/>
      <w:bookmarkEnd w:id="49"/>
      <w:bookmarkStart w:id="50" w:name="_Hlt74714665"/>
      <w:bookmarkEnd w:id="50"/>
      <w:bookmarkStart w:id="51" w:name="_Hlt74729768"/>
      <w:bookmarkEnd w:id="51"/>
      <w:bookmarkStart w:id="52" w:name="_Hlt68073093"/>
      <w:bookmarkEnd w:id="52"/>
      <w:bookmarkStart w:id="53" w:name="_Hlt68403820"/>
      <w:bookmarkEnd w:id="53"/>
      <w:bookmarkStart w:id="54" w:name="_Hlt68072990"/>
      <w:bookmarkEnd w:id="54"/>
      <w:bookmarkStart w:id="55" w:name="_Hlt75236101"/>
      <w:bookmarkEnd w:id="55"/>
      <w:bookmarkStart w:id="56" w:name="_Hlt68057669"/>
      <w:bookmarkEnd w:id="56"/>
      <w:bookmarkStart w:id="57" w:name="_Hlt75236290"/>
      <w:bookmarkEnd w:id="57"/>
      <w:bookmarkStart w:id="58" w:name="_Hlt68072998"/>
      <w:bookmarkEnd w:id="58"/>
      <w:bookmarkStart w:id="59" w:name="_Hlt74707468"/>
      <w:bookmarkEnd w:id="59"/>
    </w:p>
    <w:bookmarkEnd w:id="31"/>
    <w:bookmarkEnd w:id="32"/>
    <w:p w14:paraId="28360975">
      <w:pPr>
        <w:pStyle w:val="3"/>
        <w:rPr>
          <w:color w:val="auto"/>
          <w:highlight w:val="none"/>
        </w:rPr>
      </w:pPr>
      <w:bookmarkStart w:id="60" w:name="_Toc32183"/>
      <w:bookmarkStart w:id="61" w:name="_Toc9424"/>
      <w:bookmarkStart w:id="62" w:name="_Toc17321"/>
      <w:bookmarkStart w:id="63" w:name="第四部分"/>
      <w:r>
        <w:rPr>
          <w:rFonts w:hint="eastAsia"/>
          <w:color w:val="auto"/>
          <w:highlight w:val="none"/>
        </w:rPr>
        <w:t>第三部分   采购需求</w:t>
      </w:r>
      <w:bookmarkEnd w:id="60"/>
      <w:bookmarkEnd w:id="61"/>
      <w:bookmarkEnd w:id="62"/>
    </w:p>
    <w:p w14:paraId="079D6B1D">
      <w:pPr>
        <w:snapToGrid w:val="0"/>
        <w:spacing w:line="360" w:lineRule="auto"/>
        <w:outlineLvl w:val="1"/>
        <w:rPr>
          <w:rFonts w:ascii="宋体" w:hAnsi="宋体" w:cs="宋体"/>
          <w:b/>
          <w:bCs/>
          <w:snapToGrid w:val="0"/>
          <w:color w:val="auto"/>
          <w:sz w:val="24"/>
          <w:highlight w:val="none"/>
        </w:rPr>
      </w:pPr>
      <w:bookmarkStart w:id="64" w:name="_Toc22578"/>
      <w:bookmarkStart w:id="65" w:name="_Toc22878"/>
      <w:r>
        <w:rPr>
          <w:rFonts w:hint="eastAsia" w:ascii="宋体" w:hAnsi="宋体" w:cs="宋体"/>
          <w:b/>
          <w:bCs/>
          <w:snapToGrid w:val="0"/>
          <w:color w:val="auto"/>
          <w:sz w:val="24"/>
          <w:highlight w:val="none"/>
        </w:rPr>
        <w:t>一、采购清单及技术参数</w:t>
      </w:r>
    </w:p>
    <w:tbl>
      <w:tblPr>
        <w:tblStyle w:val="63"/>
        <w:tblW w:w="48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1"/>
        <w:gridCol w:w="2102"/>
        <w:gridCol w:w="2319"/>
        <w:gridCol w:w="6300"/>
        <w:gridCol w:w="1175"/>
        <w:gridCol w:w="1210"/>
      </w:tblGrid>
      <w:tr w14:paraId="693A3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9C962B5">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757" w:type="pct"/>
            <w:tcBorders>
              <w:top w:val="single" w:color="000000" w:sz="4" w:space="0"/>
              <w:left w:val="single" w:color="000000" w:sz="4" w:space="0"/>
              <w:bottom w:val="single" w:color="000000" w:sz="4" w:space="0"/>
              <w:right w:val="single" w:color="000000" w:sz="4" w:space="0"/>
            </w:tcBorders>
            <w:noWrap w:val="0"/>
            <w:vAlign w:val="center"/>
          </w:tcPr>
          <w:p w14:paraId="158DB7B8">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所属队伍</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78B194A5">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2269" w:type="pct"/>
            <w:tcBorders>
              <w:top w:val="single" w:color="000000" w:sz="4" w:space="0"/>
              <w:left w:val="single" w:color="000000" w:sz="4" w:space="0"/>
              <w:bottom w:val="single" w:color="000000" w:sz="4" w:space="0"/>
              <w:right w:val="single" w:color="000000" w:sz="4" w:space="0"/>
            </w:tcBorders>
            <w:noWrap w:val="0"/>
            <w:vAlign w:val="center"/>
          </w:tcPr>
          <w:p w14:paraId="1FEA4271">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59C6216B">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B330AB2">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台/套数</w:t>
            </w:r>
          </w:p>
        </w:tc>
      </w:tr>
      <w:tr w14:paraId="6D34A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77" w:type="pct"/>
            <w:tcBorders>
              <w:top w:val="single" w:color="000000" w:sz="4" w:space="0"/>
              <w:left w:val="single" w:color="000000" w:sz="4" w:space="0"/>
              <w:bottom w:val="single" w:color="000000" w:sz="4" w:space="0"/>
              <w:right w:val="single" w:color="000000" w:sz="4" w:space="0"/>
            </w:tcBorders>
            <w:noWrap/>
            <w:vAlign w:val="center"/>
          </w:tcPr>
          <w:p w14:paraId="4D24140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7" w:type="pct"/>
            <w:tcBorders>
              <w:top w:val="single" w:color="000000" w:sz="4" w:space="0"/>
              <w:left w:val="single" w:color="000000" w:sz="4" w:space="0"/>
              <w:bottom w:val="single" w:color="000000" w:sz="4" w:space="0"/>
              <w:right w:val="single" w:color="000000" w:sz="4" w:space="0"/>
            </w:tcBorders>
            <w:noWrap w:val="0"/>
            <w:vAlign w:val="center"/>
          </w:tcPr>
          <w:p w14:paraId="46E7A34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江北区综合森林火灾应急救援队</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05C4273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救援无人机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（灭火无人机）</w:t>
            </w:r>
          </w:p>
        </w:tc>
        <w:tc>
          <w:tcPr>
            <w:tcW w:w="2269" w:type="pct"/>
            <w:vMerge w:val="restart"/>
            <w:tcBorders>
              <w:top w:val="single" w:color="000000" w:sz="4" w:space="0"/>
              <w:left w:val="single" w:color="000000" w:sz="4" w:space="0"/>
              <w:right w:val="single" w:color="000000" w:sz="4" w:space="0"/>
            </w:tcBorders>
            <w:noWrap w:val="0"/>
            <w:vAlign w:val="center"/>
          </w:tcPr>
          <w:p w14:paraId="29DD88A3">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含挂载平台*1、系留系统*1、机载灭火弹抛投器*1、机载消防水枪*1、10KG灭火弹*10、25KG灭火弹*10、喊话器*1、探照灯*1、空吊系统*1、电池*1、发电机*1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1、挂载平台：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飞行器尺寸（长×宽×高,折叠）：≤1200mm×760mm×1150mm；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飞行器尺寸（长×宽× 高，展开，不包含桨叶）：≤1900mm×1660mm×950mm；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1.3</w:t>
            </w:r>
            <w:r>
              <w:rPr>
                <w:rFonts w:hint="eastAsia" w:ascii="宋体" w:hAnsi="宋体" w:eastAsia="宋体" w:cs="宋体"/>
                <w:i w:val="0"/>
                <w:iCs w:val="0"/>
                <w:color w:val="000000"/>
                <w:kern w:val="0"/>
                <w:sz w:val="21"/>
                <w:szCs w:val="21"/>
                <w:u w:val="none"/>
                <w:lang w:val="en-US" w:eastAsia="zh-CN" w:bidi="ar"/>
              </w:rPr>
              <w:t>飞行器裸机重量（无配件）：42500g±2000g范围内；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1.4</w:t>
            </w:r>
            <w:r>
              <w:rPr>
                <w:rFonts w:hint="eastAsia" w:ascii="宋体" w:hAnsi="宋体" w:eastAsia="宋体" w:cs="宋体"/>
                <w:i w:val="0"/>
                <w:iCs w:val="0"/>
                <w:color w:val="000000"/>
                <w:kern w:val="0"/>
                <w:sz w:val="21"/>
                <w:szCs w:val="21"/>
                <w:u w:val="none"/>
                <w:lang w:val="en-US" w:eastAsia="zh-CN" w:bidi="ar"/>
              </w:rPr>
              <w:t>飞行器最大起飞重量：大于等于95kg；最大上升速度：大于等于5m/s；最大下降速度：垂直下降大于等于3m/s，斜下降5m/s；最大水平飞行速度：大于等于20 m/s；最大相对飞行高度：大于等于1500m；</w:t>
            </w:r>
          </w:p>
          <w:p w14:paraId="53480B6A">
            <w:pPr>
              <w:keepNext w:val="0"/>
              <w:keepLines w:val="0"/>
              <w:widowControl/>
              <w:suppressLineNumbers w:val="0"/>
              <w:spacing w:line="240" w:lineRule="auto"/>
              <w:jc w:val="left"/>
              <w:textAlignment w:val="center"/>
              <w:rPr>
                <w:rFonts w:hint="eastAsia" w:ascii="宋体" w:hAnsi="宋体" w:cs="宋体"/>
                <w:color w:val="000000"/>
                <w:kern w:val="0"/>
                <w:szCs w:val="21"/>
                <w:u w:val="none"/>
                <w:lang w:bidi="ar"/>
              </w:rPr>
            </w:pPr>
            <w:r>
              <w:rPr>
                <w:rFonts w:hint="eastAsia" w:ascii="宋体" w:hAnsi="宋体" w:cs="宋体"/>
                <w:color w:val="auto"/>
                <w:kern w:val="0"/>
                <w:szCs w:val="21"/>
                <w:highlight w:val="none"/>
              </w:rPr>
              <w:t>★</w:t>
            </w:r>
            <w:r>
              <w:rPr>
                <w:rFonts w:hint="eastAsia" w:ascii="宋体" w:hAnsi="宋体" w:cs="宋体"/>
                <w:i w:val="0"/>
                <w:iCs w:val="0"/>
                <w:color w:val="000000"/>
                <w:kern w:val="0"/>
                <w:sz w:val="21"/>
                <w:szCs w:val="21"/>
                <w:u w:val="none"/>
                <w:lang w:val="en-US" w:eastAsia="zh-CN" w:bidi="ar"/>
              </w:rPr>
              <w:t xml:space="preserve">1.5 </w:t>
            </w:r>
            <w:r>
              <w:rPr>
                <w:rFonts w:hint="eastAsia" w:ascii="宋体" w:hAnsi="宋体" w:eastAsia="宋体" w:cs="宋体"/>
                <w:i w:val="0"/>
                <w:iCs w:val="0"/>
                <w:color w:val="000000"/>
                <w:kern w:val="0"/>
                <w:sz w:val="21"/>
                <w:szCs w:val="21"/>
                <w:u w:val="none"/>
                <w:lang w:val="en-US" w:eastAsia="zh-CN" w:bidi="ar"/>
              </w:rPr>
              <w:t>最大飞行海拔高度：大于等于6000m；</w:t>
            </w:r>
            <w:r>
              <w:rPr>
                <w:rFonts w:hint="eastAsia" w:ascii="宋体" w:hAnsi="宋体" w:cs="宋体"/>
                <w:color w:val="000000"/>
                <w:kern w:val="0"/>
                <w:szCs w:val="21"/>
                <w:u w:val="none"/>
                <w:lang w:bidi="ar"/>
              </w:rPr>
              <w:t>（投标文件中提供具有CMA或CNAS标志的第三方检测报告扫描件并加盖投标人公章）</w:t>
            </w:r>
          </w:p>
          <w:p w14:paraId="52FDD7CB">
            <w:pPr>
              <w:keepNext w:val="0"/>
              <w:keepLines w:val="0"/>
              <w:widowControl/>
              <w:suppressLineNumbers w:val="0"/>
              <w:spacing w:line="24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最大可抗风速：大于等于12m/s</w:t>
            </w:r>
            <w:r>
              <w:rPr>
                <w:rFonts w:hint="eastAsia" w:ascii="宋体" w:hAnsi="宋体" w:cs="宋体"/>
                <w:i w:val="0"/>
                <w:iCs w:val="0"/>
                <w:color w:val="000000"/>
                <w:kern w:val="0"/>
                <w:sz w:val="21"/>
                <w:szCs w:val="21"/>
                <w:u w:val="none"/>
                <w:lang w:val="en-US" w:eastAsia="zh-CN" w:bidi="ar"/>
              </w:rPr>
              <w:t>；</w:t>
            </w:r>
          </w:p>
          <w:p w14:paraId="7546731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auto"/>
                <w:kern w:val="0"/>
                <w:szCs w:val="21"/>
                <w:highlight w:val="none"/>
              </w:rPr>
              <w:t>★</w:t>
            </w:r>
            <w:r>
              <w:rPr>
                <w:rFonts w:hint="eastAsia" w:ascii="宋体" w:hAnsi="宋体" w:cs="宋体"/>
                <w:i w:val="0"/>
                <w:iCs w:val="0"/>
                <w:color w:val="000000"/>
                <w:kern w:val="0"/>
                <w:sz w:val="21"/>
                <w:szCs w:val="21"/>
                <w:u w:val="none"/>
                <w:lang w:val="en-US" w:eastAsia="zh-CN" w:bidi="ar"/>
              </w:rPr>
              <w:t>1.7</w:t>
            </w:r>
            <w:r>
              <w:rPr>
                <w:rFonts w:hint="eastAsia" w:ascii="宋体" w:hAnsi="宋体" w:eastAsia="宋体" w:cs="宋体"/>
                <w:i w:val="0"/>
                <w:iCs w:val="0"/>
                <w:color w:val="000000"/>
                <w:kern w:val="0"/>
                <w:sz w:val="21"/>
                <w:szCs w:val="21"/>
                <w:u w:val="none"/>
                <w:lang w:val="en-US" w:eastAsia="zh-CN" w:bidi="ar"/>
              </w:rPr>
              <w:t>水平距离飞机5M，起飞悬停距离地面5M，噪声低于80分贝；</w:t>
            </w:r>
            <w:r>
              <w:rPr>
                <w:rFonts w:hint="eastAsia" w:ascii="宋体" w:hAnsi="宋体" w:cs="宋体"/>
                <w:color w:val="000000"/>
                <w:kern w:val="0"/>
                <w:szCs w:val="21"/>
                <w:u w:val="none"/>
                <w:lang w:bidi="ar"/>
              </w:rPr>
              <w:t>（投标文件中提供具有CMA或CNAS标志的第三方检测报告扫描件并加盖投标人公章）</w:t>
            </w:r>
          </w:p>
          <w:p w14:paraId="7943E350">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w:t>
            </w:r>
            <w:r>
              <w:rPr>
                <w:rFonts w:hint="eastAsia" w:ascii="宋体" w:hAnsi="宋体" w:eastAsia="宋体" w:cs="宋体"/>
                <w:i w:val="0"/>
                <w:iCs w:val="0"/>
                <w:color w:val="000000"/>
                <w:kern w:val="0"/>
                <w:sz w:val="21"/>
                <w:szCs w:val="21"/>
                <w:u w:val="none"/>
                <w:lang w:val="en-US" w:eastAsia="zh-CN" w:bidi="ar"/>
              </w:rPr>
              <w:t>最大航程：载重30kg,飞行距离不低于16KM；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1.9</w:t>
            </w:r>
            <w:r>
              <w:rPr>
                <w:rFonts w:hint="eastAsia" w:ascii="宋体" w:hAnsi="宋体" w:eastAsia="宋体" w:cs="宋体"/>
                <w:i w:val="0"/>
                <w:iCs w:val="0"/>
                <w:color w:val="000000"/>
                <w:kern w:val="0"/>
                <w:sz w:val="21"/>
                <w:szCs w:val="21"/>
                <w:u w:val="none"/>
                <w:lang w:val="en-US" w:eastAsia="zh-CN" w:bidi="ar"/>
              </w:rPr>
              <w:t>最大双电及悬停：最大载重大于30kg,悬停时间超过18min；载重大于等于40kg,悬停大于等于8min；空载情况下悬停时间：超过29min；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1.10</w:t>
            </w:r>
            <w:r>
              <w:rPr>
                <w:rFonts w:hint="eastAsia" w:ascii="宋体" w:hAnsi="宋体" w:eastAsia="宋体" w:cs="宋体"/>
                <w:i w:val="0"/>
                <w:iCs w:val="0"/>
                <w:color w:val="000000"/>
                <w:kern w:val="0"/>
                <w:sz w:val="21"/>
                <w:szCs w:val="21"/>
                <w:u w:val="none"/>
                <w:lang w:val="en-US" w:eastAsia="zh-CN" w:bidi="ar"/>
              </w:rPr>
              <w:t>支持RTK定位：飞行器应内置有RTK模块，具备RTK定位能力，能够通过遥控器连接到网络RTK服务或RTK移动站，获取高精度的位置信息；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1.11</w:t>
            </w:r>
            <w:r>
              <w:rPr>
                <w:rFonts w:hint="eastAsia" w:ascii="宋体" w:hAnsi="宋体" w:eastAsia="宋体" w:cs="宋体"/>
                <w:i w:val="0"/>
                <w:iCs w:val="0"/>
                <w:color w:val="000000"/>
                <w:kern w:val="0"/>
                <w:sz w:val="21"/>
                <w:szCs w:val="21"/>
                <w:u w:val="none"/>
                <w:lang w:val="en-US" w:eastAsia="zh-CN" w:bidi="ar"/>
              </w:rPr>
              <w:t>无人机配有带屏遥控器，遥控器屏幕尺寸≥7英寸；遥控器显示器分辨率≥1920 1200；遥控器显示器亮度≥1200cd/m2；遥控器接口：遥控器具备HDMI视频输出接口、SD卡槽、USB接口；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1.12</w:t>
            </w:r>
            <w:r>
              <w:rPr>
                <w:rFonts w:hint="eastAsia" w:ascii="宋体" w:hAnsi="宋体" w:eastAsia="宋体" w:cs="宋体"/>
                <w:i w:val="0"/>
                <w:iCs w:val="0"/>
                <w:color w:val="000000"/>
                <w:kern w:val="0"/>
                <w:sz w:val="21"/>
                <w:szCs w:val="21"/>
                <w:u w:val="none"/>
                <w:lang w:val="en-US" w:eastAsia="zh-CN" w:bidi="ar"/>
              </w:rPr>
              <w:t>无人机系统应可支持远程实时视频直播：即FPV摄像头拍摄内容可实时在遥控器/电脑司运平台中；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1.13</w:t>
            </w:r>
            <w:r>
              <w:rPr>
                <w:rFonts w:hint="eastAsia" w:ascii="宋体" w:hAnsi="宋体" w:eastAsia="宋体" w:cs="宋体"/>
                <w:i w:val="0"/>
                <w:iCs w:val="0"/>
                <w:color w:val="000000"/>
                <w:kern w:val="0"/>
                <w:sz w:val="21"/>
                <w:szCs w:val="21"/>
                <w:u w:val="none"/>
                <w:lang w:val="en-US" w:eastAsia="zh-CN" w:bidi="ar"/>
              </w:rPr>
              <w:t>无人机支持挂载货箱功能与吊装功能，货箱体积≥50L；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color w:val="000000"/>
                <w:kern w:val="0"/>
                <w:szCs w:val="21"/>
                <w:u w:val="none"/>
                <w:lang w:bidi="ar"/>
              </w:rPr>
              <w:t>★</w:t>
            </w:r>
            <w:r>
              <w:rPr>
                <w:rFonts w:hint="eastAsia" w:ascii="宋体" w:hAnsi="宋体" w:cs="宋体"/>
                <w:color w:val="000000"/>
                <w:kern w:val="0"/>
                <w:szCs w:val="21"/>
                <w:u w:val="none"/>
                <w:lang w:val="en-US" w:eastAsia="zh-CN" w:bidi="ar"/>
              </w:rPr>
              <w:t>1.14</w:t>
            </w:r>
            <w:r>
              <w:rPr>
                <w:rFonts w:hint="eastAsia" w:ascii="宋体" w:hAnsi="宋体" w:cs="宋体"/>
                <w:color w:val="000000"/>
                <w:kern w:val="0"/>
                <w:szCs w:val="21"/>
                <w:u w:val="none"/>
                <w:lang w:bidi="ar"/>
              </w:rPr>
              <w:t>无人机自带降落伞，并支持自动开伞和遥控器手动开伞功能。（投标文件中提供具有CMA或CNAS标志的第三方检测报告扫描件并加盖投标人公章）</w:t>
            </w:r>
          </w:p>
          <w:p w14:paraId="66C8F50B">
            <w:pPr>
              <w:keepNext w:val="0"/>
              <w:keepLines w:val="0"/>
              <w:widowControl/>
              <w:suppressLineNumbers w:val="0"/>
              <w:spacing w:line="24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系留系统：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2.1</w:t>
            </w:r>
            <w:r>
              <w:rPr>
                <w:rFonts w:hint="eastAsia" w:ascii="宋体" w:hAnsi="宋体" w:eastAsia="宋体" w:cs="宋体"/>
                <w:i w:val="0"/>
                <w:iCs w:val="0"/>
                <w:color w:val="000000"/>
                <w:kern w:val="0"/>
                <w:sz w:val="21"/>
                <w:szCs w:val="21"/>
                <w:u w:val="none"/>
                <w:lang w:val="en-US" w:eastAsia="zh-CN" w:bidi="ar"/>
              </w:rPr>
              <w:t xml:space="preserve">系留基站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1)输入电压 AC 380±10%；输出电压 ≥DC1000V带自动电压补偿算法；输出功率 额定≥25kw，峰值≥30kW；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)长×宽×高：外部尺寸≤69×45×50cm；重量 ≤60kg（含系留线缆）；采用航空铝合金，防震防撞设计；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2.2</w:t>
            </w:r>
            <w:r>
              <w:rPr>
                <w:rFonts w:hint="eastAsia" w:ascii="宋体" w:hAnsi="宋体" w:eastAsia="宋体" w:cs="宋体"/>
                <w:i w:val="0"/>
                <w:iCs w:val="0"/>
                <w:color w:val="000000"/>
                <w:kern w:val="0"/>
                <w:sz w:val="21"/>
                <w:szCs w:val="21"/>
                <w:u w:val="none"/>
                <w:lang w:val="en-US" w:eastAsia="zh-CN" w:bidi="ar"/>
              </w:rPr>
              <w:t>系留线缆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1)工作电流 ≥20A；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2)抗拉强度 ≥300kg；线缆重量 ≤3.45kg/100m；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2.3</w:t>
            </w:r>
            <w:r>
              <w:rPr>
                <w:rFonts w:hint="eastAsia" w:ascii="宋体" w:hAnsi="宋体" w:eastAsia="宋体" w:cs="宋体"/>
                <w:i w:val="0"/>
                <w:iCs w:val="0"/>
                <w:color w:val="000000"/>
                <w:kern w:val="0"/>
                <w:sz w:val="21"/>
                <w:szCs w:val="21"/>
                <w:u w:val="none"/>
                <w:lang w:val="en-US" w:eastAsia="zh-CN" w:bidi="ar"/>
              </w:rPr>
              <w:t xml:space="preserve">机载电源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1)输入电压 ≥1000V宽电压输入；恒定稳压输出，稳压精度±1.5%；输出功率 ≥20kW长时间满载工作功率；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2)长×宽×高：≤32×16×28cm；重量 ≤6.5kg；替换一块无人机电池，同原装电池一样快捷插拔安装；防雨设计，下方进风，上方出风设计；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3)具备保护功能，飞行器飞行过程中中断供电电源可正常飞行及降落。系统连续工作时长不低于12小时</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4)100m高度最大载荷30kg，240m高度最大载荷25.2kg</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3、机载灭火弹抛投器：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3.1</w:t>
            </w:r>
            <w:r>
              <w:rPr>
                <w:rFonts w:hint="eastAsia" w:ascii="宋体" w:hAnsi="宋体" w:eastAsia="宋体" w:cs="宋体"/>
                <w:i w:val="0"/>
                <w:iCs w:val="0"/>
                <w:color w:val="000000"/>
                <w:kern w:val="0"/>
                <w:sz w:val="21"/>
                <w:szCs w:val="21"/>
                <w:u w:val="none"/>
                <w:lang w:val="en-US" w:eastAsia="zh-CN" w:bidi="ar"/>
              </w:rPr>
              <w:t>尺寸：≤长48cm×宽36cm×高29cm</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3.2</w:t>
            </w:r>
            <w:r>
              <w:rPr>
                <w:rFonts w:hint="eastAsia" w:ascii="宋体" w:hAnsi="宋体" w:eastAsia="宋体" w:cs="宋体"/>
                <w:i w:val="0"/>
                <w:iCs w:val="0"/>
                <w:color w:val="000000"/>
                <w:kern w:val="0"/>
                <w:sz w:val="21"/>
                <w:szCs w:val="21"/>
                <w:u w:val="none"/>
                <w:lang w:val="en-US" w:eastAsia="zh-CN" w:bidi="ar"/>
              </w:rPr>
              <w:t>重量:不大于4.13kg</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3.3</w:t>
            </w:r>
            <w:r>
              <w:rPr>
                <w:rFonts w:hint="eastAsia" w:ascii="宋体" w:hAnsi="宋体" w:eastAsia="宋体" w:cs="宋体"/>
                <w:i w:val="0"/>
                <w:iCs w:val="0"/>
                <w:color w:val="000000"/>
                <w:kern w:val="0"/>
                <w:sz w:val="21"/>
                <w:szCs w:val="21"/>
                <w:u w:val="none"/>
                <w:lang w:val="en-US" w:eastAsia="zh-CN" w:bidi="ar"/>
              </w:rPr>
              <w:t>工作温度：-20℃</w:t>
            </w:r>
            <w:r>
              <w:rPr>
                <w:rFonts w:hint="eastAsia" w:ascii="宋体" w:hAnsi="宋体" w:cs="宋体"/>
                <w:i w:val="0"/>
                <w:iCs w:val="0"/>
                <w:color w:val="000000"/>
                <w:kern w:val="0"/>
                <w:sz w:val="21"/>
                <w:szCs w:val="21"/>
                <w:u w:val="none"/>
                <w:lang w:val="en-US" w:eastAsia="zh-CN" w:bidi="ar"/>
              </w:rPr>
              <w:t>至</w:t>
            </w:r>
            <w:r>
              <w:rPr>
                <w:rFonts w:hint="eastAsia" w:ascii="宋体" w:hAnsi="宋体" w:eastAsia="宋体" w:cs="宋体"/>
                <w:i w:val="0"/>
                <w:iCs w:val="0"/>
                <w:color w:val="000000"/>
                <w:kern w:val="0"/>
                <w:sz w:val="21"/>
                <w:szCs w:val="21"/>
                <w:u w:val="none"/>
                <w:lang w:val="en-US" w:eastAsia="zh-CN" w:bidi="ar"/>
              </w:rPr>
              <w:t>60℃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3.4</w:t>
            </w:r>
            <w:r>
              <w:rPr>
                <w:rFonts w:hint="eastAsia" w:ascii="宋体" w:hAnsi="宋体" w:eastAsia="宋体" w:cs="宋体"/>
                <w:i w:val="0"/>
                <w:iCs w:val="0"/>
                <w:color w:val="000000"/>
                <w:kern w:val="0"/>
                <w:sz w:val="21"/>
                <w:szCs w:val="21"/>
                <w:u w:val="none"/>
                <w:lang w:val="en-US" w:eastAsia="zh-CN" w:bidi="ar"/>
              </w:rPr>
              <w:t>总功率：≤30w</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color w:val="auto"/>
                <w:kern w:val="0"/>
                <w:szCs w:val="21"/>
                <w:highlight w:val="none"/>
              </w:rPr>
              <w:t>★</w:t>
            </w:r>
            <w:r>
              <w:rPr>
                <w:rFonts w:hint="eastAsia" w:ascii="宋体" w:hAnsi="宋体" w:cs="宋体"/>
                <w:i w:val="0"/>
                <w:iCs w:val="0"/>
                <w:color w:val="000000"/>
                <w:kern w:val="0"/>
                <w:sz w:val="21"/>
                <w:szCs w:val="21"/>
                <w:u w:val="none"/>
                <w:lang w:val="en-US" w:eastAsia="zh-CN" w:bidi="ar"/>
              </w:rPr>
              <w:t>3.5</w:t>
            </w:r>
            <w:r>
              <w:rPr>
                <w:rFonts w:hint="eastAsia" w:ascii="宋体" w:hAnsi="宋体" w:eastAsia="宋体" w:cs="宋体"/>
                <w:i w:val="0"/>
                <w:iCs w:val="0"/>
                <w:color w:val="000000"/>
                <w:kern w:val="0"/>
                <w:sz w:val="21"/>
                <w:szCs w:val="21"/>
                <w:u w:val="none"/>
                <w:lang w:val="en-US" w:eastAsia="zh-CN" w:bidi="ar"/>
              </w:rPr>
              <w:t>最大载重：单钩≥50Kg</w:t>
            </w:r>
            <w:r>
              <w:rPr>
                <w:rFonts w:hint="eastAsia" w:ascii="宋体" w:hAnsi="宋体" w:cs="宋体"/>
                <w:i w:val="0"/>
                <w:iCs w:val="0"/>
                <w:color w:val="000000"/>
                <w:kern w:val="0"/>
                <w:sz w:val="21"/>
                <w:szCs w:val="21"/>
                <w:u w:val="none"/>
                <w:lang w:val="en-US" w:eastAsia="zh-CN" w:bidi="ar"/>
              </w:rPr>
              <w:t>；</w:t>
            </w:r>
            <w:r>
              <w:rPr>
                <w:rFonts w:hint="eastAsia" w:ascii="宋体" w:hAnsi="宋体" w:cs="宋体"/>
                <w:color w:val="000000"/>
                <w:kern w:val="0"/>
                <w:szCs w:val="21"/>
                <w:u w:val="none"/>
                <w:lang w:bidi="ar"/>
              </w:rPr>
              <w:t>（投标文件中提供具有CMA或CNAS标志的第三方检测报告扫描件并加盖投标人公章）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color w:val="auto"/>
                <w:kern w:val="0"/>
                <w:szCs w:val="21"/>
                <w:highlight w:val="none"/>
              </w:rPr>
              <w:t>★</w:t>
            </w:r>
            <w:r>
              <w:rPr>
                <w:rFonts w:hint="eastAsia" w:ascii="宋体" w:hAnsi="宋体" w:cs="宋体"/>
                <w:i w:val="0"/>
                <w:iCs w:val="0"/>
                <w:color w:val="000000"/>
                <w:kern w:val="0"/>
                <w:sz w:val="21"/>
                <w:szCs w:val="21"/>
                <w:u w:val="none"/>
                <w:lang w:val="en-US" w:eastAsia="zh-CN" w:bidi="ar"/>
              </w:rPr>
              <w:t>3.6</w:t>
            </w:r>
            <w:r>
              <w:rPr>
                <w:rFonts w:hint="eastAsia" w:ascii="宋体" w:hAnsi="宋体" w:eastAsia="宋体" w:cs="宋体"/>
                <w:i w:val="0"/>
                <w:iCs w:val="0"/>
                <w:color w:val="000000"/>
                <w:kern w:val="0"/>
                <w:sz w:val="21"/>
                <w:szCs w:val="21"/>
                <w:u w:val="none"/>
                <w:lang w:val="en-US" w:eastAsia="zh-CN" w:bidi="ar"/>
              </w:rPr>
              <w:t>标配挂钩数量：≥6个</w:t>
            </w:r>
            <w:r>
              <w:rPr>
                <w:rFonts w:hint="eastAsia" w:ascii="宋体" w:hAnsi="宋体" w:cs="宋体"/>
                <w:i w:val="0"/>
                <w:iCs w:val="0"/>
                <w:color w:val="000000"/>
                <w:kern w:val="0"/>
                <w:sz w:val="21"/>
                <w:szCs w:val="21"/>
                <w:u w:val="none"/>
                <w:lang w:val="en-US" w:eastAsia="zh-CN" w:bidi="ar"/>
              </w:rPr>
              <w:t>；</w:t>
            </w:r>
            <w:r>
              <w:rPr>
                <w:rFonts w:hint="eastAsia" w:ascii="宋体" w:hAnsi="宋体" w:cs="宋体"/>
                <w:color w:val="000000"/>
                <w:kern w:val="0"/>
                <w:szCs w:val="21"/>
                <w:u w:val="none"/>
                <w:lang w:bidi="ar"/>
              </w:rPr>
              <w:t>（投标文件中提供具有CMA或CNAS标志的第三方检测报告扫描件并加盖投标人公章）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3.7</w:t>
            </w:r>
            <w:r>
              <w:rPr>
                <w:rFonts w:hint="eastAsia" w:ascii="宋体" w:hAnsi="宋体" w:eastAsia="宋体" w:cs="宋体"/>
                <w:i w:val="0"/>
                <w:iCs w:val="0"/>
                <w:color w:val="000000"/>
                <w:kern w:val="0"/>
                <w:sz w:val="21"/>
                <w:szCs w:val="21"/>
                <w:u w:val="none"/>
                <w:lang w:val="en-US" w:eastAsia="zh-CN" w:bidi="ar"/>
              </w:rPr>
              <w:t>投放方式：序列式电控，可一次一路或多路自由组合</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3.8</w:t>
            </w:r>
            <w:r>
              <w:rPr>
                <w:rFonts w:hint="eastAsia" w:ascii="宋体" w:hAnsi="宋体" w:eastAsia="宋体" w:cs="宋体"/>
                <w:i w:val="0"/>
                <w:iCs w:val="0"/>
                <w:color w:val="000000"/>
                <w:kern w:val="0"/>
                <w:sz w:val="21"/>
                <w:szCs w:val="21"/>
                <w:u w:val="none"/>
                <w:lang w:val="en-US" w:eastAsia="zh-CN" w:bidi="ar"/>
              </w:rPr>
              <w:t>控制距离：与无人机距离一致，≥8km</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3.9</w:t>
            </w:r>
            <w:r>
              <w:rPr>
                <w:rFonts w:hint="eastAsia" w:ascii="宋体" w:hAnsi="宋体" w:eastAsia="宋体" w:cs="宋体"/>
                <w:i w:val="0"/>
                <w:iCs w:val="0"/>
                <w:color w:val="000000"/>
                <w:kern w:val="0"/>
                <w:sz w:val="21"/>
                <w:szCs w:val="21"/>
                <w:u w:val="none"/>
                <w:lang w:val="en-US" w:eastAsia="zh-CN" w:bidi="ar"/>
              </w:rPr>
              <w:t>安装方式：快拆设计，≤3秒快装，≤5秒快拆</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3.10</w:t>
            </w:r>
            <w:r>
              <w:rPr>
                <w:rFonts w:hint="eastAsia" w:ascii="宋体" w:hAnsi="宋体" w:eastAsia="宋体" w:cs="宋体"/>
                <w:i w:val="0"/>
                <w:iCs w:val="0"/>
                <w:color w:val="000000"/>
                <w:kern w:val="0"/>
                <w:sz w:val="21"/>
                <w:szCs w:val="21"/>
                <w:u w:val="none"/>
                <w:lang w:val="en-US" w:eastAsia="zh-CN" w:bidi="ar"/>
              </w:rPr>
              <w:t>通讯码： RS485串行总线控制；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3.11</w:t>
            </w:r>
            <w:r>
              <w:rPr>
                <w:rFonts w:hint="eastAsia" w:ascii="宋体" w:hAnsi="宋体" w:eastAsia="宋体" w:cs="宋体"/>
                <w:i w:val="0"/>
                <w:iCs w:val="0"/>
                <w:color w:val="000000"/>
                <w:kern w:val="0"/>
                <w:sz w:val="21"/>
                <w:szCs w:val="21"/>
                <w:u w:val="none"/>
                <w:lang w:val="en-US" w:eastAsia="zh-CN" w:bidi="ar"/>
              </w:rPr>
              <w:t>引爆高度信息源：支持获取飞行器自带对地高度、支持扩展毫米波雷达等高度源</w:t>
            </w:r>
            <w:r>
              <w:rPr>
                <w:rFonts w:hint="eastAsia" w:ascii="宋体" w:hAnsi="宋体" w:cs="宋体"/>
                <w:i w:val="0"/>
                <w:iCs w:val="0"/>
                <w:color w:val="000000"/>
                <w:kern w:val="0"/>
                <w:sz w:val="21"/>
                <w:szCs w:val="21"/>
                <w:u w:val="none"/>
                <w:lang w:val="en-US" w:eastAsia="zh-CN" w:bidi="ar"/>
              </w:rPr>
              <w:t>；</w:t>
            </w:r>
            <w:r>
              <w:rPr>
                <w:rFonts w:hint="eastAsia" w:ascii="宋体" w:hAnsi="宋体" w:cs="宋体"/>
                <w:color w:val="000000"/>
                <w:kern w:val="0"/>
                <w:szCs w:val="21"/>
                <w:u w:val="none"/>
                <w:lang w:bidi="ar"/>
              </w:rPr>
              <w:t>（投标文件中提供具有CMA或CNAS标志的第三方检测报告扫描件并加盖投标人公章）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3.12</w:t>
            </w:r>
            <w:r>
              <w:rPr>
                <w:rFonts w:hint="eastAsia" w:ascii="宋体" w:hAnsi="宋体" w:eastAsia="宋体" w:cs="宋体"/>
                <w:i w:val="0"/>
                <w:iCs w:val="0"/>
                <w:color w:val="000000"/>
                <w:kern w:val="0"/>
                <w:sz w:val="21"/>
                <w:szCs w:val="21"/>
                <w:u w:val="none"/>
                <w:lang w:val="en-US" w:eastAsia="zh-CN" w:bidi="ar"/>
              </w:rPr>
              <w:t>测高范围：10m-150m</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3.13</w:t>
            </w:r>
            <w:r>
              <w:rPr>
                <w:rFonts w:hint="eastAsia" w:ascii="宋体" w:hAnsi="宋体" w:eastAsia="宋体" w:cs="宋体"/>
                <w:i w:val="0"/>
                <w:iCs w:val="0"/>
                <w:color w:val="000000"/>
                <w:kern w:val="0"/>
                <w:sz w:val="21"/>
                <w:szCs w:val="21"/>
                <w:u w:val="none"/>
                <w:lang w:val="en-US" w:eastAsia="zh-CN" w:bidi="ar"/>
              </w:rPr>
              <w:t>测高精度（m）： ≤±0.3；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3.14</w:t>
            </w:r>
            <w:r>
              <w:rPr>
                <w:rFonts w:hint="eastAsia" w:ascii="宋体" w:hAnsi="宋体" w:eastAsia="宋体" w:cs="宋体"/>
                <w:i w:val="0"/>
                <w:iCs w:val="0"/>
                <w:color w:val="000000"/>
                <w:kern w:val="0"/>
                <w:sz w:val="21"/>
                <w:szCs w:val="21"/>
                <w:u w:val="none"/>
                <w:lang w:val="en-US" w:eastAsia="zh-CN" w:bidi="ar"/>
              </w:rPr>
              <w:t>灭火弹通信接口： 4- φ8 四芯航空插座；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color w:val="auto"/>
                <w:kern w:val="0"/>
                <w:szCs w:val="21"/>
                <w:highlight w:val="none"/>
              </w:rPr>
              <w:t>★</w:t>
            </w:r>
            <w:r>
              <w:rPr>
                <w:rFonts w:hint="eastAsia" w:ascii="宋体" w:hAnsi="宋体" w:cs="宋体"/>
                <w:i w:val="0"/>
                <w:iCs w:val="0"/>
                <w:color w:val="000000"/>
                <w:kern w:val="0"/>
                <w:sz w:val="21"/>
                <w:szCs w:val="21"/>
                <w:u w:val="none"/>
                <w:lang w:val="en-US" w:eastAsia="zh-CN" w:bidi="ar"/>
              </w:rPr>
              <w:t>3.15</w:t>
            </w:r>
            <w:r>
              <w:rPr>
                <w:rFonts w:hint="eastAsia" w:ascii="宋体" w:hAnsi="宋体" w:eastAsia="宋体" w:cs="宋体"/>
                <w:i w:val="0"/>
                <w:iCs w:val="0"/>
                <w:color w:val="000000"/>
                <w:kern w:val="0"/>
                <w:sz w:val="21"/>
                <w:szCs w:val="21"/>
                <w:u w:val="none"/>
                <w:lang w:val="en-US" w:eastAsia="zh-CN" w:bidi="ar"/>
              </w:rPr>
              <w:t>安全功能：具备安全开关、可在遥控器显示弹体状态，高度信息不受烟、火、声、光电等影响</w:t>
            </w:r>
            <w:r>
              <w:rPr>
                <w:rFonts w:hint="eastAsia" w:ascii="宋体" w:hAnsi="宋体" w:cs="宋体"/>
                <w:i w:val="0"/>
                <w:iCs w:val="0"/>
                <w:color w:val="000000"/>
                <w:kern w:val="0"/>
                <w:sz w:val="21"/>
                <w:szCs w:val="21"/>
                <w:u w:val="none"/>
                <w:lang w:val="en-US" w:eastAsia="zh-CN" w:bidi="ar"/>
              </w:rPr>
              <w:t>；</w:t>
            </w:r>
            <w:r>
              <w:rPr>
                <w:rFonts w:hint="eastAsia" w:ascii="宋体" w:hAnsi="宋体" w:cs="宋体"/>
                <w:color w:val="000000"/>
                <w:kern w:val="0"/>
                <w:szCs w:val="21"/>
                <w:u w:val="none"/>
                <w:lang w:bidi="ar"/>
              </w:rPr>
              <w:t>（投标文件中提供具有CMA或CNAS标志的第三方检测报告扫描件并加盖投标人公章）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4、机载消防水枪：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4.1</w:t>
            </w:r>
            <w:r>
              <w:rPr>
                <w:rFonts w:hint="eastAsia" w:ascii="宋体" w:hAnsi="宋体" w:eastAsia="宋体" w:cs="宋体"/>
                <w:i w:val="0"/>
                <w:iCs w:val="0"/>
                <w:color w:val="000000"/>
                <w:kern w:val="0"/>
                <w:sz w:val="21"/>
                <w:szCs w:val="21"/>
                <w:u w:val="none"/>
                <w:lang w:val="en-US" w:eastAsia="zh-CN" w:bidi="ar"/>
              </w:rPr>
              <w:t>喷枪长度：≥1950mm</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4.2</w:t>
            </w:r>
            <w:r>
              <w:rPr>
                <w:rFonts w:hint="eastAsia" w:ascii="宋体" w:hAnsi="宋体" w:eastAsia="宋体" w:cs="宋体"/>
                <w:i w:val="0"/>
                <w:iCs w:val="0"/>
                <w:color w:val="000000"/>
                <w:kern w:val="0"/>
                <w:sz w:val="21"/>
                <w:szCs w:val="21"/>
                <w:u w:val="none"/>
                <w:lang w:val="en-US" w:eastAsia="zh-CN" w:bidi="ar"/>
              </w:rPr>
              <w:t xml:space="preserve">喷枪重量：≤650g </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4.3</w:t>
            </w:r>
            <w:r>
              <w:rPr>
                <w:rFonts w:hint="eastAsia" w:ascii="宋体" w:hAnsi="宋体" w:eastAsia="宋体" w:cs="宋体"/>
                <w:i w:val="0"/>
                <w:iCs w:val="0"/>
                <w:color w:val="000000"/>
                <w:kern w:val="0"/>
                <w:sz w:val="21"/>
                <w:szCs w:val="21"/>
                <w:u w:val="none"/>
                <w:lang w:val="en-US" w:eastAsia="zh-CN" w:bidi="ar"/>
              </w:rPr>
              <w:t>水带直径：≥25mm</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4.4</w:t>
            </w:r>
            <w:r>
              <w:rPr>
                <w:rFonts w:hint="eastAsia" w:ascii="宋体" w:hAnsi="宋体" w:eastAsia="宋体" w:cs="宋体"/>
                <w:i w:val="0"/>
                <w:iCs w:val="0"/>
                <w:color w:val="000000"/>
                <w:kern w:val="0"/>
                <w:sz w:val="21"/>
                <w:szCs w:val="21"/>
                <w:u w:val="none"/>
                <w:lang w:val="en-US" w:eastAsia="zh-CN" w:bidi="ar"/>
              </w:rPr>
              <w:t>灭火剂种类：消防泡沫/消防水剂</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4.5</w:t>
            </w:r>
            <w:r>
              <w:rPr>
                <w:rFonts w:hint="eastAsia" w:ascii="宋体" w:hAnsi="宋体" w:eastAsia="宋体" w:cs="宋体"/>
                <w:i w:val="0"/>
                <w:iCs w:val="0"/>
                <w:color w:val="000000"/>
                <w:kern w:val="0"/>
                <w:sz w:val="21"/>
                <w:szCs w:val="21"/>
                <w:u w:val="none"/>
                <w:lang w:val="en-US" w:eastAsia="zh-CN" w:bidi="ar"/>
              </w:rPr>
              <w:t>安装方式：快拆</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4.6</w:t>
            </w:r>
            <w:r>
              <w:rPr>
                <w:rFonts w:hint="eastAsia" w:ascii="宋体" w:hAnsi="宋体" w:eastAsia="宋体" w:cs="宋体"/>
                <w:i w:val="0"/>
                <w:iCs w:val="0"/>
                <w:color w:val="000000"/>
                <w:kern w:val="0"/>
                <w:sz w:val="21"/>
                <w:szCs w:val="21"/>
                <w:u w:val="none"/>
                <w:lang w:val="en-US" w:eastAsia="zh-CN" w:bidi="ar"/>
              </w:rPr>
              <w:t>喷射距离：8-15米</w:t>
            </w:r>
            <w:r>
              <w:rPr>
                <w:rFonts w:hint="eastAsia" w:ascii="宋体" w:hAnsi="宋体" w:cs="宋体"/>
                <w:i w:val="0"/>
                <w:iCs w:val="0"/>
                <w:color w:val="000000"/>
                <w:kern w:val="0"/>
                <w:sz w:val="21"/>
                <w:szCs w:val="21"/>
                <w:u w:val="none"/>
                <w:lang w:val="en-US" w:eastAsia="zh-CN" w:bidi="ar"/>
              </w:rPr>
              <w:t>；</w:t>
            </w:r>
          </w:p>
          <w:p w14:paraId="6ACC4494">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4.7</w:t>
            </w:r>
            <w:r>
              <w:rPr>
                <w:rFonts w:hint="eastAsia" w:ascii="宋体" w:hAnsi="宋体" w:cs="宋体"/>
                <w:color w:val="000000"/>
                <w:kern w:val="0"/>
                <w:szCs w:val="21"/>
                <w:u w:val="none"/>
                <w:lang w:bidi="ar"/>
              </w:rPr>
              <w:t>建议使用高度：0-70米</w:t>
            </w:r>
            <w:r>
              <w:rPr>
                <w:rFonts w:hint="eastAsia" w:ascii="宋体" w:hAnsi="宋体" w:cs="宋体"/>
                <w:color w:val="000000"/>
                <w:kern w:val="0"/>
                <w:szCs w:val="21"/>
                <w:u w:val="none"/>
                <w:lang w:eastAsia="zh-CN" w:bidi="ar"/>
              </w:rPr>
              <w:t>；</w:t>
            </w:r>
          </w:p>
          <w:p w14:paraId="1EA3325E">
            <w:pPr>
              <w:keepNext w:val="0"/>
              <w:keepLines w:val="0"/>
              <w:widowControl/>
              <w:suppressLineNumbers w:val="0"/>
              <w:spacing w:line="240" w:lineRule="auto"/>
              <w:jc w:val="left"/>
              <w:textAlignment w:val="center"/>
              <w:rPr>
                <w:rFonts w:hint="eastAsia" w:ascii="宋体" w:hAnsi="宋体" w:cs="宋体"/>
                <w:color w:val="000000"/>
                <w:kern w:val="0"/>
                <w:szCs w:val="21"/>
                <w:u w:val="none"/>
                <w:lang w:bidi="ar"/>
              </w:rPr>
            </w:pPr>
            <w:r>
              <w:rPr>
                <w:rFonts w:hint="eastAsia" w:ascii="宋体" w:hAnsi="宋体" w:cs="宋体"/>
                <w:color w:val="000000"/>
                <w:kern w:val="0"/>
                <w:szCs w:val="21"/>
                <w:u w:val="none"/>
                <w:lang w:val="en-US" w:eastAsia="zh-CN" w:bidi="ar"/>
              </w:rPr>
              <w:t>4.8</w:t>
            </w:r>
            <w:r>
              <w:rPr>
                <w:rFonts w:hint="eastAsia" w:ascii="宋体" w:hAnsi="宋体" w:cs="宋体"/>
                <w:color w:val="000000"/>
                <w:kern w:val="0"/>
                <w:szCs w:val="21"/>
                <w:u w:val="none"/>
                <w:lang w:bidi="ar"/>
              </w:rPr>
              <w:t>水带长度：≥90米</w:t>
            </w:r>
            <w:r>
              <w:rPr>
                <w:rFonts w:hint="eastAsia" w:ascii="宋体" w:hAnsi="宋体" w:cs="宋体"/>
                <w:color w:val="000000"/>
                <w:kern w:val="0"/>
                <w:szCs w:val="21"/>
                <w:u w:val="none"/>
                <w:lang w:eastAsia="zh-CN" w:bidi="ar"/>
              </w:rPr>
              <w:t>；</w:t>
            </w:r>
            <w:r>
              <w:rPr>
                <w:rFonts w:hint="eastAsia" w:ascii="宋体" w:hAnsi="宋体" w:cs="宋体"/>
                <w:color w:val="000000"/>
                <w:kern w:val="0"/>
                <w:szCs w:val="21"/>
                <w:u w:val="none"/>
                <w:lang w:bidi="ar"/>
              </w:rPr>
              <w:t xml:space="preserve">                      </w:t>
            </w:r>
          </w:p>
          <w:p w14:paraId="2D6B8035">
            <w:pPr>
              <w:keepNext w:val="0"/>
              <w:keepLines w:val="0"/>
              <w:widowControl/>
              <w:suppressLineNumbers w:val="0"/>
              <w:spacing w:line="240" w:lineRule="auto"/>
              <w:jc w:val="left"/>
              <w:textAlignment w:val="center"/>
              <w:rPr>
                <w:rFonts w:hint="eastAsia" w:ascii="宋体" w:hAnsi="宋体" w:cs="宋体"/>
                <w:color w:val="000000"/>
                <w:kern w:val="0"/>
                <w:szCs w:val="21"/>
                <w:u w:val="none"/>
                <w:lang w:bidi="ar"/>
              </w:rPr>
            </w:pPr>
            <w:r>
              <w:rPr>
                <w:rFonts w:hint="eastAsia" w:ascii="宋体" w:hAnsi="宋体" w:cs="宋体"/>
                <w:color w:val="000000"/>
                <w:kern w:val="0"/>
                <w:szCs w:val="21"/>
                <w:u w:val="none"/>
                <w:lang w:val="en-US" w:eastAsia="zh-CN" w:bidi="ar"/>
              </w:rPr>
              <w:t>4.9</w:t>
            </w:r>
            <w:r>
              <w:rPr>
                <w:rFonts w:hint="eastAsia" w:ascii="宋体" w:hAnsi="宋体" w:cs="宋体"/>
                <w:color w:val="000000"/>
                <w:kern w:val="0"/>
                <w:szCs w:val="21"/>
                <w:u w:val="none"/>
                <w:lang w:bidi="ar"/>
              </w:rPr>
              <w:t>喷口有效射程:10-15米</w:t>
            </w:r>
            <w:r>
              <w:rPr>
                <w:rFonts w:hint="eastAsia" w:ascii="宋体" w:hAnsi="宋体" w:cs="宋体"/>
                <w:color w:val="000000"/>
                <w:kern w:val="0"/>
                <w:szCs w:val="21"/>
                <w:u w:val="none"/>
                <w:lang w:eastAsia="zh-CN" w:bidi="ar"/>
              </w:rPr>
              <w:t>；</w:t>
            </w:r>
            <w:r>
              <w:rPr>
                <w:rFonts w:hint="eastAsia" w:ascii="宋体" w:hAnsi="宋体" w:cs="宋体"/>
                <w:color w:val="000000"/>
                <w:kern w:val="0"/>
                <w:szCs w:val="21"/>
                <w:u w:val="none"/>
                <w:lang w:bidi="ar"/>
              </w:rPr>
              <w:t xml:space="preserve">                     </w:t>
            </w:r>
          </w:p>
          <w:p w14:paraId="38635950">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4.10</w:t>
            </w:r>
            <w:r>
              <w:rPr>
                <w:rFonts w:hint="eastAsia" w:ascii="宋体" w:hAnsi="宋体" w:cs="宋体"/>
                <w:color w:val="000000"/>
                <w:kern w:val="0"/>
                <w:szCs w:val="21"/>
                <w:u w:val="none"/>
                <w:lang w:bidi="ar"/>
              </w:rPr>
              <w:t>耐压：≥2.5Mpa</w:t>
            </w:r>
            <w:r>
              <w:rPr>
                <w:rFonts w:hint="eastAsia" w:ascii="宋体" w:hAnsi="宋体" w:cs="宋体"/>
                <w:color w:val="000000"/>
                <w:kern w:val="0"/>
                <w:szCs w:val="21"/>
                <w:u w:val="none"/>
                <w:lang w:eastAsia="zh-CN" w:bidi="ar"/>
              </w:rPr>
              <w:t>；</w:t>
            </w:r>
          </w:p>
          <w:p w14:paraId="6BE8A00C">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4.11</w:t>
            </w:r>
            <w:r>
              <w:rPr>
                <w:rFonts w:hint="eastAsia" w:ascii="宋体" w:hAnsi="宋体" w:cs="宋体"/>
                <w:color w:val="000000"/>
                <w:kern w:val="0"/>
                <w:szCs w:val="21"/>
                <w:u w:val="none"/>
                <w:lang w:bidi="ar"/>
              </w:rPr>
              <w:t>爆破压力≥3.2Mpa</w:t>
            </w:r>
            <w:r>
              <w:rPr>
                <w:rFonts w:hint="eastAsia" w:ascii="宋体" w:hAnsi="宋体" w:cs="宋体"/>
                <w:color w:val="000000"/>
                <w:kern w:val="0"/>
                <w:szCs w:val="21"/>
                <w:u w:val="none"/>
                <w:lang w:eastAsia="zh-CN" w:bidi="ar"/>
              </w:rPr>
              <w:t>；</w:t>
            </w:r>
          </w:p>
          <w:p w14:paraId="148D47EF">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4.12</w:t>
            </w:r>
            <w:r>
              <w:rPr>
                <w:rFonts w:hint="eastAsia" w:ascii="宋体" w:hAnsi="宋体" w:cs="宋体"/>
                <w:color w:val="000000"/>
                <w:kern w:val="0"/>
                <w:szCs w:val="21"/>
                <w:u w:val="none"/>
                <w:lang w:bidi="ar"/>
              </w:rPr>
              <w:t>水带连接方式：支持一体式锻造接头</w:t>
            </w:r>
            <w:r>
              <w:rPr>
                <w:rFonts w:hint="eastAsia" w:ascii="宋体" w:hAnsi="宋体" w:cs="宋体"/>
                <w:color w:val="000000"/>
                <w:kern w:val="0"/>
                <w:szCs w:val="21"/>
                <w:u w:val="none"/>
                <w:lang w:eastAsia="zh-CN" w:bidi="ar"/>
              </w:rPr>
              <w:t>；</w:t>
            </w:r>
          </w:p>
          <w:p w14:paraId="3AF1C32C">
            <w:pPr>
              <w:keepNext w:val="0"/>
              <w:keepLines w:val="0"/>
              <w:widowControl/>
              <w:suppressLineNumbers w:val="0"/>
              <w:spacing w:line="240" w:lineRule="auto"/>
              <w:jc w:val="left"/>
              <w:textAlignment w:val="center"/>
              <w:rPr>
                <w:rFonts w:hint="eastAsia" w:ascii="宋体" w:hAnsi="宋体" w:cs="宋体"/>
                <w:color w:val="000000"/>
                <w:kern w:val="0"/>
                <w:szCs w:val="21"/>
                <w:u w:val="none"/>
                <w:lang w:bidi="ar"/>
              </w:rPr>
            </w:pPr>
            <w:r>
              <w:rPr>
                <w:rFonts w:hint="eastAsia" w:ascii="宋体" w:hAnsi="宋体" w:cs="宋体"/>
                <w:color w:val="000000"/>
                <w:kern w:val="0"/>
                <w:szCs w:val="21"/>
                <w:u w:val="none"/>
                <w:lang w:bidi="ar"/>
              </w:rPr>
              <w:t>5、10KG灭火弹：</w:t>
            </w:r>
          </w:p>
          <w:p w14:paraId="2A2F9C31">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5.1</w:t>
            </w:r>
            <w:r>
              <w:rPr>
                <w:rFonts w:hint="eastAsia" w:ascii="宋体" w:hAnsi="宋体" w:cs="宋体"/>
                <w:color w:val="000000"/>
                <w:kern w:val="0"/>
                <w:szCs w:val="21"/>
                <w:u w:val="none"/>
                <w:lang w:bidi="ar"/>
              </w:rPr>
              <w:t>灭火弹重量：≤9.5kg，包含弹体、弹卡、灭火剂、药管等</w:t>
            </w:r>
            <w:r>
              <w:rPr>
                <w:rFonts w:hint="eastAsia" w:ascii="宋体" w:hAnsi="宋体" w:cs="宋体"/>
                <w:color w:val="000000"/>
                <w:kern w:val="0"/>
                <w:szCs w:val="21"/>
                <w:u w:val="none"/>
                <w:lang w:eastAsia="zh-CN" w:bidi="ar"/>
              </w:rPr>
              <w:t>；</w:t>
            </w:r>
          </w:p>
          <w:p w14:paraId="1ADADF0D">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5.2</w:t>
            </w:r>
            <w:r>
              <w:rPr>
                <w:rFonts w:hint="eastAsia" w:ascii="宋体" w:hAnsi="宋体" w:cs="宋体"/>
                <w:color w:val="000000"/>
                <w:kern w:val="0"/>
                <w:szCs w:val="21"/>
                <w:u w:val="none"/>
                <w:lang w:bidi="ar"/>
              </w:rPr>
              <w:t>灭火剂种类：干粉灭火剂、水系灭火剂</w:t>
            </w:r>
            <w:r>
              <w:rPr>
                <w:rFonts w:hint="eastAsia" w:ascii="宋体" w:hAnsi="宋体" w:cs="宋体"/>
                <w:color w:val="000000"/>
                <w:kern w:val="0"/>
                <w:szCs w:val="21"/>
                <w:u w:val="none"/>
                <w:lang w:eastAsia="zh-CN" w:bidi="ar"/>
              </w:rPr>
              <w:t>；</w:t>
            </w:r>
          </w:p>
          <w:p w14:paraId="2F80A264">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5.3</w:t>
            </w:r>
            <w:r>
              <w:rPr>
                <w:rFonts w:hint="eastAsia" w:ascii="宋体" w:hAnsi="宋体" w:cs="宋体"/>
                <w:color w:val="000000"/>
                <w:kern w:val="0"/>
                <w:szCs w:val="21"/>
                <w:u w:val="none"/>
                <w:lang w:bidi="ar"/>
              </w:rPr>
              <w:t>弹体主材质：PE</w:t>
            </w:r>
            <w:r>
              <w:rPr>
                <w:rFonts w:hint="eastAsia" w:ascii="宋体" w:hAnsi="宋体" w:cs="宋体"/>
                <w:color w:val="000000"/>
                <w:kern w:val="0"/>
                <w:szCs w:val="21"/>
                <w:u w:val="none"/>
                <w:lang w:eastAsia="zh-CN" w:bidi="ar"/>
              </w:rPr>
              <w:t>；</w:t>
            </w:r>
          </w:p>
          <w:p w14:paraId="2F3DCC5C">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5.4</w:t>
            </w:r>
            <w:r>
              <w:rPr>
                <w:rFonts w:hint="eastAsia" w:ascii="宋体" w:hAnsi="宋体" w:cs="宋体"/>
                <w:color w:val="000000"/>
                <w:kern w:val="0"/>
                <w:szCs w:val="21"/>
                <w:u w:val="none"/>
                <w:lang w:bidi="ar"/>
              </w:rPr>
              <w:t>灭火剂抛洒直径：≥5米</w:t>
            </w:r>
            <w:r>
              <w:rPr>
                <w:rFonts w:hint="eastAsia" w:ascii="宋体" w:hAnsi="宋体" w:cs="宋体"/>
                <w:color w:val="000000"/>
                <w:kern w:val="0"/>
                <w:szCs w:val="21"/>
                <w:u w:val="none"/>
                <w:lang w:eastAsia="zh-CN" w:bidi="ar"/>
              </w:rPr>
              <w:t>；</w:t>
            </w:r>
          </w:p>
          <w:p w14:paraId="6B174871">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5.5</w:t>
            </w:r>
            <w:r>
              <w:rPr>
                <w:rFonts w:hint="eastAsia" w:ascii="宋体" w:hAnsi="宋体" w:cs="宋体"/>
                <w:color w:val="000000"/>
                <w:kern w:val="0"/>
                <w:szCs w:val="21"/>
                <w:u w:val="none"/>
                <w:lang w:bidi="ar"/>
              </w:rPr>
              <w:t>火场控制面积：≥50平方米</w:t>
            </w:r>
            <w:r>
              <w:rPr>
                <w:rFonts w:hint="eastAsia" w:ascii="宋体" w:hAnsi="宋体" w:cs="宋体"/>
                <w:color w:val="000000"/>
                <w:kern w:val="0"/>
                <w:szCs w:val="21"/>
                <w:u w:val="none"/>
                <w:lang w:eastAsia="zh-CN" w:bidi="ar"/>
              </w:rPr>
              <w:t>；</w:t>
            </w:r>
          </w:p>
          <w:p w14:paraId="0B7ADDD5">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5.6</w:t>
            </w:r>
            <w:r>
              <w:rPr>
                <w:rFonts w:hint="eastAsia" w:ascii="宋体" w:hAnsi="宋体" w:cs="宋体"/>
                <w:color w:val="000000"/>
                <w:kern w:val="0"/>
                <w:szCs w:val="21"/>
                <w:u w:val="none"/>
                <w:lang w:bidi="ar"/>
              </w:rPr>
              <w:t>灭火弹安全半径：≥15米</w:t>
            </w:r>
            <w:r>
              <w:rPr>
                <w:rFonts w:hint="eastAsia" w:ascii="宋体" w:hAnsi="宋体" w:cs="宋体"/>
                <w:color w:val="000000"/>
                <w:kern w:val="0"/>
                <w:szCs w:val="21"/>
                <w:u w:val="none"/>
                <w:lang w:eastAsia="zh-CN" w:bidi="ar"/>
              </w:rPr>
              <w:t>；</w:t>
            </w:r>
          </w:p>
          <w:p w14:paraId="27EAB81C">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5.7</w:t>
            </w:r>
            <w:r>
              <w:rPr>
                <w:rFonts w:hint="eastAsia" w:ascii="宋体" w:hAnsi="宋体" w:cs="宋体"/>
                <w:color w:val="000000"/>
                <w:kern w:val="0"/>
                <w:szCs w:val="21"/>
                <w:u w:val="none"/>
                <w:lang w:bidi="ar"/>
              </w:rPr>
              <w:t>灭火弹点火电压：12V</w:t>
            </w:r>
            <w:r>
              <w:rPr>
                <w:rFonts w:hint="eastAsia" w:ascii="宋体" w:hAnsi="宋体" w:cs="宋体"/>
                <w:color w:val="000000"/>
                <w:kern w:val="0"/>
                <w:szCs w:val="21"/>
                <w:u w:val="none"/>
                <w:lang w:eastAsia="zh-CN" w:bidi="ar"/>
              </w:rPr>
              <w:t>；</w:t>
            </w:r>
          </w:p>
          <w:p w14:paraId="08F2E9A3">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5.8</w:t>
            </w:r>
            <w:r>
              <w:rPr>
                <w:rFonts w:hint="eastAsia" w:ascii="宋体" w:hAnsi="宋体" w:cs="宋体"/>
                <w:color w:val="000000"/>
                <w:kern w:val="0"/>
                <w:szCs w:val="21"/>
                <w:u w:val="none"/>
                <w:lang w:bidi="ar"/>
              </w:rPr>
              <w:t>灭火弹点火电流：≥1000mA</w:t>
            </w:r>
            <w:r>
              <w:rPr>
                <w:rFonts w:hint="eastAsia" w:ascii="宋体" w:hAnsi="宋体" w:cs="宋体"/>
                <w:color w:val="000000"/>
                <w:kern w:val="0"/>
                <w:szCs w:val="21"/>
                <w:u w:val="none"/>
                <w:lang w:eastAsia="zh-CN" w:bidi="ar"/>
              </w:rPr>
              <w:t>；</w:t>
            </w:r>
          </w:p>
          <w:p w14:paraId="177C5AF3">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5.9</w:t>
            </w:r>
            <w:r>
              <w:rPr>
                <w:rFonts w:hint="eastAsia" w:ascii="宋体" w:hAnsi="宋体" w:cs="宋体"/>
                <w:color w:val="000000"/>
                <w:kern w:val="0"/>
                <w:szCs w:val="21"/>
                <w:u w:val="none"/>
                <w:lang w:bidi="ar"/>
              </w:rPr>
              <w:t>灭火弹安全电流：≤200mA</w:t>
            </w:r>
            <w:r>
              <w:rPr>
                <w:rFonts w:hint="eastAsia" w:ascii="宋体" w:hAnsi="宋体" w:cs="宋体"/>
                <w:color w:val="000000"/>
                <w:kern w:val="0"/>
                <w:szCs w:val="21"/>
                <w:u w:val="none"/>
                <w:lang w:eastAsia="zh-CN" w:bidi="ar"/>
              </w:rPr>
              <w:t>；</w:t>
            </w:r>
          </w:p>
          <w:p w14:paraId="577093C7">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5.10</w:t>
            </w:r>
            <w:r>
              <w:rPr>
                <w:rFonts w:hint="eastAsia" w:ascii="宋体" w:hAnsi="宋体" w:cs="宋体"/>
                <w:color w:val="000000"/>
                <w:kern w:val="0"/>
                <w:szCs w:val="21"/>
                <w:u w:val="none"/>
                <w:lang w:bidi="ar"/>
              </w:rPr>
              <w:t>灭火弹落下解除保险高度：≥10米</w:t>
            </w:r>
            <w:r>
              <w:rPr>
                <w:rFonts w:hint="eastAsia" w:ascii="宋体" w:hAnsi="宋体" w:cs="宋体"/>
                <w:color w:val="000000"/>
                <w:kern w:val="0"/>
                <w:szCs w:val="21"/>
                <w:u w:val="none"/>
                <w:lang w:eastAsia="zh-CN" w:bidi="ar"/>
              </w:rPr>
              <w:t>；</w:t>
            </w:r>
          </w:p>
          <w:p w14:paraId="3C707ABB">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5.11</w:t>
            </w:r>
            <w:r>
              <w:rPr>
                <w:rFonts w:hint="eastAsia" w:ascii="宋体" w:hAnsi="宋体" w:cs="宋体"/>
                <w:color w:val="000000"/>
                <w:kern w:val="0"/>
                <w:szCs w:val="21"/>
                <w:u w:val="none"/>
                <w:lang w:bidi="ar"/>
              </w:rPr>
              <w:t>灭火弹投弹高度（相对火场）：30-150米</w:t>
            </w:r>
            <w:r>
              <w:rPr>
                <w:rFonts w:hint="eastAsia" w:ascii="宋体" w:hAnsi="宋体" w:cs="宋体"/>
                <w:color w:val="000000"/>
                <w:kern w:val="0"/>
                <w:szCs w:val="21"/>
                <w:u w:val="none"/>
                <w:lang w:eastAsia="zh-CN" w:bidi="ar"/>
              </w:rPr>
              <w:t>；</w:t>
            </w:r>
          </w:p>
          <w:p w14:paraId="1765DB1A">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5.12</w:t>
            </w:r>
            <w:r>
              <w:rPr>
                <w:rFonts w:hint="eastAsia" w:ascii="宋体" w:hAnsi="宋体" w:cs="宋体"/>
                <w:color w:val="000000"/>
                <w:kern w:val="0"/>
                <w:szCs w:val="21"/>
                <w:u w:val="none"/>
                <w:lang w:bidi="ar"/>
              </w:rPr>
              <w:t>灭火弹使用环境温度：-25-+60℃</w:t>
            </w:r>
            <w:r>
              <w:rPr>
                <w:rFonts w:hint="eastAsia" w:ascii="宋体" w:hAnsi="宋体" w:cs="宋体"/>
                <w:color w:val="000000"/>
                <w:kern w:val="0"/>
                <w:szCs w:val="21"/>
                <w:u w:val="none"/>
                <w:lang w:eastAsia="zh-CN" w:bidi="ar"/>
              </w:rPr>
              <w:t>；</w:t>
            </w:r>
          </w:p>
          <w:p w14:paraId="054B5285">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5.13</w:t>
            </w:r>
            <w:r>
              <w:rPr>
                <w:rFonts w:hint="eastAsia" w:ascii="宋体" w:hAnsi="宋体" w:cs="宋体"/>
                <w:color w:val="000000"/>
                <w:kern w:val="0"/>
                <w:szCs w:val="21"/>
                <w:u w:val="none"/>
                <w:lang w:bidi="ar"/>
              </w:rPr>
              <w:t>保存方式：防水、防潮、防火</w:t>
            </w:r>
            <w:r>
              <w:rPr>
                <w:rFonts w:hint="eastAsia" w:ascii="宋体" w:hAnsi="宋体" w:cs="宋体"/>
                <w:color w:val="000000"/>
                <w:kern w:val="0"/>
                <w:szCs w:val="21"/>
                <w:u w:val="none"/>
                <w:lang w:eastAsia="zh-CN" w:bidi="ar"/>
              </w:rPr>
              <w:t>；</w:t>
            </w:r>
          </w:p>
          <w:p w14:paraId="6CA44A70">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5.14</w:t>
            </w:r>
            <w:r>
              <w:rPr>
                <w:rFonts w:hint="eastAsia" w:ascii="宋体" w:hAnsi="宋体" w:cs="宋体"/>
                <w:color w:val="000000"/>
                <w:kern w:val="0"/>
                <w:szCs w:val="21"/>
                <w:u w:val="none"/>
                <w:lang w:bidi="ar"/>
              </w:rPr>
              <w:t>安全保险：距离、开关、插销</w:t>
            </w:r>
            <w:r>
              <w:rPr>
                <w:rFonts w:hint="eastAsia" w:ascii="宋体" w:hAnsi="宋体" w:cs="宋体"/>
                <w:color w:val="000000"/>
                <w:kern w:val="0"/>
                <w:szCs w:val="21"/>
                <w:u w:val="none"/>
                <w:lang w:eastAsia="zh-CN" w:bidi="ar"/>
              </w:rPr>
              <w:t>；</w:t>
            </w:r>
          </w:p>
          <w:p w14:paraId="4BD4B0A0">
            <w:pPr>
              <w:keepNext w:val="0"/>
              <w:keepLines w:val="0"/>
              <w:widowControl/>
              <w:suppressLineNumbers w:val="0"/>
              <w:spacing w:line="240" w:lineRule="auto"/>
              <w:jc w:val="left"/>
              <w:textAlignment w:val="center"/>
              <w:rPr>
                <w:rFonts w:hint="eastAsia" w:ascii="宋体" w:hAnsi="宋体" w:cs="宋体"/>
                <w:color w:val="000000"/>
                <w:kern w:val="0"/>
                <w:szCs w:val="21"/>
                <w:u w:val="none"/>
                <w:lang w:bidi="ar"/>
              </w:rPr>
            </w:pPr>
            <w:r>
              <w:rPr>
                <w:rFonts w:hint="eastAsia" w:ascii="宋体" w:hAnsi="宋体" w:cs="宋体"/>
                <w:color w:val="000000"/>
                <w:kern w:val="0"/>
                <w:szCs w:val="21"/>
                <w:u w:val="none"/>
                <w:lang w:bidi="ar"/>
              </w:rPr>
              <w:t>6、25KG灭火弹</w:t>
            </w:r>
          </w:p>
          <w:p w14:paraId="24265343">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6.1</w:t>
            </w:r>
            <w:r>
              <w:rPr>
                <w:rFonts w:hint="eastAsia" w:ascii="宋体" w:hAnsi="宋体" w:cs="宋体"/>
                <w:color w:val="000000"/>
                <w:kern w:val="0"/>
                <w:szCs w:val="21"/>
                <w:u w:val="none"/>
                <w:lang w:bidi="ar"/>
              </w:rPr>
              <w:t>灭火弹重量：≤24.8kg，包含弹体、弹卡、灭火剂、药管等</w:t>
            </w:r>
            <w:r>
              <w:rPr>
                <w:rFonts w:hint="eastAsia" w:ascii="宋体" w:hAnsi="宋体" w:cs="宋体"/>
                <w:color w:val="000000"/>
                <w:kern w:val="0"/>
                <w:szCs w:val="21"/>
                <w:u w:val="none"/>
                <w:lang w:eastAsia="zh-CN" w:bidi="ar"/>
              </w:rPr>
              <w:t>；</w:t>
            </w:r>
          </w:p>
          <w:p w14:paraId="242B9770">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6.2</w:t>
            </w:r>
            <w:r>
              <w:rPr>
                <w:rFonts w:hint="eastAsia" w:ascii="宋体" w:hAnsi="宋体" w:cs="宋体"/>
                <w:color w:val="000000"/>
                <w:kern w:val="0"/>
                <w:szCs w:val="21"/>
                <w:u w:val="none"/>
                <w:lang w:bidi="ar"/>
              </w:rPr>
              <w:t>灭火剂种类：干粉灭火剂、水系灭火剂</w:t>
            </w:r>
            <w:r>
              <w:rPr>
                <w:rFonts w:hint="eastAsia" w:ascii="宋体" w:hAnsi="宋体" w:cs="宋体"/>
                <w:color w:val="000000"/>
                <w:kern w:val="0"/>
                <w:szCs w:val="21"/>
                <w:u w:val="none"/>
                <w:lang w:eastAsia="zh-CN" w:bidi="ar"/>
              </w:rPr>
              <w:t>；</w:t>
            </w:r>
          </w:p>
          <w:p w14:paraId="7A9441A9">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6.3</w:t>
            </w:r>
            <w:r>
              <w:rPr>
                <w:rFonts w:hint="eastAsia" w:ascii="宋体" w:hAnsi="宋体" w:cs="宋体"/>
                <w:color w:val="000000"/>
                <w:kern w:val="0"/>
                <w:szCs w:val="21"/>
                <w:u w:val="none"/>
                <w:lang w:bidi="ar"/>
              </w:rPr>
              <w:t>弹体主材质：PE</w:t>
            </w:r>
            <w:r>
              <w:rPr>
                <w:rFonts w:hint="eastAsia" w:ascii="宋体" w:hAnsi="宋体" w:cs="宋体"/>
                <w:color w:val="000000"/>
                <w:kern w:val="0"/>
                <w:szCs w:val="21"/>
                <w:u w:val="none"/>
                <w:lang w:eastAsia="zh-CN" w:bidi="ar"/>
              </w:rPr>
              <w:t>；</w:t>
            </w:r>
          </w:p>
          <w:p w14:paraId="6E855D5B">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6.4</w:t>
            </w:r>
            <w:r>
              <w:rPr>
                <w:rFonts w:hint="eastAsia" w:ascii="宋体" w:hAnsi="宋体" w:cs="宋体"/>
                <w:color w:val="000000"/>
                <w:kern w:val="0"/>
                <w:szCs w:val="21"/>
                <w:u w:val="none"/>
                <w:lang w:bidi="ar"/>
              </w:rPr>
              <w:t>灭火剂抛洒直径：≥12米</w:t>
            </w:r>
            <w:r>
              <w:rPr>
                <w:rFonts w:hint="eastAsia" w:ascii="宋体" w:hAnsi="宋体" w:cs="宋体"/>
                <w:color w:val="000000"/>
                <w:kern w:val="0"/>
                <w:szCs w:val="21"/>
                <w:u w:val="none"/>
                <w:lang w:eastAsia="zh-CN" w:bidi="ar"/>
              </w:rPr>
              <w:t>；</w:t>
            </w:r>
          </w:p>
          <w:p w14:paraId="244E28B3">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6.5</w:t>
            </w:r>
            <w:r>
              <w:rPr>
                <w:rFonts w:hint="eastAsia" w:ascii="宋体" w:hAnsi="宋体" w:cs="宋体"/>
                <w:color w:val="000000"/>
                <w:kern w:val="0"/>
                <w:szCs w:val="21"/>
                <w:u w:val="none"/>
                <w:lang w:bidi="ar"/>
              </w:rPr>
              <w:t>火场控制面积：≥125平方米</w:t>
            </w:r>
            <w:r>
              <w:rPr>
                <w:rFonts w:hint="eastAsia" w:ascii="宋体" w:hAnsi="宋体" w:cs="宋体"/>
                <w:color w:val="000000"/>
                <w:kern w:val="0"/>
                <w:szCs w:val="21"/>
                <w:u w:val="none"/>
                <w:lang w:eastAsia="zh-CN" w:bidi="ar"/>
              </w:rPr>
              <w:t>；</w:t>
            </w:r>
          </w:p>
          <w:p w14:paraId="07582D1D">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6.6</w:t>
            </w:r>
            <w:r>
              <w:rPr>
                <w:rFonts w:hint="eastAsia" w:ascii="宋体" w:hAnsi="宋体" w:cs="宋体"/>
                <w:color w:val="000000"/>
                <w:kern w:val="0"/>
                <w:szCs w:val="21"/>
                <w:u w:val="none"/>
                <w:lang w:bidi="ar"/>
              </w:rPr>
              <w:t>灭火弹安全半径：≥15米</w:t>
            </w:r>
            <w:r>
              <w:rPr>
                <w:rFonts w:hint="eastAsia" w:ascii="宋体" w:hAnsi="宋体" w:cs="宋体"/>
                <w:color w:val="000000"/>
                <w:kern w:val="0"/>
                <w:szCs w:val="21"/>
                <w:u w:val="none"/>
                <w:lang w:eastAsia="zh-CN" w:bidi="ar"/>
              </w:rPr>
              <w:t>；</w:t>
            </w:r>
          </w:p>
          <w:p w14:paraId="3F0CDCA8">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6.7</w:t>
            </w:r>
            <w:r>
              <w:rPr>
                <w:rFonts w:hint="eastAsia" w:ascii="宋体" w:hAnsi="宋体" w:cs="宋体"/>
                <w:color w:val="000000"/>
                <w:kern w:val="0"/>
                <w:szCs w:val="21"/>
                <w:u w:val="none"/>
                <w:lang w:bidi="ar"/>
              </w:rPr>
              <w:t>灭火弹点火电压：12V</w:t>
            </w:r>
            <w:r>
              <w:rPr>
                <w:rFonts w:hint="eastAsia" w:ascii="宋体" w:hAnsi="宋体" w:cs="宋体"/>
                <w:color w:val="000000"/>
                <w:kern w:val="0"/>
                <w:szCs w:val="21"/>
                <w:u w:val="none"/>
                <w:lang w:eastAsia="zh-CN" w:bidi="ar"/>
              </w:rPr>
              <w:t>；</w:t>
            </w:r>
          </w:p>
          <w:p w14:paraId="2C4824E3">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6.8</w:t>
            </w:r>
            <w:r>
              <w:rPr>
                <w:rFonts w:hint="eastAsia" w:ascii="宋体" w:hAnsi="宋体" w:cs="宋体"/>
                <w:color w:val="000000"/>
                <w:kern w:val="0"/>
                <w:szCs w:val="21"/>
                <w:u w:val="none"/>
                <w:lang w:bidi="ar"/>
              </w:rPr>
              <w:t>灭火弹点火电流：≥1000mA</w:t>
            </w:r>
            <w:r>
              <w:rPr>
                <w:rFonts w:hint="eastAsia" w:ascii="宋体" w:hAnsi="宋体" w:cs="宋体"/>
                <w:color w:val="000000"/>
                <w:kern w:val="0"/>
                <w:szCs w:val="21"/>
                <w:u w:val="none"/>
                <w:lang w:eastAsia="zh-CN" w:bidi="ar"/>
              </w:rPr>
              <w:t>；</w:t>
            </w:r>
          </w:p>
          <w:p w14:paraId="34913FBE">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6.9</w:t>
            </w:r>
            <w:r>
              <w:rPr>
                <w:rFonts w:hint="eastAsia" w:ascii="宋体" w:hAnsi="宋体" w:cs="宋体"/>
                <w:color w:val="000000"/>
                <w:kern w:val="0"/>
                <w:szCs w:val="21"/>
                <w:u w:val="none"/>
                <w:lang w:bidi="ar"/>
              </w:rPr>
              <w:t>灭火弹安全电流：≤200mA</w:t>
            </w:r>
            <w:r>
              <w:rPr>
                <w:rFonts w:hint="eastAsia" w:ascii="宋体" w:hAnsi="宋体" w:cs="宋体"/>
                <w:color w:val="000000"/>
                <w:kern w:val="0"/>
                <w:szCs w:val="21"/>
                <w:u w:val="none"/>
                <w:lang w:eastAsia="zh-CN" w:bidi="ar"/>
              </w:rPr>
              <w:t>；</w:t>
            </w:r>
          </w:p>
          <w:p w14:paraId="650B6224">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6.10</w:t>
            </w:r>
            <w:r>
              <w:rPr>
                <w:rFonts w:hint="eastAsia" w:ascii="宋体" w:hAnsi="宋体" w:cs="宋体"/>
                <w:color w:val="000000"/>
                <w:kern w:val="0"/>
                <w:szCs w:val="21"/>
                <w:u w:val="none"/>
                <w:lang w:bidi="ar"/>
              </w:rPr>
              <w:t>灭火弹落下解除保险高度：≥10米</w:t>
            </w:r>
            <w:r>
              <w:rPr>
                <w:rFonts w:hint="eastAsia" w:ascii="宋体" w:hAnsi="宋体" w:cs="宋体"/>
                <w:color w:val="000000"/>
                <w:kern w:val="0"/>
                <w:szCs w:val="21"/>
                <w:u w:val="none"/>
                <w:lang w:eastAsia="zh-CN" w:bidi="ar"/>
              </w:rPr>
              <w:t>；</w:t>
            </w:r>
          </w:p>
          <w:p w14:paraId="64F3C9AB">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6.11</w:t>
            </w:r>
            <w:r>
              <w:rPr>
                <w:rFonts w:hint="eastAsia" w:ascii="宋体" w:hAnsi="宋体" w:cs="宋体"/>
                <w:color w:val="000000"/>
                <w:kern w:val="0"/>
                <w:szCs w:val="21"/>
                <w:u w:val="none"/>
                <w:lang w:bidi="ar"/>
              </w:rPr>
              <w:t>灭火弹投弹高度（相对火场）：30-150米</w:t>
            </w:r>
            <w:r>
              <w:rPr>
                <w:rFonts w:hint="eastAsia" w:ascii="宋体" w:hAnsi="宋体" w:cs="宋体"/>
                <w:color w:val="000000"/>
                <w:kern w:val="0"/>
                <w:szCs w:val="21"/>
                <w:u w:val="none"/>
                <w:lang w:eastAsia="zh-CN" w:bidi="ar"/>
              </w:rPr>
              <w:t>；</w:t>
            </w:r>
          </w:p>
          <w:p w14:paraId="6BB430D8">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6.12</w:t>
            </w:r>
            <w:r>
              <w:rPr>
                <w:rFonts w:hint="eastAsia" w:ascii="宋体" w:hAnsi="宋体" w:cs="宋体"/>
                <w:color w:val="000000"/>
                <w:kern w:val="0"/>
                <w:szCs w:val="21"/>
                <w:u w:val="none"/>
                <w:lang w:bidi="ar"/>
              </w:rPr>
              <w:t>灭火弹使用环境温度：-25-+60℃</w:t>
            </w:r>
            <w:r>
              <w:rPr>
                <w:rFonts w:hint="eastAsia" w:ascii="宋体" w:hAnsi="宋体" w:cs="宋体"/>
                <w:color w:val="000000"/>
                <w:kern w:val="0"/>
                <w:szCs w:val="21"/>
                <w:u w:val="none"/>
                <w:lang w:eastAsia="zh-CN" w:bidi="ar"/>
              </w:rPr>
              <w:t>；</w:t>
            </w:r>
          </w:p>
          <w:p w14:paraId="26126648">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6.13</w:t>
            </w:r>
            <w:r>
              <w:rPr>
                <w:rFonts w:hint="eastAsia" w:ascii="宋体" w:hAnsi="宋体" w:cs="宋体"/>
                <w:color w:val="000000"/>
                <w:kern w:val="0"/>
                <w:szCs w:val="21"/>
                <w:u w:val="none"/>
                <w:lang w:bidi="ar"/>
              </w:rPr>
              <w:t>保存方式：防水、防潮、防火</w:t>
            </w:r>
            <w:r>
              <w:rPr>
                <w:rFonts w:hint="eastAsia" w:ascii="宋体" w:hAnsi="宋体" w:cs="宋体"/>
                <w:color w:val="000000"/>
                <w:kern w:val="0"/>
                <w:szCs w:val="21"/>
                <w:u w:val="none"/>
                <w:lang w:eastAsia="zh-CN" w:bidi="ar"/>
              </w:rPr>
              <w:t>；</w:t>
            </w:r>
          </w:p>
          <w:p w14:paraId="1D1FB9F5">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6.14</w:t>
            </w:r>
            <w:r>
              <w:rPr>
                <w:rFonts w:hint="eastAsia" w:ascii="宋体" w:hAnsi="宋体" w:cs="宋体"/>
                <w:color w:val="000000"/>
                <w:kern w:val="0"/>
                <w:szCs w:val="21"/>
                <w:u w:val="none"/>
                <w:lang w:bidi="ar"/>
              </w:rPr>
              <w:t>安全保险：距离、开关、插销</w:t>
            </w:r>
            <w:r>
              <w:rPr>
                <w:rFonts w:hint="eastAsia" w:ascii="宋体" w:hAnsi="宋体" w:cs="宋体"/>
                <w:color w:val="000000"/>
                <w:kern w:val="0"/>
                <w:szCs w:val="21"/>
                <w:u w:val="none"/>
                <w:lang w:eastAsia="zh-CN" w:bidi="ar"/>
              </w:rPr>
              <w:t>；</w:t>
            </w:r>
          </w:p>
          <w:p w14:paraId="42175D59">
            <w:pPr>
              <w:keepNext w:val="0"/>
              <w:keepLines w:val="0"/>
              <w:widowControl/>
              <w:suppressLineNumbers w:val="0"/>
              <w:spacing w:line="240" w:lineRule="auto"/>
              <w:jc w:val="left"/>
              <w:textAlignment w:val="center"/>
              <w:rPr>
                <w:rFonts w:hint="eastAsia" w:ascii="宋体" w:hAnsi="宋体" w:cs="宋体"/>
                <w:color w:val="000000"/>
                <w:kern w:val="0"/>
                <w:szCs w:val="21"/>
                <w:u w:val="none"/>
                <w:lang w:bidi="ar"/>
              </w:rPr>
            </w:pPr>
            <w:r>
              <w:rPr>
                <w:rFonts w:hint="eastAsia" w:ascii="宋体" w:hAnsi="宋体" w:cs="宋体"/>
                <w:color w:val="000000"/>
                <w:kern w:val="0"/>
                <w:szCs w:val="21"/>
                <w:u w:val="none"/>
                <w:lang w:bidi="ar"/>
              </w:rPr>
              <w:t>7、喊话器：</w:t>
            </w:r>
          </w:p>
          <w:p w14:paraId="24009A33">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7.1</w:t>
            </w:r>
            <w:r>
              <w:rPr>
                <w:rFonts w:hint="eastAsia" w:ascii="宋体" w:hAnsi="宋体" w:cs="宋体"/>
                <w:color w:val="000000"/>
                <w:kern w:val="0"/>
                <w:szCs w:val="21"/>
                <w:u w:val="none"/>
                <w:lang w:bidi="ar"/>
              </w:rPr>
              <w:t>重量：≤580g</w:t>
            </w:r>
            <w:r>
              <w:rPr>
                <w:rFonts w:hint="eastAsia" w:ascii="宋体" w:hAnsi="宋体" w:cs="宋体"/>
                <w:color w:val="000000"/>
                <w:kern w:val="0"/>
                <w:szCs w:val="21"/>
                <w:u w:val="none"/>
                <w:lang w:eastAsia="zh-CN" w:bidi="ar"/>
              </w:rPr>
              <w:t>；</w:t>
            </w:r>
          </w:p>
          <w:p w14:paraId="4D6AD54A">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bidi="ar"/>
              </w:rPr>
              <w:t>★</w:t>
            </w:r>
            <w:r>
              <w:rPr>
                <w:rFonts w:hint="eastAsia" w:ascii="宋体" w:hAnsi="宋体" w:cs="宋体"/>
                <w:color w:val="000000"/>
                <w:kern w:val="0"/>
                <w:szCs w:val="21"/>
                <w:u w:val="none"/>
                <w:lang w:val="en-US" w:eastAsia="zh-CN" w:bidi="ar"/>
              </w:rPr>
              <w:t>7.2</w:t>
            </w:r>
            <w:r>
              <w:rPr>
                <w:rFonts w:hint="eastAsia" w:ascii="宋体" w:hAnsi="宋体" w:cs="宋体"/>
                <w:color w:val="000000"/>
                <w:kern w:val="0"/>
                <w:szCs w:val="21"/>
                <w:u w:val="none"/>
                <w:lang w:bidi="ar"/>
              </w:rPr>
              <w:t>尺寸：≤150*150*130 mm（</w:t>
            </w:r>
            <w:r>
              <w:rPr>
                <w:rFonts w:hint="eastAsia" w:ascii="宋体" w:hAnsi="宋体" w:cs="宋体"/>
                <w:color w:val="000000"/>
                <w:kern w:val="0"/>
                <w:szCs w:val="21"/>
                <w:u w:val="none"/>
                <w:lang w:eastAsia="zh-CN" w:bidi="ar"/>
              </w:rPr>
              <w:t>投标文件中提供具有CMA或CNAS标志的第三方检测报告扫描件并加盖投标人公章</w:t>
            </w:r>
            <w:r>
              <w:rPr>
                <w:rFonts w:hint="eastAsia" w:ascii="宋体" w:hAnsi="宋体" w:cs="宋体"/>
                <w:color w:val="000000"/>
                <w:kern w:val="0"/>
                <w:szCs w:val="21"/>
                <w:u w:val="none"/>
                <w:lang w:bidi="ar"/>
              </w:rPr>
              <w:t>）</w:t>
            </w:r>
            <w:r>
              <w:rPr>
                <w:rFonts w:hint="eastAsia" w:ascii="宋体" w:hAnsi="宋体" w:cs="宋体"/>
                <w:color w:val="000000"/>
                <w:kern w:val="0"/>
                <w:szCs w:val="21"/>
                <w:u w:val="none"/>
                <w:lang w:eastAsia="zh-CN" w:bidi="ar"/>
              </w:rPr>
              <w:t>；</w:t>
            </w:r>
          </w:p>
          <w:p w14:paraId="3CB15F9C">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bidi="ar"/>
              </w:rPr>
              <w:t>★</w:t>
            </w:r>
            <w:r>
              <w:rPr>
                <w:rFonts w:hint="eastAsia" w:ascii="宋体" w:hAnsi="宋体" w:cs="宋体"/>
                <w:color w:val="000000"/>
                <w:kern w:val="0"/>
                <w:szCs w:val="21"/>
                <w:u w:val="none"/>
                <w:lang w:val="en-US" w:eastAsia="zh-CN" w:bidi="ar"/>
              </w:rPr>
              <w:t xml:space="preserve">7.4 </w:t>
            </w:r>
            <w:r>
              <w:rPr>
                <w:rFonts w:hint="eastAsia" w:ascii="宋体" w:hAnsi="宋体" w:cs="宋体"/>
                <w:color w:val="000000"/>
                <w:kern w:val="0"/>
                <w:szCs w:val="21"/>
                <w:u w:val="none"/>
                <w:lang w:bidi="ar"/>
              </w:rPr>
              <w:t>20cm处的音量≥130db（</w:t>
            </w:r>
            <w:r>
              <w:rPr>
                <w:rFonts w:hint="eastAsia" w:ascii="宋体" w:hAnsi="宋体" w:cs="宋体"/>
                <w:color w:val="000000"/>
                <w:kern w:val="0"/>
                <w:szCs w:val="21"/>
                <w:u w:val="none"/>
                <w:lang w:eastAsia="zh-CN" w:bidi="ar"/>
              </w:rPr>
              <w:t>投标文件中提供具有CMA或CNAS标志的第三方检测报告扫描件并加盖投标人公章</w:t>
            </w:r>
            <w:r>
              <w:rPr>
                <w:rFonts w:hint="eastAsia" w:ascii="宋体" w:hAnsi="宋体" w:cs="宋体"/>
                <w:color w:val="000000"/>
                <w:kern w:val="0"/>
                <w:szCs w:val="21"/>
                <w:u w:val="none"/>
                <w:lang w:bidi="ar"/>
              </w:rPr>
              <w:t>）</w:t>
            </w:r>
            <w:r>
              <w:rPr>
                <w:rFonts w:hint="eastAsia" w:ascii="宋体" w:hAnsi="宋体" w:cs="宋体"/>
                <w:color w:val="000000"/>
                <w:kern w:val="0"/>
                <w:szCs w:val="21"/>
                <w:u w:val="none"/>
                <w:lang w:eastAsia="zh-CN" w:bidi="ar"/>
              </w:rPr>
              <w:t>；</w:t>
            </w:r>
          </w:p>
          <w:p w14:paraId="351BF639">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7.5</w:t>
            </w:r>
            <w:r>
              <w:rPr>
                <w:rFonts w:hint="eastAsia" w:ascii="宋体" w:hAnsi="宋体" w:cs="宋体"/>
                <w:color w:val="000000"/>
                <w:kern w:val="0"/>
                <w:szCs w:val="21"/>
                <w:u w:val="none"/>
                <w:lang w:bidi="ar"/>
              </w:rPr>
              <w:t>喊话装备：LTE链路手持麦</w:t>
            </w:r>
            <w:r>
              <w:rPr>
                <w:rFonts w:hint="eastAsia" w:ascii="宋体" w:hAnsi="宋体" w:cs="宋体"/>
                <w:color w:val="000000"/>
                <w:kern w:val="0"/>
                <w:szCs w:val="21"/>
                <w:u w:val="none"/>
                <w:lang w:eastAsia="zh-CN" w:bidi="ar"/>
              </w:rPr>
              <w:t>；</w:t>
            </w:r>
          </w:p>
          <w:p w14:paraId="01472F2E">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7.6</w:t>
            </w:r>
            <w:r>
              <w:rPr>
                <w:rFonts w:hint="eastAsia" w:ascii="宋体" w:hAnsi="宋体" w:cs="宋体"/>
                <w:color w:val="000000"/>
                <w:kern w:val="0"/>
                <w:szCs w:val="21"/>
                <w:u w:val="none"/>
                <w:lang w:bidi="ar"/>
              </w:rPr>
              <w:t>声音传播距离：≥500m</w:t>
            </w:r>
            <w:r>
              <w:rPr>
                <w:rFonts w:hint="eastAsia" w:ascii="宋体" w:hAnsi="宋体" w:cs="宋体"/>
                <w:color w:val="000000"/>
                <w:kern w:val="0"/>
                <w:szCs w:val="21"/>
                <w:u w:val="none"/>
                <w:lang w:eastAsia="zh-CN" w:bidi="ar"/>
              </w:rPr>
              <w:t>；</w:t>
            </w:r>
          </w:p>
          <w:p w14:paraId="25057069">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7.7</w:t>
            </w:r>
            <w:r>
              <w:rPr>
                <w:rFonts w:hint="eastAsia" w:ascii="宋体" w:hAnsi="宋体" w:cs="宋体"/>
                <w:color w:val="000000"/>
                <w:kern w:val="0"/>
                <w:szCs w:val="21"/>
                <w:u w:val="none"/>
                <w:lang w:bidi="ar"/>
              </w:rPr>
              <w:t>功率：＜30w</w:t>
            </w:r>
            <w:r>
              <w:rPr>
                <w:rFonts w:hint="eastAsia" w:ascii="宋体" w:hAnsi="宋体" w:cs="宋体"/>
                <w:color w:val="000000"/>
                <w:kern w:val="0"/>
                <w:szCs w:val="21"/>
                <w:u w:val="none"/>
                <w:lang w:eastAsia="zh-CN" w:bidi="ar"/>
              </w:rPr>
              <w:t>；</w:t>
            </w:r>
          </w:p>
          <w:p w14:paraId="266F8224">
            <w:pPr>
              <w:keepNext w:val="0"/>
              <w:keepLines w:val="0"/>
              <w:widowControl/>
              <w:suppressLineNumbers w:val="0"/>
              <w:spacing w:line="240" w:lineRule="auto"/>
              <w:jc w:val="left"/>
              <w:textAlignment w:val="center"/>
              <w:rPr>
                <w:rFonts w:hint="eastAsia" w:ascii="宋体" w:hAnsi="宋体" w:cs="宋体"/>
                <w:color w:val="000000"/>
                <w:kern w:val="0"/>
                <w:szCs w:val="21"/>
                <w:u w:val="none"/>
                <w:lang w:bidi="ar"/>
              </w:rPr>
            </w:pPr>
            <w:r>
              <w:rPr>
                <w:rFonts w:hint="eastAsia" w:ascii="宋体" w:hAnsi="宋体" w:cs="宋体"/>
                <w:color w:val="000000"/>
                <w:kern w:val="0"/>
                <w:szCs w:val="21"/>
                <w:u w:val="none"/>
                <w:lang w:val="en-US" w:eastAsia="zh-CN" w:bidi="ar"/>
              </w:rPr>
              <w:t>7.8</w:t>
            </w:r>
            <w:r>
              <w:rPr>
                <w:rFonts w:hint="eastAsia" w:ascii="宋体" w:hAnsi="宋体" w:cs="宋体"/>
                <w:color w:val="000000"/>
                <w:kern w:val="0"/>
                <w:szCs w:val="21"/>
                <w:u w:val="none"/>
                <w:lang w:bidi="ar"/>
              </w:rPr>
              <w:t>俯仰角度：自动调节0°--65°</w:t>
            </w:r>
          </w:p>
          <w:p w14:paraId="148EA041">
            <w:pPr>
              <w:keepNext w:val="0"/>
              <w:keepLines w:val="0"/>
              <w:widowControl/>
              <w:suppressLineNumbers w:val="0"/>
              <w:spacing w:line="240" w:lineRule="auto"/>
              <w:jc w:val="left"/>
              <w:textAlignment w:val="center"/>
              <w:rPr>
                <w:rFonts w:hint="eastAsia" w:ascii="宋体" w:hAnsi="宋体" w:cs="宋体"/>
                <w:color w:val="000000"/>
                <w:kern w:val="0"/>
                <w:szCs w:val="21"/>
                <w:u w:val="none"/>
                <w:lang w:bidi="ar"/>
              </w:rPr>
            </w:pPr>
            <w:r>
              <w:rPr>
                <w:rFonts w:hint="eastAsia" w:ascii="宋体" w:hAnsi="宋体" w:cs="宋体"/>
                <w:color w:val="000000"/>
                <w:kern w:val="0"/>
                <w:szCs w:val="21"/>
                <w:u w:val="none"/>
                <w:lang w:val="en-US" w:eastAsia="zh-CN" w:bidi="ar"/>
              </w:rPr>
              <w:t>7.9</w:t>
            </w:r>
            <w:r>
              <w:rPr>
                <w:rFonts w:hint="eastAsia" w:ascii="宋体" w:hAnsi="宋体" w:cs="宋体"/>
                <w:color w:val="000000"/>
                <w:kern w:val="0"/>
                <w:szCs w:val="21"/>
                <w:u w:val="none"/>
                <w:lang w:bidi="ar"/>
              </w:rPr>
              <w:t>通信链路：无人机链路、LTE链路</w:t>
            </w:r>
          </w:p>
          <w:p w14:paraId="18C5A46B">
            <w:pPr>
              <w:keepNext w:val="0"/>
              <w:keepLines w:val="0"/>
              <w:widowControl/>
              <w:suppressLineNumbers w:val="0"/>
              <w:spacing w:line="240" w:lineRule="auto"/>
              <w:jc w:val="left"/>
              <w:textAlignment w:val="center"/>
              <w:rPr>
                <w:rFonts w:hint="eastAsia" w:ascii="宋体" w:hAnsi="宋体" w:cs="宋体"/>
                <w:color w:val="000000"/>
                <w:kern w:val="0"/>
                <w:szCs w:val="21"/>
                <w:u w:val="none"/>
                <w:lang w:bidi="ar"/>
              </w:rPr>
            </w:pPr>
            <w:r>
              <w:rPr>
                <w:rFonts w:hint="eastAsia" w:ascii="宋体" w:hAnsi="宋体" w:cs="宋体"/>
                <w:color w:val="000000"/>
                <w:kern w:val="0"/>
                <w:szCs w:val="21"/>
                <w:u w:val="none"/>
                <w:lang w:val="en-US" w:eastAsia="zh-CN" w:bidi="ar"/>
              </w:rPr>
              <w:t>7.10</w:t>
            </w:r>
            <w:r>
              <w:rPr>
                <w:rFonts w:hint="eastAsia" w:ascii="宋体" w:hAnsi="宋体" w:cs="宋体"/>
                <w:color w:val="000000"/>
                <w:kern w:val="0"/>
                <w:szCs w:val="21"/>
                <w:u w:val="none"/>
                <w:lang w:bidi="ar"/>
              </w:rPr>
              <w:t>载荷接口：快拆接口</w:t>
            </w:r>
          </w:p>
          <w:p w14:paraId="6E8D3DC0">
            <w:pPr>
              <w:keepNext w:val="0"/>
              <w:keepLines w:val="0"/>
              <w:widowControl/>
              <w:suppressLineNumbers w:val="0"/>
              <w:spacing w:line="240" w:lineRule="auto"/>
              <w:jc w:val="left"/>
              <w:textAlignment w:val="center"/>
              <w:rPr>
                <w:rFonts w:hint="eastAsia" w:ascii="宋体" w:hAnsi="宋体" w:cs="宋体"/>
                <w:color w:val="000000"/>
                <w:kern w:val="0"/>
                <w:szCs w:val="21"/>
                <w:u w:val="none"/>
                <w:lang w:bidi="ar"/>
              </w:rPr>
            </w:pPr>
            <w:r>
              <w:rPr>
                <w:rFonts w:hint="eastAsia" w:ascii="宋体" w:hAnsi="宋体" w:cs="宋体"/>
                <w:color w:val="000000"/>
                <w:kern w:val="0"/>
                <w:szCs w:val="21"/>
                <w:u w:val="none"/>
                <w:lang w:val="en-US" w:eastAsia="zh-CN" w:bidi="ar"/>
              </w:rPr>
              <w:t>7.11</w:t>
            </w:r>
            <w:r>
              <w:rPr>
                <w:rFonts w:hint="eastAsia" w:ascii="宋体" w:hAnsi="宋体" w:cs="宋体"/>
                <w:color w:val="000000"/>
                <w:kern w:val="0"/>
                <w:szCs w:val="21"/>
                <w:u w:val="none"/>
                <w:lang w:bidi="ar"/>
              </w:rPr>
              <w:t>控制距离：与无人机控制距离相同</w:t>
            </w:r>
          </w:p>
          <w:p w14:paraId="41F1C56B">
            <w:pPr>
              <w:keepNext w:val="0"/>
              <w:keepLines w:val="0"/>
              <w:widowControl/>
              <w:suppressLineNumbers w:val="0"/>
              <w:spacing w:line="240" w:lineRule="auto"/>
              <w:jc w:val="left"/>
              <w:textAlignment w:val="center"/>
              <w:rPr>
                <w:rFonts w:hint="eastAsia" w:ascii="宋体" w:hAnsi="宋体" w:cs="宋体"/>
                <w:color w:val="000000"/>
                <w:kern w:val="0"/>
                <w:szCs w:val="21"/>
                <w:u w:val="none"/>
                <w:lang w:bidi="ar"/>
              </w:rPr>
            </w:pPr>
            <w:r>
              <w:rPr>
                <w:rFonts w:hint="eastAsia" w:ascii="宋体" w:hAnsi="宋体" w:cs="宋体"/>
                <w:color w:val="000000"/>
                <w:kern w:val="0"/>
                <w:szCs w:val="21"/>
                <w:u w:val="none"/>
                <w:lang w:bidi="ar"/>
              </w:rPr>
              <w:t>★</w:t>
            </w:r>
            <w:r>
              <w:rPr>
                <w:rFonts w:hint="eastAsia" w:ascii="宋体" w:hAnsi="宋体" w:cs="宋体"/>
                <w:color w:val="000000"/>
                <w:kern w:val="0"/>
                <w:szCs w:val="21"/>
                <w:u w:val="none"/>
                <w:lang w:val="en-US" w:eastAsia="zh-CN" w:bidi="ar"/>
              </w:rPr>
              <w:t>7.12</w:t>
            </w:r>
            <w:r>
              <w:rPr>
                <w:rFonts w:hint="eastAsia" w:ascii="宋体" w:hAnsi="宋体" w:cs="宋体"/>
                <w:color w:val="000000"/>
                <w:kern w:val="0"/>
                <w:szCs w:val="21"/>
                <w:u w:val="none"/>
                <w:lang w:bidi="ar"/>
              </w:rPr>
              <w:t>工作温度：-20C°---40C°（</w:t>
            </w:r>
            <w:r>
              <w:rPr>
                <w:rFonts w:hint="eastAsia" w:ascii="宋体" w:hAnsi="宋体" w:cs="宋体"/>
                <w:color w:val="000000"/>
                <w:kern w:val="0"/>
                <w:szCs w:val="21"/>
                <w:u w:val="none"/>
                <w:lang w:eastAsia="zh-CN" w:bidi="ar"/>
              </w:rPr>
              <w:t>投标文件中提供具有CMA或CNAS标志的第三方检测报告扫描件并加盖投标人公章</w:t>
            </w:r>
            <w:r>
              <w:rPr>
                <w:rFonts w:hint="eastAsia" w:ascii="宋体" w:hAnsi="宋体" w:cs="宋体"/>
                <w:color w:val="000000"/>
                <w:kern w:val="0"/>
                <w:szCs w:val="21"/>
                <w:u w:val="none"/>
                <w:lang w:bidi="ar"/>
              </w:rPr>
              <w:t>）</w:t>
            </w:r>
          </w:p>
          <w:p w14:paraId="64D2D19C">
            <w:pPr>
              <w:keepNext w:val="0"/>
              <w:keepLines w:val="0"/>
              <w:widowControl/>
              <w:suppressLineNumbers w:val="0"/>
              <w:spacing w:line="240" w:lineRule="auto"/>
              <w:jc w:val="left"/>
              <w:textAlignment w:val="center"/>
              <w:rPr>
                <w:rFonts w:hint="eastAsia" w:ascii="宋体" w:hAnsi="宋体" w:cs="宋体"/>
                <w:color w:val="000000"/>
                <w:kern w:val="0"/>
                <w:szCs w:val="21"/>
                <w:u w:val="none"/>
                <w:lang w:bidi="ar"/>
              </w:rPr>
            </w:pPr>
            <w:r>
              <w:rPr>
                <w:rFonts w:hint="eastAsia" w:ascii="宋体" w:hAnsi="宋体" w:cs="宋体"/>
                <w:color w:val="000000"/>
                <w:kern w:val="0"/>
                <w:szCs w:val="21"/>
                <w:u w:val="none"/>
                <w:lang w:val="en-US" w:eastAsia="zh-CN" w:bidi="ar"/>
              </w:rPr>
              <w:t>7.13</w:t>
            </w:r>
            <w:r>
              <w:rPr>
                <w:rFonts w:hint="eastAsia" w:ascii="宋体" w:hAnsi="宋体" w:cs="宋体"/>
                <w:color w:val="000000"/>
                <w:kern w:val="0"/>
                <w:szCs w:val="21"/>
                <w:u w:val="none"/>
                <w:lang w:bidi="ar"/>
              </w:rPr>
              <w:t>喊话方式（包含但不局限）：录音上传、实时语音、音频文件播放、文字转语音、混合播放</w:t>
            </w:r>
          </w:p>
          <w:p w14:paraId="29D1AEFF">
            <w:pPr>
              <w:keepNext w:val="0"/>
              <w:keepLines w:val="0"/>
              <w:widowControl/>
              <w:suppressLineNumbers w:val="0"/>
              <w:spacing w:line="240" w:lineRule="auto"/>
              <w:jc w:val="left"/>
              <w:textAlignment w:val="center"/>
              <w:rPr>
                <w:rFonts w:hint="eastAsia" w:ascii="宋体" w:hAnsi="宋体" w:cs="宋体"/>
                <w:color w:val="000000"/>
                <w:kern w:val="0"/>
                <w:szCs w:val="21"/>
                <w:u w:val="none"/>
                <w:lang w:bidi="ar"/>
              </w:rPr>
            </w:pPr>
            <w:r>
              <w:rPr>
                <w:rFonts w:hint="eastAsia" w:ascii="宋体" w:hAnsi="宋体" w:cs="宋体"/>
                <w:color w:val="000000"/>
                <w:kern w:val="0"/>
                <w:szCs w:val="21"/>
                <w:u w:val="none"/>
                <w:lang w:val="en-US" w:eastAsia="zh-CN" w:bidi="ar"/>
              </w:rPr>
              <w:t>7.14</w:t>
            </w:r>
            <w:r>
              <w:rPr>
                <w:rFonts w:hint="eastAsia" w:ascii="宋体" w:hAnsi="宋体" w:cs="宋体"/>
                <w:color w:val="000000"/>
                <w:kern w:val="0"/>
                <w:szCs w:val="21"/>
                <w:u w:val="none"/>
                <w:lang w:bidi="ar"/>
              </w:rPr>
              <w:t>供电方式：无人机云台接口供电</w:t>
            </w:r>
          </w:p>
          <w:p w14:paraId="6CF92CF2">
            <w:pPr>
              <w:keepNext w:val="0"/>
              <w:keepLines w:val="0"/>
              <w:widowControl/>
              <w:suppressLineNumbers w:val="0"/>
              <w:spacing w:line="240" w:lineRule="auto"/>
              <w:jc w:val="left"/>
              <w:textAlignment w:val="center"/>
              <w:rPr>
                <w:rFonts w:hint="eastAsia" w:ascii="宋体" w:hAnsi="宋体" w:cs="宋体"/>
                <w:color w:val="000000"/>
                <w:kern w:val="0"/>
                <w:szCs w:val="21"/>
                <w:u w:val="none"/>
                <w:lang w:bidi="ar"/>
              </w:rPr>
            </w:pPr>
            <w:r>
              <w:rPr>
                <w:rFonts w:hint="eastAsia" w:ascii="宋体" w:hAnsi="宋体" w:cs="宋体"/>
                <w:color w:val="000000"/>
                <w:kern w:val="0"/>
                <w:szCs w:val="21"/>
                <w:u w:val="none"/>
                <w:lang w:bidi="ar"/>
              </w:rPr>
              <w:t>8、探照灯：</w:t>
            </w:r>
          </w:p>
          <w:p w14:paraId="70998596">
            <w:pPr>
              <w:keepNext w:val="0"/>
              <w:keepLines w:val="0"/>
              <w:widowControl/>
              <w:suppressLineNumbers w:val="0"/>
              <w:spacing w:line="240" w:lineRule="auto"/>
              <w:jc w:val="left"/>
              <w:textAlignment w:val="center"/>
              <w:rPr>
                <w:rFonts w:hint="eastAsia" w:ascii="宋体" w:hAnsi="宋体" w:cs="宋体"/>
                <w:color w:val="000000"/>
                <w:kern w:val="0"/>
                <w:szCs w:val="21"/>
                <w:u w:val="none"/>
                <w:lang w:bidi="ar"/>
              </w:rPr>
            </w:pPr>
            <w:r>
              <w:rPr>
                <w:rFonts w:hint="eastAsia" w:ascii="宋体" w:hAnsi="宋体" w:cs="宋体"/>
                <w:color w:val="000000"/>
                <w:kern w:val="0"/>
                <w:szCs w:val="21"/>
                <w:u w:val="none"/>
                <w:lang w:val="en-US" w:eastAsia="zh-CN" w:bidi="ar"/>
              </w:rPr>
              <w:t>8.1</w:t>
            </w:r>
            <w:r>
              <w:rPr>
                <w:rFonts w:hint="eastAsia" w:ascii="宋体" w:hAnsi="宋体" w:cs="宋体"/>
                <w:color w:val="000000"/>
                <w:kern w:val="0"/>
                <w:szCs w:val="21"/>
                <w:u w:val="none"/>
                <w:lang w:bidi="ar"/>
              </w:rPr>
              <w:t>重量：≤750g</w:t>
            </w:r>
          </w:p>
          <w:p w14:paraId="680BA52C">
            <w:pPr>
              <w:keepNext w:val="0"/>
              <w:keepLines w:val="0"/>
              <w:widowControl/>
              <w:suppressLineNumbers w:val="0"/>
              <w:spacing w:line="240" w:lineRule="auto"/>
              <w:jc w:val="left"/>
              <w:textAlignment w:val="center"/>
              <w:rPr>
                <w:rFonts w:hint="eastAsia" w:ascii="宋体" w:hAnsi="宋体" w:cs="宋体"/>
                <w:color w:val="000000"/>
                <w:kern w:val="0"/>
                <w:szCs w:val="21"/>
                <w:u w:val="none"/>
                <w:lang w:bidi="ar"/>
              </w:rPr>
            </w:pPr>
            <w:r>
              <w:rPr>
                <w:rFonts w:hint="eastAsia" w:ascii="宋体" w:hAnsi="宋体" w:cs="宋体"/>
                <w:color w:val="000000"/>
                <w:kern w:val="0"/>
                <w:szCs w:val="21"/>
                <w:u w:val="none"/>
                <w:lang w:val="en-US" w:eastAsia="zh-CN" w:bidi="ar"/>
              </w:rPr>
              <w:t>8.2</w:t>
            </w:r>
            <w:r>
              <w:rPr>
                <w:rFonts w:hint="eastAsia" w:ascii="宋体" w:hAnsi="宋体" w:cs="宋体"/>
                <w:color w:val="000000"/>
                <w:kern w:val="0"/>
                <w:szCs w:val="21"/>
                <w:u w:val="none"/>
                <w:lang w:bidi="ar"/>
              </w:rPr>
              <w:t>尺寸：≤130*W135*H170mm</w:t>
            </w:r>
          </w:p>
          <w:p w14:paraId="77EA62DF">
            <w:pPr>
              <w:keepNext w:val="0"/>
              <w:keepLines w:val="0"/>
              <w:widowControl/>
              <w:suppressLineNumbers w:val="0"/>
              <w:spacing w:line="240" w:lineRule="auto"/>
              <w:jc w:val="left"/>
              <w:textAlignment w:val="center"/>
              <w:rPr>
                <w:rFonts w:hint="eastAsia" w:ascii="宋体" w:hAnsi="宋体" w:cs="宋体"/>
                <w:color w:val="000000"/>
                <w:kern w:val="0"/>
                <w:szCs w:val="21"/>
                <w:u w:val="none"/>
                <w:lang w:bidi="ar"/>
              </w:rPr>
            </w:pPr>
            <w:r>
              <w:rPr>
                <w:rFonts w:hint="eastAsia" w:ascii="宋体" w:hAnsi="宋体" w:cs="宋体"/>
                <w:color w:val="000000"/>
                <w:kern w:val="0"/>
                <w:szCs w:val="21"/>
                <w:u w:val="none"/>
                <w:lang w:val="en-US" w:eastAsia="zh-CN" w:bidi="ar"/>
              </w:rPr>
              <w:t>8.3</w:t>
            </w:r>
            <w:r>
              <w:rPr>
                <w:rFonts w:hint="eastAsia" w:ascii="宋体" w:hAnsi="宋体" w:cs="宋体"/>
                <w:color w:val="000000"/>
                <w:kern w:val="0"/>
                <w:szCs w:val="21"/>
                <w:u w:val="none"/>
                <w:lang w:bidi="ar"/>
              </w:rPr>
              <w:t>供电电压：≥24V</w:t>
            </w:r>
          </w:p>
          <w:p w14:paraId="17C14D07">
            <w:pPr>
              <w:keepNext w:val="0"/>
              <w:keepLines w:val="0"/>
              <w:widowControl/>
              <w:suppressLineNumbers w:val="0"/>
              <w:spacing w:line="240" w:lineRule="auto"/>
              <w:jc w:val="left"/>
              <w:textAlignment w:val="center"/>
              <w:rPr>
                <w:rFonts w:hint="eastAsia" w:ascii="宋体" w:hAnsi="宋体" w:cs="宋体"/>
                <w:color w:val="000000"/>
                <w:kern w:val="0"/>
                <w:szCs w:val="21"/>
                <w:u w:val="none"/>
                <w:lang w:bidi="ar"/>
              </w:rPr>
            </w:pPr>
            <w:r>
              <w:rPr>
                <w:rFonts w:hint="eastAsia" w:ascii="宋体" w:hAnsi="宋体" w:cs="宋体"/>
                <w:color w:val="000000"/>
                <w:kern w:val="0"/>
                <w:szCs w:val="21"/>
                <w:u w:val="none"/>
                <w:lang w:val="en-US" w:eastAsia="zh-CN" w:bidi="ar"/>
              </w:rPr>
              <w:t>8.4</w:t>
            </w:r>
            <w:r>
              <w:rPr>
                <w:rFonts w:hint="eastAsia" w:ascii="宋体" w:hAnsi="宋体" w:cs="宋体"/>
                <w:color w:val="000000"/>
                <w:kern w:val="0"/>
                <w:szCs w:val="21"/>
                <w:u w:val="none"/>
                <w:lang w:bidi="ar"/>
              </w:rPr>
              <w:t>灯光功率：≥120W</w:t>
            </w:r>
          </w:p>
          <w:p w14:paraId="31C22E4A">
            <w:pPr>
              <w:keepNext w:val="0"/>
              <w:keepLines w:val="0"/>
              <w:widowControl/>
              <w:suppressLineNumbers w:val="0"/>
              <w:spacing w:line="240" w:lineRule="auto"/>
              <w:jc w:val="left"/>
              <w:textAlignment w:val="center"/>
              <w:rPr>
                <w:rFonts w:hint="eastAsia" w:ascii="宋体" w:hAnsi="宋体" w:cs="宋体"/>
                <w:color w:val="000000"/>
                <w:kern w:val="0"/>
                <w:szCs w:val="21"/>
                <w:u w:val="none"/>
                <w:lang w:bidi="ar"/>
              </w:rPr>
            </w:pPr>
            <w:r>
              <w:rPr>
                <w:rFonts w:hint="eastAsia" w:ascii="宋体" w:hAnsi="宋体" w:cs="宋体"/>
                <w:color w:val="000000"/>
                <w:kern w:val="0"/>
                <w:szCs w:val="21"/>
                <w:u w:val="none"/>
                <w:lang w:bidi="ar"/>
              </w:rPr>
              <w:t>★</w:t>
            </w:r>
            <w:r>
              <w:rPr>
                <w:rFonts w:hint="eastAsia" w:ascii="宋体" w:hAnsi="宋体" w:cs="宋体"/>
                <w:color w:val="000000"/>
                <w:kern w:val="0"/>
                <w:szCs w:val="21"/>
                <w:u w:val="none"/>
                <w:lang w:val="en-US" w:eastAsia="zh-CN" w:bidi="ar"/>
              </w:rPr>
              <w:t>8.5</w:t>
            </w:r>
            <w:r>
              <w:rPr>
                <w:rFonts w:hint="eastAsia" w:ascii="宋体" w:hAnsi="宋体" w:cs="宋体"/>
                <w:color w:val="000000"/>
                <w:kern w:val="0"/>
                <w:szCs w:val="21"/>
                <w:u w:val="none"/>
                <w:lang w:bidi="ar"/>
              </w:rPr>
              <w:t>光通量≥13000lm（</w:t>
            </w:r>
            <w:r>
              <w:rPr>
                <w:rFonts w:hint="eastAsia" w:ascii="宋体" w:hAnsi="宋体" w:cs="宋体"/>
                <w:color w:val="000000"/>
                <w:kern w:val="0"/>
                <w:szCs w:val="21"/>
                <w:u w:val="none"/>
                <w:lang w:eastAsia="zh-CN" w:bidi="ar"/>
              </w:rPr>
              <w:t>投标文件中提供具有CMA或CNAS标志的第三方检测报告扫描件并加盖投标人公章</w:t>
            </w:r>
            <w:r>
              <w:rPr>
                <w:rFonts w:hint="eastAsia" w:ascii="宋体" w:hAnsi="宋体" w:cs="宋体"/>
                <w:color w:val="000000"/>
                <w:kern w:val="0"/>
                <w:szCs w:val="21"/>
                <w:u w:val="none"/>
                <w:lang w:bidi="ar"/>
              </w:rPr>
              <w:t>）</w:t>
            </w:r>
          </w:p>
          <w:p w14:paraId="58C12F34">
            <w:pPr>
              <w:keepNext w:val="0"/>
              <w:keepLines w:val="0"/>
              <w:widowControl/>
              <w:suppressLineNumbers w:val="0"/>
              <w:spacing w:line="240" w:lineRule="auto"/>
              <w:jc w:val="left"/>
              <w:textAlignment w:val="center"/>
              <w:rPr>
                <w:rFonts w:hint="eastAsia" w:ascii="宋体" w:hAnsi="宋体" w:cs="宋体"/>
                <w:color w:val="000000"/>
                <w:kern w:val="0"/>
                <w:szCs w:val="21"/>
                <w:u w:val="none"/>
                <w:lang w:bidi="ar"/>
              </w:rPr>
            </w:pPr>
            <w:r>
              <w:rPr>
                <w:rFonts w:hint="eastAsia" w:ascii="宋体" w:hAnsi="宋体" w:cs="宋体"/>
                <w:color w:val="000000"/>
                <w:kern w:val="0"/>
                <w:szCs w:val="21"/>
                <w:u w:val="none"/>
                <w:lang w:val="en-US" w:eastAsia="zh-CN" w:bidi="ar"/>
              </w:rPr>
              <w:t>8.6</w:t>
            </w:r>
            <w:r>
              <w:rPr>
                <w:rFonts w:hint="eastAsia" w:ascii="宋体" w:hAnsi="宋体" w:cs="宋体"/>
                <w:color w:val="000000"/>
                <w:kern w:val="0"/>
                <w:szCs w:val="21"/>
                <w:u w:val="none"/>
                <w:lang w:bidi="ar"/>
              </w:rPr>
              <w:t>光效：≥108lm/W</w:t>
            </w:r>
          </w:p>
          <w:p w14:paraId="22814191">
            <w:pPr>
              <w:keepNext w:val="0"/>
              <w:keepLines w:val="0"/>
              <w:widowControl/>
              <w:suppressLineNumbers w:val="0"/>
              <w:spacing w:line="240" w:lineRule="auto"/>
              <w:jc w:val="left"/>
              <w:textAlignment w:val="center"/>
              <w:rPr>
                <w:rFonts w:hint="eastAsia" w:ascii="宋体" w:hAnsi="宋体" w:cs="宋体"/>
                <w:color w:val="000000"/>
                <w:kern w:val="0"/>
                <w:szCs w:val="21"/>
                <w:u w:val="none"/>
                <w:lang w:bidi="ar"/>
              </w:rPr>
            </w:pPr>
            <w:r>
              <w:rPr>
                <w:rFonts w:hint="eastAsia" w:ascii="宋体" w:hAnsi="宋体" w:cs="宋体"/>
                <w:color w:val="000000"/>
                <w:kern w:val="0"/>
                <w:szCs w:val="21"/>
                <w:u w:val="none"/>
                <w:lang w:val="en-US" w:eastAsia="zh-CN" w:bidi="ar"/>
              </w:rPr>
              <w:t>8.7</w:t>
            </w:r>
            <w:r>
              <w:rPr>
                <w:rFonts w:hint="eastAsia" w:ascii="宋体" w:hAnsi="宋体" w:cs="宋体"/>
                <w:color w:val="000000"/>
                <w:kern w:val="0"/>
                <w:szCs w:val="21"/>
                <w:u w:val="none"/>
                <w:lang w:bidi="ar"/>
              </w:rPr>
              <w:t>照明角度：≥15°</w:t>
            </w:r>
          </w:p>
          <w:p w14:paraId="25D802B2">
            <w:pPr>
              <w:keepNext w:val="0"/>
              <w:keepLines w:val="0"/>
              <w:widowControl/>
              <w:suppressLineNumbers w:val="0"/>
              <w:spacing w:line="240" w:lineRule="auto"/>
              <w:jc w:val="left"/>
              <w:textAlignment w:val="center"/>
              <w:rPr>
                <w:rFonts w:hint="eastAsia" w:ascii="宋体" w:hAnsi="宋体" w:cs="宋体"/>
                <w:color w:val="000000"/>
                <w:kern w:val="0"/>
                <w:szCs w:val="21"/>
                <w:u w:val="none"/>
                <w:lang w:bidi="ar"/>
              </w:rPr>
            </w:pPr>
            <w:r>
              <w:rPr>
                <w:rFonts w:hint="eastAsia" w:ascii="宋体" w:hAnsi="宋体" w:cs="宋体"/>
                <w:color w:val="000000"/>
                <w:kern w:val="0"/>
                <w:szCs w:val="21"/>
                <w:u w:val="none"/>
                <w:lang w:val="en-US" w:eastAsia="zh-CN" w:bidi="ar"/>
              </w:rPr>
              <w:t xml:space="preserve">8.8 </w:t>
            </w:r>
            <w:r>
              <w:rPr>
                <w:rFonts w:hint="eastAsia" w:ascii="宋体" w:hAnsi="宋体" w:cs="宋体"/>
                <w:color w:val="000000"/>
                <w:kern w:val="0"/>
                <w:szCs w:val="21"/>
                <w:u w:val="none"/>
                <w:lang w:bidi="ar"/>
              </w:rPr>
              <w:t>50m处中心光照度：≥85lux，探照面积≥130㎡（</w:t>
            </w:r>
            <w:r>
              <w:rPr>
                <w:rFonts w:hint="eastAsia" w:ascii="宋体" w:hAnsi="宋体" w:cs="宋体"/>
                <w:color w:val="000000"/>
                <w:kern w:val="0"/>
                <w:szCs w:val="21"/>
                <w:u w:val="none"/>
                <w:lang w:eastAsia="zh-CN" w:bidi="ar"/>
              </w:rPr>
              <w:t>投标文件中提供具有CMA或CNAS标志的第三方检测报告扫描件并加盖投标人公章</w:t>
            </w:r>
            <w:r>
              <w:rPr>
                <w:rFonts w:hint="eastAsia" w:ascii="宋体" w:hAnsi="宋体" w:cs="宋体"/>
                <w:color w:val="000000"/>
                <w:kern w:val="0"/>
                <w:szCs w:val="21"/>
                <w:u w:val="none"/>
                <w:lang w:bidi="ar"/>
              </w:rPr>
              <w:t>）</w:t>
            </w:r>
          </w:p>
          <w:p w14:paraId="277F45AB">
            <w:pPr>
              <w:keepNext w:val="0"/>
              <w:keepLines w:val="0"/>
              <w:widowControl/>
              <w:suppressLineNumbers w:val="0"/>
              <w:spacing w:line="240" w:lineRule="auto"/>
              <w:jc w:val="left"/>
              <w:textAlignment w:val="center"/>
              <w:rPr>
                <w:rFonts w:hint="eastAsia" w:ascii="宋体" w:hAnsi="宋体" w:cs="宋体"/>
                <w:color w:val="000000"/>
                <w:kern w:val="0"/>
                <w:szCs w:val="21"/>
                <w:u w:val="none"/>
                <w:lang w:bidi="ar"/>
              </w:rPr>
            </w:pPr>
            <w:r>
              <w:rPr>
                <w:rFonts w:hint="eastAsia" w:ascii="宋体" w:hAnsi="宋体" w:cs="宋体"/>
                <w:color w:val="000000"/>
                <w:kern w:val="0"/>
                <w:szCs w:val="21"/>
                <w:u w:val="none"/>
                <w:lang w:val="en-US" w:eastAsia="zh-CN" w:bidi="ar"/>
              </w:rPr>
              <w:t xml:space="preserve">8.9 </w:t>
            </w:r>
            <w:r>
              <w:rPr>
                <w:rFonts w:hint="eastAsia" w:ascii="宋体" w:hAnsi="宋体" w:cs="宋体"/>
                <w:color w:val="000000"/>
                <w:kern w:val="0"/>
                <w:szCs w:val="21"/>
                <w:u w:val="none"/>
                <w:lang w:bidi="ar"/>
              </w:rPr>
              <w:t>100m处中心光照度：≥23lux，探照面积≥540㎡（</w:t>
            </w:r>
            <w:r>
              <w:rPr>
                <w:rFonts w:hint="eastAsia" w:ascii="宋体" w:hAnsi="宋体" w:cs="宋体"/>
                <w:color w:val="000000"/>
                <w:kern w:val="0"/>
                <w:szCs w:val="21"/>
                <w:u w:val="none"/>
                <w:lang w:eastAsia="zh-CN" w:bidi="ar"/>
              </w:rPr>
              <w:t>投标文件中提供具有CMA或CNAS标志的第三方检测报告扫描件并加盖投标人公章</w:t>
            </w:r>
            <w:r>
              <w:rPr>
                <w:rFonts w:hint="eastAsia" w:ascii="宋体" w:hAnsi="宋体" w:cs="宋体"/>
                <w:color w:val="000000"/>
                <w:kern w:val="0"/>
                <w:szCs w:val="21"/>
                <w:u w:val="none"/>
                <w:lang w:bidi="ar"/>
              </w:rPr>
              <w:t>）</w:t>
            </w:r>
          </w:p>
          <w:p w14:paraId="3BD772A2">
            <w:pPr>
              <w:keepNext w:val="0"/>
              <w:keepLines w:val="0"/>
              <w:widowControl/>
              <w:suppressLineNumbers w:val="0"/>
              <w:spacing w:line="240" w:lineRule="auto"/>
              <w:jc w:val="left"/>
              <w:textAlignment w:val="center"/>
              <w:rPr>
                <w:rFonts w:hint="eastAsia" w:ascii="宋体" w:hAnsi="宋体" w:cs="宋体"/>
                <w:color w:val="000000"/>
                <w:kern w:val="0"/>
                <w:szCs w:val="21"/>
                <w:u w:val="none"/>
                <w:lang w:bidi="ar"/>
              </w:rPr>
            </w:pPr>
            <w:r>
              <w:rPr>
                <w:rFonts w:hint="eastAsia" w:ascii="宋体" w:hAnsi="宋体" w:cs="宋体"/>
                <w:color w:val="000000"/>
                <w:kern w:val="0"/>
                <w:szCs w:val="21"/>
                <w:u w:val="none"/>
                <w:lang w:val="en-US" w:eastAsia="zh-CN" w:bidi="ar"/>
              </w:rPr>
              <w:t>8.10</w:t>
            </w:r>
            <w:r>
              <w:rPr>
                <w:rFonts w:hint="eastAsia" w:ascii="宋体" w:hAnsi="宋体" w:cs="宋体"/>
                <w:color w:val="000000"/>
                <w:kern w:val="0"/>
                <w:szCs w:val="21"/>
                <w:u w:val="none"/>
                <w:lang w:bidi="ar"/>
              </w:rPr>
              <w:t>控制角度：俯仰-95°~ +20°，水平：±90°</w:t>
            </w:r>
          </w:p>
          <w:p w14:paraId="51133929">
            <w:pPr>
              <w:keepNext w:val="0"/>
              <w:keepLines w:val="0"/>
              <w:widowControl/>
              <w:suppressLineNumbers w:val="0"/>
              <w:spacing w:line="240" w:lineRule="auto"/>
              <w:jc w:val="left"/>
              <w:textAlignment w:val="center"/>
              <w:rPr>
                <w:rFonts w:hint="eastAsia" w:ascii="宋体" w:hAnsi="宋体" w:cs="宋体"/>
                <w:color w:val="000000"/>
                <w:kern w:val="0"/>
                <w:szCs w:val="21"/>
                <w:u w:val="none"/>
                <w:lang w:bidi="ar"/>
              </w:rPr>
            </w:pPr>
            <w:r>
              <w:rPr>
                <w:rFonts w:hint="eastAsia" w:ascii="宋体" w:hAnsi="宋体" w:cs="宋体"/>
                <w:color w:val="000000"/>
                <w:kern w:val="0"/>
                <w:szCs w:val="21"/>
                <w:u w:val="none"/>
                <w:lang w:bidi="ar"/>
              </w:rPr>
              <w:t>供电方式：无人机云台接口供电</w:t>
            </w:r>
          </w:p>
          <w:p w14:paraId="1BC6B52E">
            <w:pPr>
              <w:keepNext w:val="0"/>
              <w:keepLines w:val="0"/>
              <w:widowControl/>
              <w:suppressLineNumbers w:val="0"/>
              <w:spacing w:line="240" w:lineRule="auto"/>
              <w:jc w:val="left"/>
              <w:textAlignment w:val="center"/>
              <w:rPr>
                <w:rFonts w:hint="eastAsia" w:ascii="宋体" w:hAnsi="宋体" w:cs="宋体"/>
                <w:color w:val="000000"/>
                <w:kern w:val="0"/>
                <w:szCs w:val="21"/>
                <w:u w:val="none"/>
                <w:lang w:bidi="ar"/>
              </w:rPr>
            </w:pPr>
            <w:r>
              <w:rPr>
                <w:rFonts w:hint="eastAsia" w:ascii="宋体" w:hAnsi="宋体" w:cs="宋体"/>
                <w:color w:val="000000"/>
                <w:kern w:val="0"/>
                <w:szCs w:val="21"/>
                <w:u w:val="none"/>
                <w:lang w:val="en-US" w:eastAsia="zh-CN" w:bidi="ar"/>
              </w:rPr>
              <w:t>8.11</w:t>
            </w:r>
            <w:r>
              <w:rPr>
                <w:rFonts w:hint="eastAsia" w:ascii="宋体" w:hAnsi="宋体" w:cs="宋体"/>
                <w:color w:val="000000"/>
                <w:kern w:val="0"/>
                <w:szCs w:val="21"/>
                <w:u w:val="none"/>
                <w:lang w:bidi="ar"/>
              </w:rPr>
              <w:t>通信链路：无人机链路</w:t>
            </w:r>
          </w:p>
          <w:p w14:paraId="41DC9742">
            <w:pPr>
              <w:keepNext w:val="0"/>
              <w:keepLines w:val="0"/>
              <w:widowControl/>
              <w:suppressLineNumbers w:val="0"/>
              <w:spacing w:line="240" w:lineRule="auto"/>
              <w:jc w:val="left"/>
              <w:textAlignment w:val="center"/>
              <w:rPr>
                <w:rFonts w:hint="eastAsia" w:ascii="宋体" w:hAnsi="宋体" w:cs="宋体"/>
                <w:color w:val="000000"/>
                <w:kern w:val="0"/>
                <w:szCs w:val="21"/>
                <w:u w:val="none"/>
                <w:lang w:bidi="ar"/>
              </w:rPr>
            </w:pPr>
            <w:r>
              <w:rPr>
                <w:rFonts w:hint="eastAsia" w:ascii="宋体" w:hAnsi="宋体" w:cs="宋体"/>
                <w:color w:val="000000"/>
                <w:kern w:val="0"/>
                <w:szCs w:val="21"/>
                <w:u w:val="none"/>
                <w:lang w:val="en-US" w:eastAsia="zh-CN" w:bidi="ar"/>
              </w:rPr>
              <w:t>8.12</w:t>
            </w:r>
            <w:r>
              <w:rPr>
                <w:rFonts w:hint="eastAsia" w:ascii="宋体" w:hAnsi="宋体" w:cs="宋体"/>
                <w:color w:val="000000"/>
                <w:kern w:val="0"/>
                <w:szCs w:val="21"/>
                <w:u w:val="none"/>
                <w:lang w:bidi="ar"/>
              </w:rPr>
              <w:t>载荷接口：快拆接口</w:t>
            </w:r>
          </w:p>
          <w:p w14:paraId="105A5AC9">
            <w:pPr>
              <w:keepNext w:val="0"/>
              <w:keepLines w:val="0"/>
              <w:widowControl/>
              <w:suppressLineNumbers w:val="0"/>
              <w:spacing w:line="240" w:lineRule="auto"/>
              <w:jc w:val="left"/>
              <w:textAlignment w:val="center"/>
              <w:rPr>
                <w:rFonts w:hint="eastAsia" w:ascii="宋体" w:hAnsi="宋体" w:cs="宋体"/>
                <w:color w:val="000000"/>
                <w:kern w:val="0"/>
                <w:szCs w:val="21"/>
                <w:u w:val="none"/>
                <w:lang w:bidi="ar"/>
              </w:rPr>
            </w:pPr>
            <w:r>
              <w:rPr>
                <w:rFonts w:hint="eastAsia" w:ascii="宋体" w:hAnsi="宋体" w:cs="宋体"/>
                <w:color w:val="000000"/>
                <w:kern w:val="0"/>
                <w:szCs w:val="21"/>
                <w:u w:val="none"/>
                <w:lang w:val="en-US" w:eastAsia="zh-CN" w:bidi="ar"/>
              </w:rPr>
              <w:t>8.13</w:t>
            </w:r>
            <w:r>
              <w:rPr>
                <w:rFonts w:hint="eastAsia" w:ascii="宋体" w:hAnsi="宋体" w:cs="宋体"/>
                <w:color w:val="000000"/>
                <w:kern w:val="0"/>
                <w:szCs w:val="21"/>
                <w:u w:val="none"/>
                <w:lang w:bidi="ar"/>
              </w:rPr>
              <w:t>控制距离：与无人机控制距离相同</w:t>
            </w:r>
          </w:p>
          <w:p w14:paraId="5DC7E85D">
            <w:pPr>
              <w:keepNext w:val="0"/>
              <w:keepLines w:val="0"/>
              <w:widowControl/>
              <w:suppressLineNumbers w:val="0"/>
              <w:spacing w:line="240" w:lineRule="auto"/>
              <w:jc w:val="left"/>
              <w:textAlignment w:val="center"/>
              <w:rPr>
                <w:rFonts w:hint="eastAsia" w:ascii="宋体" w:hAnsi="宋体" w:cs="宋体"/>
                <w:color w:val="000000"/>
                <w:kern w:val="0"/>
                <w:szCs w:val="21"/>
                <w:u w:val="none"/>
                <w:lang w:bidi="ar"/>
              </w:rPr>
            </w:pPr>
            <w:r>
              <w:rPr>
                <w:rFonts w:hint="eastAsia" w:ascii="宋体" w:hAnsi="宋体" w:cs="宋体"/>
                <w:color w:val="000000"/>
                <w:kern w:val="0"/>
                <w:szCs w:val="21"/>
                <w:u w:val="none"/>
                <w:lang w:val="en-US" w:eastAsia="zh-CN" w:bidi="ar"/>
              </w:rPr>
              <w:t>8.14</w:t>
            </w:r>
            <w:r>
              <w:rPr>
                <w:rFonts w:hint="eastAsia" w:ascii="宋体" w:hAnsi="宋体" w:cs="宋体"/>
                <w:color w:val="000000"/>
                <w:kern w:val="0"/>
                <w:szCs w:val="21"/>
                <w:u w:val="none"/>
                <w:lang w:bidi="ar"/>
              </w:rPr>
              <w:t>工作模式（包含但不局限）：常亮、爆闪，锁定目标跟随，亮度调节，云台角度调节</w:t>
            </w:r>
          </w:p>
          <w:p w14:paraId="79BE5968">
            <w:pPr>
              <w:keepNext w:val="0"/>
              <w:keepLines w:val="0"/>
              <w:widowControl/>
              <w:suppressLineNumbers w:val="0"/>
              <w:spacing w:line="240" w:lineRule="auto"/>
              <w:jc w:val="left"/>
              <w:textAlignment w:val="center"/>
              <w:rPr>
                <w:rFonts w:hint="eastAsia" w:ascii="宋体" w:hAnsi="宋体" w:cs="宋体"/>
                <w:color w:val="000000"/>
                <w:kern w:val="0"/>
                <w:szCs w:val="21"/>
                <w:u w:val="none"/>
                <w:lang w:bidi="ar"/>
              </w:rPr>
            </w:pPr>
            <w:r>
              <w:rPr>
                <w:rFonts w:hint="eastAsia" w:ascii="宋体" w:hAnsi="宋体" w:cs="宋体"/>
                <w:color w:val="000000"/>
                <w:kern w:val="0"/>
                <w:szCs w:val="21"/>
                <w:u w:val="none"/>
                <w:lang w:bidi="ar"/>
              </w:rPr>
              <w:t>★</w:t>
            </w:r>
            <w:r>
              <w:rPr>
                <w:rFonts w:hint="eastAsia" w:ascii="宋体" w:hAnsi="宋体" w:cs="宋体"/>
                <w:color w:val="000000"/>
                <w:kern w:val="0"/>
                <w:szCs w:val="21"/>
                <w:u w:val="none"/>
                <w:lang w:val="en-US" w:eastAsia="zh-CN" w:bidi="ar"/>
              </w:rPr>
              <w:t>8.15</w:t>
            </w:r>
            <w:r>
              <w:rPr>
                <w:rFonts w:hint="eastAsia" w:ascii="宋体" w:hAnsi="宋体" w:cs="宋体"/>
                <w:color w:val="000000"/>
                <w:kern w:val="0"/>
                <w:szCs w:val="21"/>
                <w:u w:val="none"/>
                <w:lang w:bidi="ar"/>
              </w:rPr>
              <w:t>工作温度：-20°C-+50°C（</w:t>
            </w:r>
            <w:r>
              <w:rPr>
                <w:rFonts w:hint="eastAsia" w:ascii="宋体" w:hAnsi="宋体" w:cs="宋体"/>
                <w:color w:val="000000"/>
                <w:kern w:val="0"/>
                <w:szCs w:val="21"/>
                <w:u w:val="none"/>
                <w:lang w:eastAsia="zh-CN" w:bidi="ar"/>
              </w:rPr>
              <w:t>投标文件中提供具有CMA或CNAS标志的第三方检测报告扫描件并加盖投标人公章</w:t>
            </w:r>
            <w:r>
              <w:rPr>
                <w:rFonts w:hint="eastAsia" w:ascii="宋体" w:hAnsi="宋体" w:cs="宋体"/>
                <w:color w:val="000000"/>
                <w:kern w:val="0"/>
                <w:szCs w:val="21"/>
                <w:u w:val="none"/>
                <w:lang w:bidi="ar"/>
              </w:rPr>
              <w:t>）</w:t>
            </w:r>
          </w:p>
          <w:p w14:paraId="58E214E6">
            <w:pPr>
              <w:keepNext w:val="0"/>
              <w:keepLines w:val="0"/>
              <w:widowControl/>
              <w:suppressLineNumbers w:val="0"/>
              <w:spacing w:line="240" w:lineRule="auto"/>
              <w:jc w:val="left"/>
              <w:textAlignment w:val="center"/>
              <w:rPr>
                <w:rFonts w:hint="eastAsia" w:ascii="宋体" w:hAnsi="宋体" w:cs="宋体"/>
                <w:color w:val="000000"/>
                <w:kern w:val="0"/>
                <w:szCs w:val="21"/>
                <w:u w:val="none"/>
                <w:lang w:bidi="ar"/>
              </w:rPr>
            </w:pPr>
            <w:r>
              <w:rPr>
                <w:rFonts w:hint="eastAsia" w:ascii="宋体" w:hAnsi="宋体" w:cs="宋体"/>
                <w:color w:val="000000"/>
                <w:kern w:val="0"/>
                <w:szCs w:val="21"/>
                <w:u w:val="none"/>
                <w:lang w:bidi="ar"/>
              </w:rPr>
              <w:t>9、空吊系统：</w:t>
            </w:r>
          </w:p>
          <w:p w14:paraId="6FC428EA">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9.1</w:t>
            </w:r>
            <w:r>
              <w:rPr>
                <w:rFonts w:hint="eastAsia" w:ascii="宋体" w:hAnsi="宋体" w:cs="宋体"/>
                <w:color w:val="000000"/>
                <w:kern w:val="0"/>
                <w:szCs w:val="21"/>
                <w:u w:val="none"/>
                <w:lang w:bidi="ar"/>
              </w:rPr>
              <w:t>尺寸：（252±10）mm×（195±10）mm×（193±10）mm（L×W×H）</w:t>
            </w:r>
            <w:r>
              <w:rPr>
                <w:rFonts w:hint="eastAsia" w:ascii="宋体" w:hAnsi="宋体" w:cs="宋体"/>
                <w:color w:val="000000"/>
                <w:kern w:val="0"/>
                <w:szCs w:val="21"/>
                <w:u w:val="none"/>
                <w:lang w:eastAsia="zh-CN" w:bidi="ar"/>
              </w:rPr>
              <w:t>；</w:t>
            </w:r>
          </w:p>
          <w:p w14:paraId="6457CF69">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9.2</w:t>
            </w:r>
            <w:r>
              <w:rPr>
                <w:rFonts w:hint="eastAsia" w:ascii="宋体" w:hAnsi="宋体" w:cs="宋体"/>
                <w:color w:val="000000"/>
                <w:kern w:val="0"/>
                <w:szCs w:val="21"/>
                <w:u w:val="none"/>
                <w:lang w:bidi="ar"/>
              </w:rPr>
              <w:t>裸机重量（无配件，不含电池）应在 2500 g±100 g 范围内</w:t>
            </w:r>
            <w:r>
              <w:rPr>
                <w:rFonts w:hint="eastAsia" w:ascii="宋体" w:hAnsi="宋体" w:cs="宋体"/>
                <w:color w:val="000000"/>
                <w:kern w:val="0"/>
                <w:szCs w:val="21"/>
                <w:u w:val="none"/>
                <w:lang w:eastAsia="zh-CN" w:bidi="ar"/>
              </w:rPr>
              <w:t>；</w:t>
            </w:r>
          </w:p>
          <w:p w14:paraId="677C3544">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val="en-US" w:eastAsia="zh-CN" w:bidi="ar"/>
              </w:rPr>
              <w:t>9.3</w:t>
            </w:r>
            <w:r>
              <w:rPr>
                <w:rFonts w:hint="eastAsia" w:ascii="宋体" w:hAnsi="宋体" w:cs="宋体"/>
                <w:color w:val="000000"/>
                <w:kern w:val="0"/>
                <w:szCs w:val="21"/>
                <w:u w:val="none"/>
                <w:lang w:bidi="ar"/>
              </w:rPr>
              <w:t>在空吊模式下，当货物从空中下降到接触地面时，挂钩可以自动打开</w:t>
            </w:r>
            <w:r>
              <w:rPr>
                <w:rFonts w:hint="eastAsia" w:ascii="宋体" w:hAnsi="宋体" w:cs="宋体"/>
                <w:color w:val="000000"/>
                <w:kern w:val="0"/>
                <w:szCs w:val="21"/>
                <w:u w:val="none"/>
                <w:lang w:eastAsia="zh-CN" w:bidi="ar"/>
              </w:rPr>
              <w:t>；</w:t>
            </w:r>
          </w:p>
          <w:p w14:paraId="1F3537A0">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bidi="ar"/>
              </w:rPr>
              <w:t>10、电池：电池容量 ：≥38000 mAh 电池类型：14S1P 三元锂</w:t>
            </w:r>
            <w:r>
              <w:rPr>
                <w:rFonts w:hint="eastAsia" w:ascii="宋体" w:hAnsi="宋体" w:cs="宋体"/>
                <w:color w:val="000000"/>
                <w:kern w:val="0"/>
                <w:szCs w:val="21"/>
                <w:u w:val="none"/>
                <w:lang w:eastAsia="zh-CN" w:bidi="ar"/>
              </w:rPr>
              <w:t>；</w:t>
            </w:r>
          </w:p>
          <w:p w14:paraId="74C02CCD">
            <w:pPr>
              <w:keepNext w:val="0"/>
              <w:keepLines w:val="0"/>
              <w:widowControl/>
              <w:suppressLineNumbers w:val="0"/>
              <w:spacing w:line="240" w:lineRule="auto"/>
              <w:jc w:val="left"/>
              <w:textAlignment w:val="center"/>
              <w:rPr>
                <w:rFonts w:hint="eastAsia" w:ascii="宋体" w:hAnsi="宋体" w:eastAsia="宋体" w:cs="宋体"/>
                <w:color w:val="000000"/>
                <w:kern w:val="0"/>
                <w:szCs w:val="21"/>
                <w:u w:val="none"/>
                <w:lang w:eastAsia="zh-CN" w:bidi="ar"/>
              </w:rPr>
            </w:pPr>
            <w:r>
              <w:rPr>
                <w:rFonts w:hint="eastAsia" w:ascii="宋体" w:hAnsi="宋体" w:cs="宋体"/>
                <w:color w:val="000000"/>
                <w:kern w:val="0"/>
                <w:szCs w:val="21"/>
                <w:u w:val="none"/>
                <w:lang w:bidi="ar"/>
              </w:rPr>
              <w:t>11、发电机：不小于30KW</w:t>
            </w:r>
            <w:r>
              <w:rPr>
                <w:rFonts w:hint="eastAsia" w:ascii="宋体" w:hAnsi="宋体" w:cs="宋体"/>
                <w:color w:val="000000"/>
                <w:kern w:val="0"/>
                <w:szCs w:val="21"/>
                <w:u w:val="none"/>
                <w:lang w:eastAsia="zh-CN" w:bidi="ar"/>
              </w:rPr>
              <w:t>；</w:t>
            </w:r>
          </w:p>
          <w:p w14:paraId="3D808F96">
            <w:pPr>
              <w:widowControl/>
              <w:jc w:val="left"/>
              <w:textAlignment w:val="center"/>
              <w:rPr>
                <w:rFonts w:hint="eastAsia" w:eastAsia="宋体"/>
                <w:lang w:val="en-US" w:eastAsia="zh-CN"/>
              </w:rPr>
            </w:pPr>
            <w:r>
              <w:rPr>
                <w:rFonts w:hint="eastAsia" w:ascii="宋体" w:hAnsi="宋体" w:cs="宋体"/>
                <w:color w:val="000000"/>
                <w:kern w:val="0"/>
                <w:szCs w:val="21"/>
                <w:u w:val="none"/>
                <w:lang w:val="en-US" w:eastAsia="zh-CN" w:bidi="ar"/>
              </w:rPr>
              <w:t>12、</w:t>
            </w:r>
            <w:r>
              <w:rPr>
                <w:rFonts w:hint="eastAsia" w:ascii="宋体" w:hAnsi="宋体" w:cs="宋体"/>
                <w:color w:val="000000"/>
                <w:kern w:val="0"/>
                <w:szCs w:val="21"/>
                <w:u w:val="none"/>
                <w:lang w:bidi="ar"/>
              </w:rPr>
              <w:t>以上设备3年质保，3年设备及第三方责任保险</w:t>
            </w:r>
            <w:r>
              <w:rPr>
                <w:rFonts w:hint="eastAsia" w:ascii="宋体" w:hAnsi="宋体" w:cs="宋体"/>
                <w:color w:val="000000"/>
                <w:kern w:val="0"/>
                <w:szCs w:val="21"/>
                <w:u w:val="none"/>
                <w:lang w:eastAsia="zh-CN" w:bidi="ar"/>
              </w:rPr>
              <w:t>。</w:t>
            </w: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22A6B2C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06ED68C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99F2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77" w:type="pct"/>
            <w:tcBorders>
              <w:top w:val="single" w:color="000000" w:sz="4" w:space="0"/>
              <w:left w:val="single" w:color="000000" w:sz="4" w:space="0"/>
              <w:bottom w:val="single" w:color="000000" w:sz="4" w:space="0"/>
              <w:right w:val="single" w:color="000000" w:sz="4" w:space="0"/>
            </w:tcBorders>
            <w:noWrap/>
            <w:vAlign w:val="center"/>
          </w:tcPr>
          <w:p w14:paraId="243425B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7" w:type="pct"/>
            <w:tcBorders>
              <w:top w:val="single" w:color="000000" w:sz="4" w:space="0"/>
              <w:left w:val="single" w:color="000000" w:sz="4" w:space="0"/>
              <w:bottom w:val="single" w:color="000000" w:sz="4" w:space="0"/>
              <w:right w:val="single" w:color="000000" w:sz="4" w:space="0"/>
            </w:tcBorders>
            <w:noWrap w:val="0"/>
            <w:vAlign w:val="center"/>
          </w:tcPr>
          <w:p w14:paraId="0076F2C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北仑区综合应急救援队</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0451166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救援无人机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（灭火无人机）</w:t>
            </w:r>
          </w:p>
        </w:tc>
        <w:tc>
          <w:tcPr>
            <w:tcW w:w="2269" w:type="pct"/>
            <w:vMerge w:val="continue"/>
            <w:tcBorders>
              <w:left w:val="single" w:color="000000" w:sz="4" w:space="0"/>
              <w:right w:val="single" w:color="000000" w:sz="4" w:space="0"/>
            </w:tcBorders>
            <w:noWrap w:val="0"/>
            <w:vAlign w:val="center"/>
          </w:tcPr>
          <w:p w14:paraId="258DD58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194D18F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2C9C6FE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11A6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77" w:type="pct"/>
            <w:tcBorders>
              <w:top w:val="single" w:color="000000" w:sz="4" w:space="0"/>
              <w:left w:val="single" w:color="000000" w:sz="4" w:space="0"/>
              <w:bottom w:val="single" w:color="000000" w:sz="4" w:space="0"/>
              <w:right w:val="single" w:color="000000" w:sz="4" w:space="0"/>
            </w:tcBorders>
            <w:noWrap/>
            <w:vAlign w:val="center"/>
          </w:tcPr>
          <w:p w14:paraId="01A805E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757" w:type="pct"/>
            <w:tcBorders>
              <w:top w:val="single" w:color="000000" w:sz="4" w:space="0"/>
              <w:left w:val="single" w:color="000000" w:sz="4" w:space="0"/>
              <w:bottom w:val="single" w:color="000000" w:sz="4" w:space="0"/>
              <w:right w:val="single" w:color="000000" w:sz="4" w:space="0"/>
            </w:tcBorders>
            <w:noWrap w:val="0"/>
            <w:vAlign w:val="center"/>
          </w:tcPr>
          <w:p w14:paraId="532070B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镇海区综合应急救援队</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3189D19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救援无人机（灭火无人机）</w:t>
            </w:r>
          </w:p>
        </w:tc>
        <w:tc>
          <w:tcPr>
            <w:tcW w:w="2269" w:type="pct"/>
            <w:vMerge w:val="continue"/>
            <w:tcBorders>
              <w:left w:val="single" w:color="000000" w:sz="4" w:space="0"/>
              <w:right w:val="single" w:color="000000" w:sz="4" w:space="0"/>
            </w:tcBorders>
            <w:noWrap w:val="0"/>
            <w:vAlign w:val="center"/>
          </w:tcPr>
          <w:p w14:paraId="1A0DA746">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61D63DC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7E50E01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4813A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D77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0137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鄞州区综合救援队</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5B49B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救援无人机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（灭火无人机）</w:t>
            </w:r>
          </w:p>
        </w:tc>
        <w:tc>
          <w:tcPr>
            <w:tcW w:w="2269" w:type="pct"/>
            <w:vMerge w:val="continue"/>
            <w:tcBorders>
              <w:left w:val="single" w:color="000000" w:sz="4" w:space="0"/>
              <w:right w:val="single" w:color="000000" w:sz="4" w:space="0"/>
            </w:tcBorders>
            <w:shd w:val="clear" w:color="auto" w:fill="FFFFFF"/>
            <w:noWrap w:val="0"/>
            <w:vAlign w:val="center"/>
          </w:tcPr>
          <w:p w14:paraId="27AAFC9C">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9012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0D09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70BC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8A35">
            <w:pPr>
              <w:keepNext w:val="0"/>
              <w:keepLines w:val="0"/>
              <w:widowControl/>
              <w:suppressLineNumbers w:val="0"/>
              <w:spacing w:line="24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31565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海曙区综合应急救援队</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004C1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救援无人机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（灭火无人机）</w:t>
            </w:r>
          </w:p>
        </w:tc>
        <w:tc>
          <w:tcPr>
            <w:tcW w:w="2269" w:type="pct"/>
            <w:vMerge w:val="continue"/>
            <w:tcBorders>
              <w:left w:val="single" w:color="000000" w:sz="4" w:space="0"/>
              <w:right w:val="single" w:color="000000" w:sz="4" w:space="0"/>
            </w:tcBorders>
            <w:shd w:val="clear" w:color="auto" w:fill="FFFFFF"/>
            <w:noWrap w:val="0"/>
            <w:vAlign w:val="center"/>
          </w:tcPr>
          <w:p w14:paraId="6453F9EB">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C72A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09EF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4117D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A665">
            <w:pPr>
              <w:keepNext w:val="0"/>
              <w:keepLines w:val="0"/>
              <w:widowControl/>
              <w:suppressLineNumbers w:val="0"/>
              <w:spacing w:line="24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7C70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象山县综合应急救援队</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ACF6B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救援无人机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（灭火无人机）</w:t>
            </w:r>
          </w:p>
        </w:tc>
        <w:tc>
          <w:tcPr>
            <w:tcW w:w="2269" w:type="pct"/>
            <w:vMerge w:val="continue"/>
            <w:tcBorders>
              <w:left w:val="single" w:color="000000" w:sz="4" w:space="0"/>
              <w:right w:val="single" w:color="000000" w:sz="4" w:space="0"/>
            </w:tcBorders>
            <w:shd w:val="clear" w:color="auto" w:fill="FFFFFF"/>
            <w:noWrap w:val="0"/>
            <w:vAlign w:val="center"/>
          </w:tcPr>
          <w:p w14:paraId="6713668F">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CDBA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4054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20601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7" w:type="pct"/>
            <w:tcBorders>
              <w:top w:val="single" w:color="000000" w:sz="4" w:space="0"/>
              <w:left w:val="single" w:color="000000" w:sz="4" w:space="0"/>
              <w:bottom w:val="single" w:color="000000" w:sz="4" w:space="0"/>
              <w:right w:val="single" w:color="000000" w:sz="4" w:space="0"/>
            </w:tcBorders>
            <w:noWrap/>
            <w:vAlign w:val="center"/>
          </w:tcPr>
          <w:p w14:paraId="5A0CA35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7</w:t>
            </w:r>
          </w:p>
        </w:tc>
        <w:tc>
          <w:tcPr>
            <w:tcW w:w="757" w:type="pct"/>
            <w:tcBorders>
              <w:top w:val="single" w:color="000000" w:sz="4" w:space="0"/>
              <w:left w:val="single" w:color="000000" w:sz="4" w:space="0"/>
              <w:bottom w:val="single" w:color="000000" w:sz="4" w:space="0"/>
              <w:right w:val="single" w:color="000000" w:sz="4" w:space="0"/>
            </w:tcBorders>
            <w:noWrap/>
            <w:vAlign w:val="center"/>
          </w:tcPr>
          <w:p w14:paraId="4093472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宁海县综合应急救援队</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58FBD26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救援无人机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（灭火无人机）</w:t>
            </w:r>
          </w:p>
        </w:tc>
        <w:tc>
          <w:tcPr>
            <w:tcW w:w="2269" w:type="pct"/>
            <w:vMerge w:val="continue"/>
            <w:tcBorders>
              <w:left w:val="single" w:color="000000" w:sz="4" w:space="0"/>
              <w:bottom w:val="single" w:color="000000" w:sz="4" w:space="0"/>
              <w:right w:val="single" w:color="000000" w:sz="4" w:space="0"/>
            </w:tcBorders>
            <w:noWrap w:val="0"/>
            <w:vAlign w:val="center"/>
          </w:tcPr>
          <w:p w14:paraId="491D9AD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125D1A9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566275B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B36E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77" w:type="pct"/>
            <w:tcBorders>
              <w:top w:val="single" w:color="000000" w:sz="4" w:space="0"/>
              <w:left w:val="single" w:color="000000" w:sz="4" w:space="0"/>
              <w:bottom w:val="single" w:color="000000" w:sz="4" w:space="0"/>
              <w:right w:val="single" w:color="000000" w:sz="4" w:space="0"/>
            </w:tcBorders>
            <w:noWrap/>
            <w:vAlign w:val="center"/>
          </w:tcPr>
          <w:p w14:paraId="5B335E3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757" w:type="pct"/>
            <w:tcBorders>
              <w:top w:val="single" w:color="000000" w:sz="4" w:space="0"/>
              <w:left w:val="single" w:color="000000" w:sz="4" w:space="0"/>
              <w:bottom w:val="single" w:color="000000" w:sz="4" w:space="0"/>
              <w:right w:val="single" w:color="000000" w:sz="4" w:space="0"/>
            </w:tcBorders>
            <w:noWrap w:val="0"/>
            <w:vAlign w:val="center"/>
          </w:tcPr>
          <w:p w14:paraId="58A611D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慈溪市综合应急救援队</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71757C0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救援无人机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（巡堤查险无人机）</w:t>
            </w:r>
          </w:p>
        </w:tc>
        <w:tc>
          <w:tcPr>
            <w:tcW w:w="2269" w:type="pct"/>
            <w:vMerge w:val="restart"/>
            <w:tcBorders>
              <w:top w:val="single" w:color="000000" w:sz="4" w:space="0"/>
              <w:left w:val="single" w:color="000000" w:sz="4" w:space="0"/>
              <w:right w:val="single" w:color="000000" w:sz="4" w:space="0"/>
            </w:tcBorders>
            <w:noWrap w:val="0"/>
            <w:vAlign w:val="center"/>
          </w:tcPr>
          <w:p w14:paraId="091EC0B4">
            <w:pPr>
              <w:widowControl/>
              <w:jc w:val="left"/>
              <w:textAlignment w:val="center"/>
              <w:rPr>
                <w:rFonts w:hint="eastAsia"/>
              </w:rPr>
            </w:pPr>
            <w:r>
              <w:rPr>
                <w:rFonts w:hint="eastAsia" w:ascii="宋体" w:hAnsi="宋体" w:eastAsia="宋体" w:cs="宋体"/>
                <w:i w:val="0"/>
                <w:iCs w:val="0"/>
                <w:color w:val="000000"/>
                <w:kern w:val="0"/>
                <w:sz w:val="21"/>
                <w:szCs w:val="21"/>
                <w:u w:val="none"/>
                <w:lang w:val="en-US" w:eastAsia="zh-CN" w:bidi="ar"/>
              </w:rPr>
              <w:t>含飞行器*1、遥控器*1、挂载设备*1、电池*1、设备防护箱*1、充电器*1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1、飞行器：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color w:val="auto"/>
                <w:kern w:val="0"/>
                <w:szCs w:val="21"/>
                <w:highlight w:val="none"/>
              </w:rPr>
              <w:t>★</w:t>
            </w: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机身结构采取模块化设计，免工具组装和快拆；</w:t>
            </w:r>
            <w:r>
              <w:rPr>
                <w:rFonts w:hint="eastAsia" w:ascii="宋体" w:hAnsi="宋体" w:cs="宋体"/>
                <w:color w:val="000000"/>
                <w:kern w:val="0"/>
                <w:szCs w:val="21"/>
                <w:u w:val="none"/>
                <w:lang w:bidi="ar"/>
              </w:rPr>
              <w:t>（投标文件中提供具有CMA或CNAS标志的第三方检测报告扫描件并加盖投标人公章）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起降方式：垂直起降；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1.3</w:t>
            </w:r>
            <w:r>
              <w:rPr>
                <w:rFonts w:hint="eastAsia" w:ascii="宋体" w:hAnsi="宋体" w:eastAsia="宋体" w:cs="宋体"/>
                <w:i w:val="0"/>
                <w:iCs w:val="0"/>
                <w:color w:val="000000"/>
                <w:kern w:val="0"/>
                <w:sz w:val="21"/>
                <w:szCs w:val="21"/>
                <w:u w:val="none"/>
                <w:lang w:val="en-US" w:eastAsia="zh-CN" w:bidi="ar"/>
              </w:rPr>
              <w:t>动力方式：倾转旋翼结构；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1.4</w:t>
            </w:r>
            <w:r>
              <w:rPr>
                <w:rFonts w:hint="eastAsia" w:ascii="宋体" w:hAnsi="宋体" w:eastAsia="宋体" w:cs="宋体"/>
                <w:i w:val="0"/>
                <w:iCs w:val="0"/>
                <w:color w:val="000000"/>
                <w:kern w:val="0"/>
                <w:sz w:val="21"/>
                <w:szCs w:val="21"/>
                <w:u w:val="none"/>
                <w:lang w:val="en-US" w:eastAsia="zh-CN" w:bidi="ar"/>
              </w:rPr>
              <w:t>翼展：≤2</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带载续航时间：≥1</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0min；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color w:val="auto"/>
                <w:kern w:val="0"/>
                <w:szCs w:val="21"/>
                <w:highlight w:val="none"/>
              </w:rPr>
              <w:t>★</w:t>
            </w:r>
            <w:r>
              <w:rPr>
                <w:rFonts w:hint="eastAsia" w:ascii="宋体" w:hAnsi="宋体" w:cs="宋体"/>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起飞总重量：≤</w:t>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kg；</w:t>
            </w:r>
            <w:r>
              <w:rPr>
                <w:rFonts w:hint="eastAsia" w:ascii="宋体" w:hAnsi="宋体" w:cs="宋体"/>
                <w:color w:val="000000"/>
                <w:kern w:val="0"/>
                <w:szCs w:val="21"/>
                <w:u w:val="none"/>
                <w:lang w:bidi="ar"/>
              </w:rPr>
              <w:t>（投标文件中提供具有CMA或CNAS标志的第三方检测报告扫描件并加盖投标人公章）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1.7</w:t>
            </w:r>
            <w:r>
              <w:rPr>
                <w:rFonts w:hint="eastAsia" w:ascii="宋体" w:hAnsi="宋体" w:eastAsia="宋体" w:cs="宋体"/>
                <w:i w:val="0"/>
                <w:iCs w:val="0"/>
                <w:color w:val="000000"/>
                <w:kern w:val="0"/>
                <w:sz w:val="21"/>
                <w:szCs w:val="21"/>
                <w:u w:val="none"/>
                <w:lang w:val="en-US" w:eastAsia="zh-CN" w:bidi="ar"/>
              </w:rPr>
              <w:t>在 RTK 定位时、水平误差 ≤2cm、垂直误差≤2 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1.8</w:t>
            </w:r>
            <w:r>
              <w:rPr>
                <w:rFonts w:hint="eastAsia" w:ascii="宋体" w:hAnsi="宋体" w:eastAsia="宋体" w:cs="宋体"/>
                <w:i w:val="0"/>
                <w:iCs w:val="0"/>
                <w:color w:val="000000"/>
                <w:kern w:val="0"/>
                <w:sz w:val="21"/>
                <w:szCs w:val="21"/>
                <w:u w:val="none"/>
                <w:lang w:val="en-US" w:eastAsia="zh-CN" w:bidi="ar"/>
              </w:rPr>
              <w:t>悬停精度：垂直≤± 0.1 m、水平≤± 0.3 m（视觉定位正常工作时）、≤± 1.5m（GPS正常工作时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1.9</w:t>
            </w:r>
            <w:r>
              <w:rPr>
                <w:rFonts w:hint="eastAsia" w:ascii="宋体" w:hAnsi="宋体" w:eastAsia="宋体" w:cs="宋体"/>
                <w:i w:val="0"/>
                <w:iCs w:val="0"/>
                <w:color w:val="000000"/>
                <w:kern w:val="0"/>
                <w:sz w:val="21"/>
                <w:szCs w:val="21"/>
                <w:u w:val="none"/>
                <w:lang w:val="en-US" w:eastAsia="zh-CN" w:bidi="ar"/>
              </w:rPr>
              <w:t>安全保护：低电自动返航、数传信号中断自动返航、GPS丢失后飞机自动原点降落；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1.10</w:t>
            </w:r>
            <w:r>
              <w:rPr>
                <w:rFonts w:hint="eastAsia" w:ascii="宋体" w:hAnsi="宋体" w:eastAsia="宋体" w:cs="宋体"/>
                <w:i w:val="0"/>
                <w:iCs w:val="0"/>
                <w:color w:val="000000"/>
                <w:kern w:val="0"/>
                <w:sz w:val="21"/>
                <w:szCs w:val="21"/>
                <w:u w:val="none"/>
                <w:lang w:val="en-US" w:eastAsia="zh-CN" w:bidi="ar"/>
              </w:rPr>
              <w:t>最大可承受风速：≥12 m/s（6 级风）；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1.11</w:t>
            </w:r>
            <w:r>
              <w:rPr>
                <w:rFonts w:hint="eastAsia" w:ascii="宋体" w:hAnsi="宋体" w:eastAsia="宋体" w:cs="宋体"/>
                <w:i w:val="0"/>
                <w:iCs w:val="0"/>
                <w:color w:val="000000"/>
                <w:kern w:val="0"/>
                <w:sz w:val="21"/>
                <w:szCs w:val="21"/>
                <w:u w:val="none"/>
                <w:lang w:val="en-US" w:eastAsia="zh-CN" w:bidi="ar"/>
              </w:rPr>
              <w:t>无人机起飞自检时间：≤</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分钟；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1.12</w:t>
            </w:r>
            <w:r>
              <w:rPr>
                <w:rFonts w:hint="eastAsia" w:ascii="宋体" w:hAnsi="宋体" w:eastAsia="宋体" w:cs="宋体"/>
                <w:i w:val="0"/>
                <w:iCs w:val="0"/>
                <w:color w:val="000000"/>
                <w:kern w:val="0"/>
                <w:sz w:val="21"/>
                <w:szCs w:val="21"/>
                <w:u w:val="none"/>
                <w:lang w:val="en-US" w:eastAsia="zh-CN" w:bidi="ar"/>
              </w:rPr>
              <w:t>最大飞行海拔高度：≥</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000 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1.13</w:t>
            </w:r>
            <w:r>
              <w:rPr>
                <w:rFonts w:hint="eastAsia" w:ascii="宋体" w:hAnsi="宋体" w:eastAsia="宋体" w:cs="宋体"/>
                <w:i w:val="0"/>
                <w:iCs w:val="0"/>
                <w:color w:val="000000"/>
                <w:kern w:val="0"/>
                <w:sz w:val="21"/>
                <w:szCs w:val="21"/>
                <w:u w:val="none"/>
                <w:lang w:val="en-US" w:eastAsia="zh-CN" w:bidi="ar"/>
              </w:rPr>
              <w:t>工作温度：最低工作温度≤-20℃、最高工作温度≥40℃；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 xml:space="preserve">1.14 </w:t>
            </w:r>
            <w:r>
              <w:rPr>
                <w:rFonts w:hint="eastAsia" w:ascii="宋体" w:hAnsi="宋体" w:eastAsia="宋体" w:cs="宋体"/>
                <w:i w:val="0"/>
                <w:iCs w:val="0"/>
                <w:color w:val="000000"/>
                <w:kern w:val="0"/>
                <w:sz w:val="21"/>
                <w:szCs w:val="21"/>
                <w:u w:val="none"/>
                <w:lang w:val="en-US" w:eastAsia="zh-CN" w:bidi="ar"/>
              </w:rPr>
              <w:t>IP防护等级：≥IP43；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2、挂载设备：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2.1</w:t>
            </w:r>
            <w:r>
              <w:rPr>
                <w:rFonts w:hint="eastAsia" w:ascii="宋体" w:hAnsi="宋体" w:eastAsia="宋体" w:cs="宋体"/>
                <w:i w:val="0"/>
                <w:iCs w:val="0"/>
                <w:color w:val="000000"/>
                <w:kern w:val="0"/>
                <w:sz w:val="21"/>
                <w:szCs w:val="21"/>
                <w:u w:val="none"/>
                <w:lang w:val="en-US" w:eastAsia="zh-CN" w:bidi="ar"/>
              </w:rPr>
              <w:t>广角相机像素≥1200万，变焦相机像素≥800万，热成像相机像素≥30万；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2.2</w:t>
            </w:r>
            <w:r>
              <w:rPr>
                <w:rFonts w:hint="eastAsia" w:ascii="宋体" w:hAnsi="宋体" w:eastAsia="宋体" w:cs="宋体"/>
                <w:i w:val="0"/>
                <w:iCs w:val="0"/>
                <w:color w:val="000000"/>
                <w:kern w:val="0"/>
                <w:sz w:val="21"/>
                <w:szCs w:val="21"/>
                <w:u w:val="none"/>
                <w:lang w:val="en-US" w:eastAsia="zh-CN" w:bidi="ar"/>
              </w:rPr>
              <w:t>变焦相机≥</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0倍光学变焦、数码变焦≥1</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倍、综合变焦≥</w:t>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0倍；视频分辨率达到4K，同时支持视频录制和拍照功能；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2.3</w:t>
            </w:r>
            <w:r>
              <w:rPr>
                <w:rFonts w:hint="eastAsia" w:ascii="宋体" w:hAnsi="宋体" w:eastAsia="宋体" w:cs="宋体"/>
                <w:i w:val="0"/>
                <w:iCs w:val="0"/>
                <w:color w:val="000000"/>
                <w:kern w:val="0"/>
                <w:sz w:val="21"/>
                <w:szCs w:val="21"/>
                <w:u w:val="none"/>
                <w:lang w:val="en-US" w:eastAsia="zh-CN" w:bidi="ar"/>
              </w:rPr>
              <w:t>广角相机:自动曝光,中心测光；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2.4</w:t>
            </w:r>
            <w:r>
              <w:rPr>
                <w:rFonts w:hint="eastAsia" w:ascii="宋体" w:hAnsi="宋体" w:eastAsia="宋体" w:cs="宋体"/>
                <w:i w:val="0"/>
                <w:iCs w:val="0"/>
                <w:color w:val="000000"/>
                <w:kern w:val="0"/>
                <w:sz w:val="21"/>
                <w:szCs w:val="21"/>
                <w:u w:val="none"/>
                <w:lang w:val="en-US" w:eastAsia="zh-CN" w:bidi="ar"/>
              </w:rPr>
              <w:t>热成像相机数码变焦：≥8倍；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热成像相机测温精度：≤3℃；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2.6</w:t>
            </w:r>
            <w:r>
              <w:rPr>
                <w:rFonts w:hint="eastAsia" w:ascii="宋体" w:hAnsi="宋体" w:eastAsia="宋体" w:cs="宋体"/>
                <w:i w:val="0"/>
                <w:iCs w:val="0"/>
                <w:color w:val="000000"/>
                <w:kern w:val="0"/>
                <w:sz w:val="21"/>
                <w:szCs w:val="21"/>
                <w:u w:val="none"/>
                <w:lang w:val="en-US" w:eastAsia="zh-CN" w:bidi="ar"/>
              </w:rPr>
              <w:t>具备激光测距功能，测距范围≥</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00m；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2.7</w:t>
            </w:r>
            <w:r>
              <w:rPr>
                <w:rFonts w:hint="eastAsia" w:ascii="宋体" w:hAnsi="宋体" w:eastAsia="宋体" w:cs="宋体"/>
                <w:i w:val="0"/>
                <w:iCs w:val="0"/>
                <w:color w:val="000000"/>
                <w:kern w:val="0"/>
                <w:sz w:val="21"/>
                <w:szCs w:val="21"/>
                <w:u w:val="none"/>
                <w:lang w:val="en-US" w:eastAsia="zh-CN" w:bidi="ar"/>
              </w:rPr>
              <w:t>可见光有效识别车辆距离≥</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00m,有效识别人体轮廓≥</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00m；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2.8</w:t>
            </w:r>
            <w:r>
              <w:rPr>
                <w:rFonts w:hint="eastAsia" w:ascii="宋体" w:hAnsi="宋体" w:eastAsia="宋体" w:cs="宋体"/>
                <w:i w:val="0"/>
                <w:iCs w:val="0"/>
                <w:color w:val="000000"/>
                <w:kern w:val="0"/>
                <w:sz w:val="21"/>
                <w:szCs w:val="21"/>
                <w:u w:val="none"/>
                <w:lang w:val="en-US" w:eastAsia="zh-CN" w:bidi="ar"/>
              </w:rPr>
              <w:t>红外有效识别地面车辆距离≥</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500m,有效识别人体轮廓≥1</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2.9</w:t>
            </w:r>
            <w:r>
              <w:rPr>
                <w:rFonts w:hint="eastAsia" w:ascii="宋体" w:hAnsi="宋体" w:eastAsia="宋体" w:cs="宋体"/>
                <w:i w:val="0"/>
                <w:iCs w:val="0"/>
                <w:color w:val="000000"/>
                <w:kern w:val="0"/>
                <w:sz w:val="21"/>
                <w:szCs w:val="21"/>
                <w:u w:val="none"/>
                <w:lang w:val="en-US" w:eastAsia="zh-CN" w:bidi="ar"/>
              </w:rPr>
              <w:t>重量≤</w:t>
            </w:r>
            <w:r>
              <w:rPr>
                <w:rFonts w:hint="eastAsia" w:ascii="宋体" w:hAnsi="宋体" w:cs="宋体"/>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0g；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2.9</w:t>
            </w:r>
            <w:r>
              <w:rPr>
                <w:rFonts w:hint="eastAsia" w:ascii="宋体" w:hAnsi="宋体" w:eastAsia="宋体" w:cs="宋体"/>
                <w:i w:val="0"/>
                <w:iCs w:val="0"/>
                <w:color w:val="000000"/>
                <w:kern w:val="0"/>
                <w:sz w:val="21"/>
                <w:szCs w:val="21"/>
                <w:u w:val="none"/>
                <w:lang w:val="en-US" w:eastAsia="zh-CN" w:bidi="ar"/>
              </w:rPr>
              <w:t>具备云台锁定工作模式；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color w:val="auto"/>
                <w:kern w:val="0"/>
                <w:szCs w:val="21"/>
                <w:highlight w:val="none"/>
              </w:rPr>
              <w:t>★</w:t>
            </w:r>
            <w:r>
              <w:rPr>
                <w:rFonts w:hint="eastAsia" w:ascii="宋体" w:hAnsi="宋体" w:cs="宋体"/>
                <w:i w:val="0"/>
                <w:iCs w:val="0"/>
                <w:color w:val="000000"/>
                <w:kern w:val="0"/>
                <w:sz w:val="21"/>
                <w:szCs w:val="21"/>
                <w:u w:val="none"/>
                <w:lang w:val="en-US" w:eastAsia="zh-CN" w:bidi="ar"/>
              </w:rPr>
              <w:t>2.10</w:t>
            </w:r>
            <w:r>
              <w:rPr>
                <w:rFonts w:hint="eastAsia" w:ascii="宋体" w:hAnsi="宋体" w:eastAsia="宋体" w:cs="宋体"/>
                <w:i w:val="0"/>
                <w:iCs w:val="0"/>
                <w:color w:val="000000"/>
                <w:kern w:val="0"/>
                <w:sz w:val="21"/>
                <w:szCs w:val="21"/>
                <w:u w:val="none"/>
                <w:lang w:val="en-US" w:eastAsia="zh-CN" w:bidi="ar"/>
              </w:rPr>
              <w:t>具备对移动目标进行测速的功能；</w:t>
            </w:r>
            <w:r>
              <w:rPr>
                <w:rFonts w:hint="eastAsia" w:ascii="宋体" w:hAnsi="宋体" w:cs="宋体"/>
                <w:color w:val="000000"/>
                <w:kern w:val="0"/>
                <w:szCs w:val="21"/>
                <w:u w:val="none"/>
                <w:lang w:bidi="ar"/>
              </w:rPr>
              <w:t>（投标文件中提供具有CMA或CNAS标志的第三方检测报告扫描件并加盖投标人公章）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2.11</w:t>
            </w:r>
            <w:r>
              <w:rPr>
                <w:rFonts w:hint="eastAsia" w:ascii="宋体" w:hAnsi="宋体" w:eastAsia="宋体" w:cs="宋体"/>
                <w:i w:val="0"/>
                <w:iCs w:val="0"/>
                <w:color w:val="000000"/>
                <w:kern w:val="0"/>
                <w:sz w:val="21"/>
                <w:szCs w:val="21"/>
                <w:u w:val="none"/>
                <w:lang w:val="en-US" w:eastAsia="zh-CN" w:bidi="ar"/>
              </w:rPr>
              <w:t>防护等级：≥IP43；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2.12</w:t>
            </w:r>
            <w:r>
              <w:rPr>
                <w:rFonts w:hint="eastAsia" w:ascii="宋体" w:hAnsi="宋体" w:eastAsia="宋体" w:cs="宋体"/>
                <w:i w:val="0"/>
                <w:iCs w:val="0"/>
                <w:color w:val="000000"/>
                <w:kern w:val="0"/>
                <w:sz w:val="21"/>
                <w:szCs w:val="21"/>
                <w:u w:val="none"/>
                <w:lang w:val="en-US" w:eastAsia="zh-CN" w:bidi="ar"/>
              </w:rPr>
              <w:t>环境工作温度：-20</w:t>
            </w:r>
            <w:r>
              <w:rPr>
                <w:rFonts w:hint="eastAsia" w:ascii="宋体" w:hAnsi="宋体" w:cs="宋体"/>
                <w:i w:val="0"/>
                <w:iCs w:val="0"/>
                <w:color w:val="000000"/>
                <w:kern w:val="0"/>
                <w:sz w:val="21"/>
                <w:szCs w:val="21"/>
                <w:u w:val="none"/>
                <w:lang w:val="en-US" w:eastAsia="zh-CN" w:bidi="ar"/>
              </w:rPr>
              <w:t>至</w:t>
            </w:r>
            <w:r>
              <w:rPr>
                <w:rFonts w:hint="eastAsia" w:ascii="宋体" w:hAnsi="宋体" w:eastAsia="宋体" w:cs="宋体"/>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3.1</w:t>
            </w:r>
            <w:r>
              <w:rPr>
                <w:rFonts w:hint="eastAsia" w:ascii="宋体" w:hAnsi="宋体" w:eastAsia="宋体" w:cs="宋体"/>
                <w:i w:val="0"/>
                <w:iCs w:val="0"/>
                <w:color w:val="000000"/>
                <w:kern w:val="0"/>
                <w:sz w:val="21"/>
                <w:szCs w:val="21"/>
                <w:u w:val="none"/>
                <w:lang w:val="en-US" w:eastAsia="zh-CN" w:bidi="ar"/>
              </w:rPr>
              <w:t>单块电池能量：≥12000mah 6S HV 、250 Wh</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3.2</w:t>
            </w:r>
            <w:r>
              <w:rPr>
                <w:rFonts w:hint="eastAsia" w:ascii="宋体" w:hAnsi="宋体" w:eastAsia="宋体" w:cs="宋体"/>
                <w:i w:val="0"/>
                <w:iCs w:val="0"/>
                <w:color w:val="000000"/>
                <w:kern w:val="0"/>
                <w:sz w:val="21"/>
                <w:szCs w:val="21"/>
                <w:u w:val="none"/>
                <w:lang w:val="en-US" w:eastAsia="zh-CN" w:bidi="ar"/>
              </w:rPr>
              <w:t>存储温度：22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至 28</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3.3</w:t>
            </w:r>
            <w:r>
              <w:rPr>
                <w:rFonts w:hint="eastAsia" w:ascii="宋体" w:hAnsi="宋体" w:eastAsia="宋体" w:cs="宋体"/>
                <w:i w:val="0"/>
                <w:iCs w:val="0"/>
                <w:color w:val="000000"/>
                <w:kern w:val="0"/>
                <w:sz w:val="21"/>
                <w:szCs w:val="21"/>
                <w:u w:val="none"/>
                <w:lang w:val="en-US" w:eastAsia="zh-CN" w:bidi="ar"/>
              </w:rPr>
              <w:t>充电温度：15℃ 至 40℃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3.4</w:t>
            </w:r>
            <w:r>
              <w:rPr>
                <w:rFonts w:hint="eastAsia" w:ascii="宋体" w:hAnsi="宋体" w:eastAsia="宋体" w:cs="宋体"/>
                <w:i w:val="0"/>
                <w:iCs w:val="0"/>
                <w:color w:val="000000"/>
                <w:kern w:val="0"/>
                <w:sz w:val="21"/>
                <w:szCs w:val="21"/>
                <w:u w:val="none"/>
                <w:lang w:val="en-US" w:eastAsia="zh-CN" w:bidi="ar"/>
              </w:rPr>
              <w:t>工作温度：-20℃ 至 40℃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以上设备3年质保，3年设备及第三方责任保险</w:t>
            </w:r>
            <w:r>
              <w:rPr>
                <w:rFonts w:hint="eastAsia" w:ascii="宋体" w:hAnsi="宋体" w:cs="宋体"/>
                <w:i w:val="0"/>
                <w:iCs w:val="0"/>
                <w:color w:val="000000"/>
                <w:kern w:val="0"/>
                <w:sz w:val="21"/>
                <w:szCs w:val="21"/>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29DB2C6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012C6C2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B19A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77" w:type="pct"/>
            <w:tcBorders>
              <w:top w:val="single" w:color="000000" w:sz="4" w:space="0"/>
              <w:left w:val="single" w:color="000000" w:sz="4" w:space="0"/>
              <w:bottom w:val="single" w:color="000000" w:sz="4" w:space="0"/>
              <w:right w:val="single" w:color="000000" w:sz="4" w:space="0"/>
            </w:tcBorders>
            <w:noWrap/>
            <w:vAlign w:val="center"/>
          </w:tcPr>
          <w:p w14:paraId="414ABDF3">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757" w:type="pct"/>
            <w:tcBorders>
              <w:top w:val="single" w:color="000000" w:sz="4" w:space="0"/>
              <w:left w:val="single" w:color="000000" w:sz="4" w:space="0"/>
              <w:bottom w:val="single" w:color="000000" w:sz="4" w:space="0"/>
              <w:right w:val="single" w:color="000000" w:sz="4" w:space="0"/>
            </w:tcBorders>
            <w:noWrap w:val="0"/>
            <w:vAlign w:val="center"/>
          </w:tcPr>
          <w:p w14:paraId="0A70FAD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市级救援队伍</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42741C8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救援无人机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（巡堤查险无人机）</w:t>
            </w:r>
          </w:p>
        </w:tc>
        <w:tc>
          <w:tcPr>
            <w:tcW w:w="2269" w:type="pct"/>
            <w:vMerge w:val="continue"/>
            <w:tcBorders>
              <w:left w:val="single" w:color="000000" w:sz="4" w:space="0"/>
              <w:right w:val="single" w:color="000000" w:sz="4" w:space="0"/>
            </w:tcBorders>
            <w:noWrap w:val="0"/>
            <w:vAlign w:val="center"/>
          </w:tcPr>
          <w:p w14:paraId="732EA610">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7BD2872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1081B05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7D24F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3" w:hRule="atLeast"/>
        </w:trPr>
        <w:tc>
          <w:tcPr>
            <w:tcW w:w="277" w:type="pct"/>
            <w:tcBorders>
              <w:top w:val="single" w:color="000000" w:sz="4" w:space="0"/>
              <w:left w:val="single" w:color="000000" w:sz="4" w:space="0"/>
              <w:bottom w:val="single" w:color="000000" w:sz="4" w:space="0"/>
              <w:right w:val="single" w:color="000000" w:sz="4" w:space="0"/>
            </w:tcBorders>
            <w:noWrap/>
            <w:vAlign w:val="center"/>
          </w:tcPr>
          <w:p w14:paraId="17EC9387">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w:t>
            </w:r>
          </w:p>
        </w:tc>
        <w:tc>
          <w:tcPr>
            <w:tcW w:w="757" w:type="pct"/>
            <w:tcBorders>
              <w:top w:val="single" w:color="000000" w:sz="4" w:space="0"/>
              <w:left w:val="single" w:color="000000" w:sz="4" w:space="0"/>
              <w:bottom w:val="single" w:color="000000" w:sz="4" w:space="0"/>
              <w:right w:val="single" w:color="000000" w:sz="4" w:space="0"/>
            </w:tcBorders>
            <w:noWrap w:val="0"/>
            <w:vAlign w:val="center"/>
          </w:tcPr>
          <w:p w14:paraId="24A702B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余姚市综合应急救援队</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319FEA8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救援无人机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（巡堤查险无人机）</w:t>
            </w:r>
          </w:p>
        </w:tc>
        <w:tc>
          <w:tcPr>
            <w:tcW w:w="2269" w:type="pct"/>
            <w:vMerge w:val="continue"/>
            <w:tcBorders>
              <w:left w:val="single" w:color="000000" w:sz="4" w:space="0"/>
              <w:bottom w:val="single" w:color="000000" w:sz="4" w:space="0"/>
              <w:right w:val="single" w:color="000000" w:sz="4" w:space="0"/>
            </w:tcBorders>
            <w:noWrap w:val="0"/>
            <w:vAlign w:val="center"/>
          </w:tcPr>
          <w:p w14:paraId="4F0C8859">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14C3C54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285E21D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07C64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77" w:type="pct"/>
            <w:tcBorders>
              <w:top w:val="single" w:color="000000" w:sz="4" w:space="0"/>
              <w:left w:val="single" w:color="000000" w:sz="4" w:space="0"/>
              <w:bottom w:val="single" w:color="000000" w:sz="4" w:space="0"/>
              <w:right w:val="single" w:color="000000" w:sz="4" w:space="0"/>
            </w:tcBorders>
            <w:noWrap/>
            <w:vAlign w:val="center"/>
          </w:tcPr>
          <w:p w14:paraId="74BC8767">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w:t>
            </w:r>
          </w:p>
        </w:tc>
        <w:tc>
          <w:tcPr>
            <w:tcW w:w="757" w:type="pct"/>
            <w:tcBorders>
              <w:top w:val="single" w:color="000000" w:sz="4" w:space="0"/>
              <w:left w:val="single" w:color="000000" w:sz="4" w:space="0"/>
              <w:bottom w:val="single" w:color="000000" w:sz="4" w:space="0"/>
              <w:right w:val="single" w:color="000000" w:sz="4" w:space="0"/>
            </w:tcBorders>
            <w:noWrap w:val="0"/>
            <w:vAlign w:val="center"/>
          </w:tcPr>
          <w:p w14:paraId="176D139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慈溪市综合应急救援队</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34F7622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救援无人机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（侦察无人机）</w:t>
            </w:r>
          </w:p>
        </w:tc>
        <w:tc>
          <w:tcPr>
            <w:tcW w:w="2269" w:type="pct"/>
            <w:vMerge w:val="restart"/>
            <w:tcBorders>
              <w:top w:val="single" w:color="000000" w:sz="4" w:space="0"/>
              <w:left w:val="single" w:color="000000" w:sz="4" w:space="0"/>
              <w:right w:val="single" w:color="000000" w:sz="4" w:space="0"/>
            </w:tcBorders>
            <w:noWrap w:val="0"/>
            <w:vAlign w:val="center"/>
          </w:tcPr>
          <w:p w14:paraId="1747EA60">
            <w:pPr>
              <w:widowControl/>
              <w:jc w:val="left"/>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含飞行器*1、遥控器*1、云台*1、桨叶*4、云台保护罩*1、电池*1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1、飞行器：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裸机重量：飞行器裸机重量≤</w:t>
            </w:r>
            <w:r>
              <w:rPr>
                <w:rFonts w:hint="eastAsia" w:ascii="宋体" w:hAnsi="宋体" w:cs="宋体"/>
                <w:i w:val="0"/>
                <w:iCs w:val="0"/>
                <w:color w:val="000000"/>
                <w:kern w:val="0"/>
                <w:sz w:val="21"/>
                <w:szCs w:val="21"/>
                <w:u w:val="none"/>
                <w:lang w:val="en-US" w:eastAsia="zh-CN" w:bidi="ar"/>
              </w:rPr>
              <w:t>2500</w:t>
            </w:r>
            <w:r>
              <w:rPr>
                <w:rFonts w:hint="eastAsia" w:ascii="宋体" w:hAnsi="宋体" w:eastAsia="宋体" w:cs="宋体"/>
                <w:i w:val="0"/>
                <w:iCs w:val="0"/>
                <w:color w:val="000000"/>
                <w:kern w:val="0"/>
                <w:sz w:val="21"/>
                <w:szCs w:val="21"/>
                <w:u w:val="none"/>
                <w:lang w:val="en-US" w:eastAsia="zh-CN" w:bidi="ar"/>
              </w:rPr>
              <w:t>克</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尺寸：≤</w:t>
            </w:r>
            <w:r>
              <w:rPr>
                <w:rFonts w:hint="eastAsia" w:ascii="宋体" w:hAnsi="宋体" w:cs="宋体"/>
                <w:color w:val="000000"/>
                <w:kern w:val="0"/>
                <w:szCs w:val="21"/>
                <w:u w:val="none"/>
                <w:lang w:bidi="ar"/>
              </w:rPr>
              <w:t>400mmx500mmx200mm（展开不含桨叶）</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1.3</w:t>
            </w:r>
            <w:r>
              <w:rPr>
                <w:rFonts w:hint="eastAsia" w:ascii="宋体" w:hAnsi="宋体" w:eastAsia="宋体" w:cs="宋体"/>
                <w:i w:val="0"/>
                <w:iCs w:val="0"/>
                <w:color w:val="000000"/>
                <w:kern w:val="0"/>
                <w:sz w:val="21"/>
                <w:szCs w:val="21"/>
                <w:u w:val="none"/>
                <w:lang w:val="en-US" w:eastAsia="zh-CN" w:bidi="ar"/>
              </w:rPr>
              <w:t>轴距：对角线轴距≤</w:t>
            </w:r>
            <w:r>
              <w:rPr>
                <w:rFonts w:hint="eastAsia" w:ascii="宋体" w:hAnsi="宋体" w:cs="宋体"/>
                <w:i w:val="0"/>
                <w:iCs w:val="0"/>
                <w:color w:val="000000"/>
                <w:kern w:val="0"/>
                <w:sz w:val="21"/>
                <w:szCs w:val="21"/>
                <w:u w:val="none"/>
                <w:lang w:val="en-US" w:eastAsia="zh-CN" w:bidi="ar"/>
              </w:rPr>
              <w:t>800</w:t>
            </w:r>
            <w:r>
              <w:rPr>
                <w:rFonts w:hint="eastAsia" w:ascii="宋体" w:hAnsi="宋体" w:eastAsia="宋体" w:cs="宋体"/>
                <w:i w:val="0"/>
                <w:iCs w:val="0"/>
                <w:color w:val="000000"/>
                <w:kern w:val="0"/>
                <w:sz w:val="21"/>
                <w:szCs w:val="21"/>
                <w:u w:val="none"/>
                <w:lang w:val="en-US" w:eastAsia="zh-CN" w:bidi="ar"/>
              </w:rPr>
              <w:t>毫米</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1.4</w:t>
            </w:r>
            <w:r>
              <w:rPr>
                <w:rFonts w:hint="eastAsia" w:ascii="宋体" w:hAnsi="宋体" w:eastAsia="宋体" w:cs="宋体"/>
                <w:i w:val="0"/>
                <w:iCs w:val="0"/>
                <w:color w:val="000000"/>
                <w:kern w:val="0"/>
                <w:sz w:val="21"/>
                <w:szCs w:val="21"/>
                <w:u w:val="none"/>
                <w:lang w:val="en-US" w:eastAsia="zh-CN" w:bidi="ar"/>
              </w:rPr>
              <w:t xml:space="preserve">最大水平飞行速度≥ </w:t>
            </w:r>
            <w:r>
              <w:rPr>
                <w:rFonts w:hint="eastAsia" w:ascii="宋体" w:hAnsi="宋体" w:cs="宋体"/>
                <w:i w:val="0"/>
                <w:iCs w:val="0"/>
                <w:color w:val="000000"/>
                <w:kern w:val="0"/>
                <w:sz w:val="21"/>
                <w:szCs w:val="21"/>
                <w:u w:val="none"/>
                <w:lang w:val="en-US" w:eastAsia="zh-CN" w:bidi="ar"/>
              </w:rPr>
              <w:t>18</w:t>
            </w:r>
            <w:r>
              <w:rPr>
                <w:rFonts w:hint="eastAsia" w:ascii="宋体" w:hAnsi="宋体" w:eastAsia="宋体" w:cs="宋体"/>
                <w:i w:val="0"/>
                <w:iCs w:val="0"/>
                <w:color w:val="000000"/>
                <w:kern w:val="0"/>
                <w:sz w:val="21"/>
                <w:szCs w:val="21"/>
                <w:u w:val="none"/>
                <w:lang w:val="en-US" w:eastAsia="zh-CN" w:bidi="ar"/>
              </w:rPr>
              <w:t xml:space="preserve"> 米/秒</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最长飞行时间：不低于30 分钟</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定位悬停精度：无人机支持RTK定位，在 RTK 正常工作时飞行器悬停精度：水平≤ ±0.1m，垂直≤ ±0.15m</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 xml:space="preserve">1.7 </w:t>
            </w:r>
            <w:r>
              <w:rPr>
                <w:rFonts w:hint="eastAsia" w:ascii="宋体" w:hAnsi="宋体" w:eastAsia="宋体" w:cs="宋体"/>
                <w:i w:val="0"/>
                <w:iCs w:val="0"/>
                <w:color w:val="000000"/>
                <w:kern w:val="0"/>
                <w:sz w:val="21"/>
                <w:szCs w:val="21"/>
                <w:u w:val="none"/>
                <w:lang w:val="en-US" w:eastAsia="zh-CN" w:bidi="ar"/>
              </w:rPr>
              <w:t>IP防护等级：≥IP43防护等级</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1.8</w:t>
            </w:r>
            <w:r>
              <w:rPr>
                <w:rFonts w:hint="eastAsia" w:ascii="宋体" w:hAnsi="宋体" w:eastAsia="宋体" w:cs="宋体"/>
                <w:i w:val="0"/>
                <w:iCs w:val="0"/>
                <w:color w:val="000000"/>
                <w:kern w:val="0"/>
                <w:sz w:val="21"/>
                <w:szCs w:val="21"/>
                <w:u w:val="none"/>
                <w:lang w:val="en-US" w:eastAsia="zh-CN" w:bidi="ar"/>
              </w:rPr>
              <w:t>夜航灯：飞行器集成夜航灯，用于夜晚使用位置确定</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color w:val="auto"/>
                <w:kern w:val="0"/>
                <w:szCs w:val="21"/>
                <w:highlight w:val="none"/>
              </w:rPr>
              <w:t>★</w:t>
            </w:r>
            <w:r>
              <w:rPr>
                <w:rFonts w:hint="eastAsia" w:ascii="宋体" w:hAnsi="宋体" w:cs="宋体"/>
                <w:i w:val="0"/>
                <w:iCs w:val="0"/>
                <w:color w:val="000000"/>
                <w:kern w:val="0"/>
                <w:sz w:val="21"/>
                <w:szCs w:val="21"/>
                <w:u w:val="none"/>
                <w:lang w:val="en-US" w:eastAsia="zh-CN" w:bidi="ar"/>
              </w:rPr>
              <w:t>1.9</w:t>
            </w:r>
            <w:r>
              <w:rPr>
                <w:rFonts w:hint="eastAsia" w:ascii="宋体" w:hAnsi="宋体" w:eastAsia="宋体" w:cs="宋体"/>
                <w:i w:val="0"/>
                <w:iCs w:val="0"/>
                <w:color w:val="000000"/>
                <w:kern w:val="0"/>
                <w:sz w:val="21"/>
                <w:szCs w:val="21"/>
                <w:u w:val="none"/>
                <w:lang w:val="en-US" w:eastAsia="zh-CN" w:bidi="ar"/>
              </w:rPr>
              <w:t>感知系统：支持全向双目感知系统、毫米波雷达</w:t>
            </w:r>
            <w:r>
              <w:rPr>
                <w:rFonts w:hint="eastAsia" w:ascii="宋体" w:hAnsi="宋体" w:cs="宋体"/>
                <w:i w:val="0"/>
                <w:iCs w:val="0"/>
                <w:color w:val="000000"/>
                <w:kern w:val="0"/>
                <w:sz w:val="21"/>
                <w:szCs w:val="21"/>
                <w:u w:val="none"/>
                <w:lang w:val="en-US" w:eastAsia="zh-CN" w:bidi="ar"/>
              </w:rPr>
              <w:t>；</w:t>
            </w:r>
            <w:r>
              <w:rPr>
                <w:rFonts w:hint="eastAsia" w:ascii="宋体" w:hAnsi="宋体" w:cs="宋体"/>
                <w:color w:val="000000"/>
                <w:kern w:val="0"/>
                <w:szCs w:val="21"/>
                <w:u w:val="none"/>
                <w:lang w:bidi="ar"/>
              </w:rPr>
              <w:t>（投标文件中提供具有CMA或CNAS标志的第三方检测报告扫描件并加盖投标人公章）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1.10</w:t>
            </w:r>
            <w:r>
              <w:rPr>
                <w:rFonts w:hint="eastAsia" w:ascii="宋体" w:hAnsi="宋体" w:eastAsia="宋体" w:cs="宋体"/>
                <w:i w:val="0"/>
                <w:iCs w:val="0"/>
                <w:color w:val="000000"/>
                <w:kern w:val="0"/>
                <w:sz w:val="21"/>
                <w:szCs w:val="21"/>
                <w:u w:val="none"/>
                <w:lang w:val="en-US" w:eastAsia="zh-CN" w:bidi="ar"/>
              </w:rPr>
              <w:t>稳定系统 ：具备三轴机械增稳云台（俯仰、横滚、平移）</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color w:val="auto"/>
                <w:kern w:val="0"/>
                <w:szCs w:val="21"/>
                <w:highlight w:val="none"/>
              </w:rPr>
              <w:t>★</w:t>
            </w:r>
            <w:r>
              <w:rPr>
                <w:rFonts w:hint="eastAsia" w:ascii="宋体" w:hAnsi="宋体" w:cs="宋体"/>
                <w:i w:val="0"/>
                <w:iCs w:val="0"/>
                <w:color w:val="000000"/>
                <w:kern w:val="0"/>
                <w:sz w:val="21"/>
                <w:szCs w:val="21"/>
                <w:u w:val="none"/>
                <w:lang w:val="en-US" w:eastAsia="zh-CN" w:bidi="ar"/>
              </w:rPr>
              <w:t xml:space="preserve">1.11 </w:t>
            </w:r>
            <w:r>
              <w:rPr>
                <w:rFonts w:hint="eastAsia" w:ascii="宋体" w:hAnsi="宋体" w:eastAsia="宋体" w:cs="宋体"/>
                <w:i w:val="0"/>
                <w:iCs w:val="0"/>
                <w:color w:val="000000"/>
                <w:kern w:val="0"/>
                <w:sz w:val="21"/>
                <w:szCs w:val="21"/>
                <w:u w:val="none"/>
                <w:lang w:val="en-US" w:eastAsia="zh-CN" w:bidi="ar"/>
              </w:rPr>
              <w:t>AI识别能力：具备人、车、船、烟火多目标识别与跟踪检验能力，最大支持64个目标检测能力</w:t>
            </w:r>
            <w:r>
              <w:rPr>
                <w:rFonts w:hint="eastAsia" w:ascii="宋体" w:hAnsi="宋体" w:cs="宋体"/>
                <w:i w:val="0"/>
                <w:iCs w:val="0"/>
                <w:color w:val="000000"/>
                <w:kern w:val="0"/>
                <w:sz w:val="21"/>
                <w:szCs w:val="21"/>
                <w:u w:val="none"/>
                <w:lang w:val="en-US" w:eastAsia="zh-CN" w:bidi="ar"/>
              </w:rPr>
              <w:t>；</w:t>
            </w:r>
            <w:r>
              <w:rPr>
                <w:rFonts w:hint="eastAsia" w:ascii="宋体" w:hAnsi="宋体" w:cs="宋体"/>
                <w:color w:val="000000"/>
                <w:kern w:val="0"/>
                <w:szCs w:val="21"/>
                <w:u w:val="none"/>
                <w:lang w:bidi="ar"/>
              </w:rPr>
              <w:t>（投标文件中提供具有CMA或CNAS标志的第三方检测报告扫描件并加盖投标人公章）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2、云台：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color w:val="auto"/>
                <w:kern w:val="0"/>
                <w:szCs w:val="21"/>
                <w:highlight w:val="none"/>
              </w:rPr>
              <w:t>★</w:t>
            </w:r>
            <w:r>
              <w:rPr>
                <w:rFonts w:hint="eastAsia" w:ascii="宋体" w:hAnsi="宋体" w:cs="宋体"/>
                <w:i w:val="0"/>
                <w:iCs w:val="0"/>
                <w:color w:val="000000"/>
                <w:kern w:val="0"/>
                <w:sz w:val="21"/>
                <w:szCs w:val="21"/>
                <w:u w:val="none"/>
                <w:lang w:val="en-US" w:eastAsia="zh-CN" w:bidi="ar"/>
              </w:rPr>
              <w:t>2.1</w:t>
            </w:r>
            <w:r>
              <w:rPr>
                <w:rFonts w:hint="eastAsia" w:ascii="宋体" w:hAnsi="宋体" w:eastAsia="宋体" w:cs="宋体"/>
                <w:i w:val="0"/>
                <w:iCs w:val="0"/>
                <w:color w:val="000000"/>
                <w:kern w:val="0"/>
                <w:sz w:val="21"/>
                <w:szCs w:val="21"/>
                <w:u w:val="none"/>
                <w:lang w:val="en-US" w:eastAsia="zh-CN" w:bidi="ar"/>
              </w:rPr>
              <w:t>变焦相机：光学变焦≥</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倍，混合变焦≥1</w:t>
            </w:r>
            <w:r>
              <w:rPr>
                <w:rFonts w:hint="eastAsia" w:ascii="宋体" w:hAnsi="宋体" w:cs="宋体"/>
                <w:i w:val="0"/>
                <w:iCs w:val="0"/>
                <w:color w:val="000000"/>
                <w:kern w:val="0"/>
                <w:sz w:val="21"/>
                <w:szCs w:val="21"/>
                <w:u w:val="none"/>
                <w:lang w:val="en-US" w:eastAsia="zh-CN" w:bidi="ar"/>
              </w:rPr>
              <w:t>00</w:t>
            </w:r>
            <w:r>
              <w:rPr>
                <w:rFonts w:hint="eastAsia" w:ascii="宋体" w:hAnsi="宋体" w:eastAsia="宋体" w:cs="宋体"/>
                <w:i w:val="0"/>
                <w:iCs w:val="0"/>
                <w:color w:val="000000"/>
                <w:kern w:val="0"/>
                <w:sz w:val="21"/>
                <w:szCs w:val="21"/>
                <w:u w:val="none"/>
                <w:lang w:val="en-US" w:eastAsia="zh-CN" w:bidi="ar"/>
              </w:rPr>
              <w:t>倍</w:t>
            </w:r>
            <w:r>
              <w:rPr>
                <w:rFonts w:hint="eastAsia" w:ascii="宋体" w:hAnsi="宋体" w:cs="宋体"/>
                <w:i w:val="0"/>
                <w:iCs w:val="0"/>
                <w:color w:val="000000"/>
                <w:kern w:val="0"/>
                <w:sz w:val="21"/>
                <w:szCs w:val="21"/>
                <w:u w:val="none"/>
                <w:lang w:val="en-US" w:eastAsia="zh-CN" w:bidi="ar"/>
              </w:rPr>
              <w:t>；</w:t>
            </w:r>
            <w:r>
              <w:rPr>
                <w:rFonts w:hint="eastAsia" w:ascii="宋体" w:hAnsi="宋体" w:cs="宋体"/>
                <w:color w:val="000000"/>
                <w:kern w:val="0"/>
                <w:szCs w:val="21"/>
                <w:u w:val="none"/>
                <w:lang w:bidi="ar"/>
              </w:rPr>
              <w:t>（投标文件中提供具有CMA或CNAS标志的第三方检测报告扫描件并加盖投标人公章）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2.2</w:t>
            </w:r>
            <w:r>
              <w:rPr>
                <w:rFonts w:hint="eastAsia" w:ascii="宋体" w:hAnsi="宋体" w:eastAsia="宋体" w:cs="宋体"/>
                <w:i w:val="0"/>
                <w:iCs w:val="0"/>
                <w:color w:val="000000"/>
                <w:kern w:val="0"/>
                <w:sz w:val="21"/>
                <w:szCs w:val="21"/>
                <w:u w:val="none"/>
                <w:lang w:val="en-US" w:eastAsia="zh-CN" w:bidi="ar"/>
              </w:rPr>
              <w:t>广角相机：1/2" CMOS，有效像素≥4800万</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2.3</w:t>
            </w:r>
            <w:r>
              <w:rPr>
                <w:rFonts w:hint="eastAsia" w:ascii="宋体" w:hAnsi="宋体" w:eastAsia="宋体" w:cs="宋体"/>
                <w:i w:val="0"/>
                <w:iCs w:val="0"/>
                <w:color w:val="000000"/>
                <w:kern w:val="0"/>
                <w:sz w:val="21"/>
                <w:szCs w:val="21"/>
                <w:u w:val="none"/>
                <w:lang w:val="en-US" w:eastAsia="zh-CN" w:bidi="ar"/>
              </w:rPr>
              <w:t>热成像相机：支持中心测温、指点测温、区域测温</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2.4</w:t>
            </w:r>
            <w:r>
              <w:rPr>
                <w:rFonts w:hint="eastAsia" w:ascii="宋体" w:hAnsi="宋体" w:eastAsia="宋体" w:cs="宋体"/>
                <w:i w:val="0"/>
                <w:iCs w:val="0"/>
                <w:color w:val="000000"/>
                <w:kern w:val="0"/>
                <w:sz w:val="21"/>
                <w:szCs w:val="21"/>
                <w:u w:val="none"/>
                <w:lang w:val="en-US" w:eastAsia="zh-CN" w:bidi="ar"/>
              </w:rPr>
              <w:t>激光测距：测量范围≥1200米</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以上设备1年质保，1年设备及第三方责任保险</w:t>
            </w:r>
            <w:r>
              <w:rPr>
                <w:rFonts w:hint="eastAsia" w:ascii="宋体" w:hAnsi="宋体" w:cs="宋体"/>
                <w:i w:val="0"/>
                <w:iCs w:val="0"/>
                <w:color w:val="000000"/>
                <w:kern w:val="0"/>
                <w:sz w:val="21"/>
                <w:szCs w:val="21"/>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1924F35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2FE85BB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14:paraId="1B66B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77" w:type="pct"/>
            <w:tcBorders>
              <w:top w:val="single" w:color="000000" w:sz="4" w:space="0"/>
              <w:left w:val="single" w:color="000000" w:sz="4" w:space="0"/>
              <w:bottom w:val="single" w:color="000000" w:sz="4" w:space="0"/>
              <w:right w:val="single" w:color="000000" w:sz="4" w:space="0"/>
            </w:tcBorders>
            <w:noWrap/>
            <w:vAlign w:val="center"/>
          </w:tcPr>
          <w:p w14:paraId="323AAB05">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12</w:t>
            </w:r>
          </w:p>
        </w:tc>
        <w:tc>
          <w:tcPr>
            <w:tcW w:w="757" w:type="pct"/>
            <w:tcBorders>
              <w:top w:val="single" w:color="000000" w:sz="4" w:space="0"/>
              <w:left w:val="single" w:color="000000" w:sz="4" w:space="0"/>
              <w:bottom w:val="single" w:color="000000" w:sz="4" w:space="0"/>
              <w:right w:val="single" w:color="000000" w:sz="4" w:space="0"/>
            </w:tcBorders>
            <w:noWrap w:val="0"/>
            <w:vAlign w:val="center"/>
          </w:tcPr>
          <w:p w14:paraId="3641A5C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市级救援队伍</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78854C6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救援无人机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（侦察无人机）</w:t>
            </w:r>
          </w:p>
        </w:tc>
        <w:tc>
          <w:tcPr>
            <w:tcW w:w="2269" w:type="pct"/>
            <w:vMerge w:val="continue"/>
            <w:tcBorders>
              <w:left w:val="single" w:color="000000" w:sz="4" w:space="0"/>
              <w:right w:val="single" w:color="000000" w:sz="4" w:space="0"/>
            </w:tcBorders>
            <w:noWrap w:val="0"/>
            <w:vAlign w:val="center"/>
          </w:tcPr>
          <w:p w14:paraId="50312A6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6AC76B1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1845CDF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0B396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77" w:type="pct"/>
            <w:tcBorders>
              <w:top w:val="single" w:color="000000" w:sz="4" w:space="0"/>
              <w:left w:val="single" w:color="000000" w:sz="4" w:space="0"/>
              <w:bottom w:val="single" w:color="000000" w:sz="4" w:space="0"/>
              <w:right w:val="single" w:color="000000" w:sz="4" w:space="0"/>
            </w:tcBorders>
            <w:noWrap/>
            <w:vAlign w:val="center"/>
          </w:tcPr>
          <w:p w14:paraId="4CE9C87F">
            <w:pPr>
              <w:keepNext w:val="0"/>
              <w:keepLines w:val="0"/>
              <w:widowControl/>
              <w:suppressLineNumbers w:val="0"/>
              <w:spacing w:line="240" w:lineRule="auto"/>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13</w:t>
            </w:r>
          </w:p>
        </w:tc>
        <w:tc>
          <w:tcPr>
            <w:tcW w:w="757" w:type="pct"/>
            <w:tcBorders>
              <w:top w:val="single" w:color="000000" w:sz="4" w:space="0"/>
              <w:left w:val="single" w:color="000000" w:sz="4" w:space="0"/>
              <w:bottom w:val="single" w:color="000000" w:sz="4" w:space="0"/>
              <w:right w:val="single" w:color="000000" w:sz="4" w:space="0"/>
            </w:tcBorders>
            <w:noWrap w:val="0"/>
            <w:vAlign w:val="center"/>
          </w:tcPr>
          <w:p w14:paraId="6DC2869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余姚市综合应急救援队</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4B2BD54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救援无人机</w:t>
            </w:r>
          </w:p>
          <w:p w14:paraId="39A1E2E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（侦察无人机）</w:t>
            </w:r>
          </w:p>
        </w:tc>
        <w:tc>
          <w:tcPr>
            <w:tcW w:w="2269" w:type="pct"/>
            <w:vMerge w:val="continue"/>
            <w:tcBorders>
              <w:left w:val="single" w:color="000000" w:sz="4" w:space="0"/>
              <w:right w:val="single" w:color="000000" w:sz="4" w:space="0"/>
            </w:tcBorders>
            <w:noWrap w:val="0"/>
            <w:vAlign w:val="center"/>
          </w:tcPr>
          <w:p w14:paraId="46E8862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5B04AE0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42CC7C6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14:paraId="11BAF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3"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A11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25E1D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鄞州区综合救援队</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168B46D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救援无人机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（侦察无人机）</w:t>
            </w:r>
          </w:p>
        </w:tc>
        <w:tc>
          <w:tcPr>
            <w:tcW w:w="2269" w:type="pct"/>
            <w:vMerge w:val="continue"/>
            <w:tcBorders>
              <w:left w:val="single" w:color="000000" w:sz="4" w:space="0"/>
              <w:bottom w:val="single" w:color="000000" w:sz="4" w:space="0"/>
              <w:right w:val="single" w:color="000000" w:sz="4" w:space="0"/>
            </w:tcBorders>
            <w:noWrap w:val="0"/>
            <w:vAlign w:val="center"/>
          </w:tcPr>
          <w:p w14:paraId="347D184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highlight w:val="none"/>
                <w:u w:val="none"/>
              </w:rPr>
            </w:pP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594FAA7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6A799F4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bl>
    <w:p w14:paraId="6442A44F">
      <w:pPr>
        <w:spacing w:line="360" w:lineRule="auto"/>
        <w:jc w:val="left"/>
        <w:rPr>
          <w:rFonts w:hint="eastAsia" w:ascii="宋体" w:hAnsi="宋体" w:eastAsia="宋体" w:cs="宋体"/>
          <w:b/>
          <w:bCs/>
          <w:snapToGrid w:val="0"/>
          <w:color w:val="auto"/>
          <w:sz w:val="24"/>
          <w:highlight w:val="none"/>
          <w:lang w:eastAsia="zh-CN"/>
        </w:rPr>
      </w:pPr>
      <w:r>
        <w:rPr>
          <w:rFonts w:hint="eastAsia" w:ascii="宋体" w:hAnsi="宋体" w:cs="宋体"/>
          <w:b/>
          <w:bCs/>
          <w:snapToGrid w:val="0"/>
          <w:color w:val="auto"/>
          <w:sz w:val="24"/>
          <w:highlight w:val="none"/>
        </w:rPr>
        <w:t>▲投标人必须承诺所</w:t>
      </w:r>
      <w:r>
        <w:rPr>
          <w:rFonts w:hint="eastAsia" w:ascii="宋体" w:hAnsi="宋体" w:cs="宋体"/>
          <w:b/>
          <w:bCs/>
          <w:snapToGrid w:val="0"/>
          <w:color w:val="auto"/>
          <w:sz w:val="24"/>
          <w:highlight w:val="none"/>
          <w:lang w:val="en-US" w:eastAsia="zh-CN"/>
        </w:rPr>
        <w:t>投</w:t>
      </w:r>
      <w:r>
        <w:rPr>
          <w:rFonts w:hint="eastAsia" w:ascii="宋体" w:hAnsi="宋体" w:cs="宋体"/>
          <w:b/>
          <w:bCs/>
          <w:snapToGrid w:val="0"/>
          <w:color w:val="auto"/>
          <w:sz w:val="24"/>
          <w:highlight w:val="none"/>
        </w:rPr>
        <w:t>产品必须在供货完成后</w:t>
      </w:r>
      <w:r>
        <w:rPr>
          <w:rFonts w:hint="eastAsia" w:ascii="宋体" w:hAnsi="宋体" w:cs="宋体"/>
          <w:b/>
          <w:bCs/>
          <w:snapToGrid w:val="0"/>
          <w:color w:val="auto"/>
          <w:sz w:val="24"/>
          <w:highlight w:val="none"/>
          <w:lang w:val="en-US" w:eastAsia="zh-CN"/>
        </w:rPr>
        <w:t>30天内</w:t>
      </w:r>
      <w:r>
        <w:rPr>
          <w:rFonts w:hint="eastAsia" w:ascii="宋体" w:hAnsi="宋体" w:cs="宋体"/>
          <w:b/>
          <w:bCs/>
          <w:snapToGrid w:val="0"/>
          <w:color w:val="auto"/>
          <w:sz w:val="24"/>
          <w:highlight w:val="none"/>
        </w:rPr>
        <w:t>接入“城市安全运行在线综合平台”，进行视频展示、飞行控制等功能。</w:t>
      </w:r>
      <w:r>
        <w:rPr>
          <w:rFonts w:hint="eastAsia" w:ascii="宋体" w:hAnsi="宋体" w:cs="宋体"/>
          <w:b/>
          <w:bCs/>
          <w:snapToGrid w:val="0"/>
          <w:color w:val="auto"/>
          <w:sz w:val="24"/>
          <w:highlight w:val="none"/>
          <w:lang w:eastAsia="zh-CN"/>
        </w:rPr>
        <w:t>（</w:t>
      </w:r>
      <w:r>
        <w:rPr>
          <w:rFonts w:hint="eastAsia" w:ascii="宋体" w:hAnsi="宋体" w:cs="宋体"/>
          <w:b/>
          <w:bCs/>
          <w:snapToGrid w:val="0"/>
          <w:color w:val="auto"/>
          <w:sz w:val="24"/>
          <w:highlight w:val="none"/>
          <w:lang w:val="en-US" w:eastAsia="zh-CN"/>
        </w:rPr>
        <w:t>投标文件中提供承诺函，格式自拟</w:t>
      </w:r>
      <w:r>
        <w:rPr>
          <w:rFonts w:hint="eastAsia" w:ascii="宋体" w:hAnsi="宋体" w:cs="宋体"/>
          <w:b/>
          <w:bCs/>
          <w:snapToGrid w:val="0"/>
          <w:color w:val="auto"/>
          <w:sz w:val="24"/>
          <w:highlight w:val="none"/>
          <w:lang w:eastAsia="zh-CN"/>
        </w:rPr>
        <w:t>）</w:t>
      </w:r>
    </w:p>
    <w:p w14:paraId="3659B90B">
      <w:pPr>
        <w:spacing w:line="360" w:lineRule="auto"/>
        <w:jc w:val="left"/>
        <w:rPr>
          <w:rFonts w:ascii="宋体" w:hAnsi="宋体" w:cs="宋体"/>
          <w:b/>
          <w:bCs/>
          <w:snapToGrid w:val="0"/>
          <w:color w:val="auto"/>
          <w:sz w:val="24"/>
          <w:highlight w:val="none"/>
        </w:rPr>
      </w:pPr>
    </w:p>
    <w:p w14:paraId="6ABB6631">
      <w:pPr>
        <w:spacing w:line="360" w:lineRule="auto"/>
        <w:jc w:val="left"/>
        <w:rPr>
          <w:rFonts w:ascii="宋体" w:hAnsi="宋体" w:cs="宋体"/>
          <w:b/>
          <w:bCs/>
          <w:snapToGrid w:val="0"/>
          <w:color w:val="auto"/>
          <w:sz w:val="24"/>
          <w:highlight w:val="none"/>
        </w:rPr>
        <w:sectPr>
          <w:headerReference r:id="rId8" w:type="first"/>
          <w:footerReference r:id="rId10" w:type="first"/>
          <w:headerReference r:id="rId7" w:type="default"/>
          <w:footerReference r:id="rId9" w:type="default"/>
          <w:pgSz w:w="16838" w:h="11906" w:orient="landscape"/>
          <w:pgMar w:top="1440" w:right="1440" w:bottom="1440" w:left="1440" w:header="851" w:footer="992" w:gutter="0"/>
          <w:cols w:space="0" w:num="1"/>
          <w:titlePg/>
          <w:docGrid w:linePitch="312" w:charSpace="0"/>
        </w:sectPr>
      </w:pPr>
    </w:p>
    <w:p w14:paraId="277D6C2B">
      <w:pPr>
        <w:spacing w:line="360" w:lineRule="auto"/>
        <w:jc w:val="left"/>
        <w:rPr>
          <w:rFonts w:ascii="宋体" w:hAnsi="宋体" w:cs="宋体"/>
          <w:b/>
          <w:bCs/>
          <w:snapToGrid w:val="0"/>
          <w:color w:val="auto"/>
          <w:sz w:val="24"/>
          <w:highlight w:val="none"/>
        </w:rPr>
      </w:pPr>
      <w:r>
        <w:rPr>
          <w:rFonts w:hint="eastAsia" w:ascii="宋体" w:hAnsi="宋体" w:cs="宋体"/>
          <w:b/>
          <w:bCs/>
          <w:snapToGrid w:val="0"/>
          <w:color w:val="auto"/>
          <w:sz w:val="24"/>
          <w:highlight w:val="none"/>
        </w:rPr>
        <w:t>二、人员配置及培训要求</w:t>
      </w:r>
    </w:p>
    <w:p w14:paraId="7F8CF59D">
      <w:pPr>
        <w:spacing w:line="360" w:lineRule="auto"/>
        <w:rPr>
          <w:color w:val="auto"/>
          <w:highlight w:val="none"/>
        </w:rPr>
      </w:pPr>
      <w:r>
        <w:rPr>
          <w:rFonts w:hint="eastAsia"/>
          <w:color w:val="auto"/>
          <w:highlight w:val="none"/>
        </w:rPr>
        <w:t>（一）人员要求</w:t>
      </w:r>
    </w:p>
    <w:p w14:paraId="3A5CC241">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为保证宁波市自然灾害应急能力提升工程基层防灾项目无人机类（第二批）采购项目顺利实施和运行，</w:t>
      </w:r>
      <w:r>
        <w:rPr>
          <w:rFonts w:hint="eastAsia" w:ascii="宋体" w:hAnsi="宋体" w:eastAsia="宋体" w:cs="宋体"/>
          <w:color w:val="auto"/>
          <w:szCs w:val="21"/>
          <w:highlight w:val="none"/>
        </w:rPr>
        <w:t>应配备</w:t>
      </w:r>
      <w:r>
        <w:rPr>
          <w:rFonts w:hint="eastAsia" w:ascii="宋体" w:hAnsi="宋体" w:cs="宋体"/>
          <w:color w:val="auto"/>
          <w:szCs w:val="21"/>
          <w:highlight w:val="none"/>
          <w:lang w:val="en-US" w:eastAsia="zh-CN"/>
        </w:rPr>
        <w:t>不少于6人的项目团队，包括</w:t>
      </w:r>
      <w:r>
        <w:rPr>
          <w:rFonts w:hint="eastAsia" w:ascii="宋体" w:hAnsi="宋体" w:eastAsia="宋体" w:cs="宋体"/>
          <w:color w:val="auto"/>
          <w:szCs w:val="21"/>
          <w:highlight w:val="none"/>
        </w:rPr>
        <w:t>必要的</w:t>
      </w: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管理人员、</w:t>
      </w:r>
      <w:r>
        <w:rPr>
          <w:rFonts w:hint="eastAsia" w:ascii="宋体" w:hAnsi="宋体" w:cs="宋体"/>
          <w:color w:val="auto"/>
          <w:szCs w:val="21"/>
          <w:highlight w:val="none"/>
          <w:lang w:val="en-US" w:eastAsia="zh-CN"/>
        </w:rPr>
        <w:t>配送人员、售后维修人员等，需在投标文件中列明</w:t>
      </w:r>
      <w:r>
        <w:rPr>
          <w:rFonts w:hint="eastAsia" w:ascii="宋体" w:hAnsi="宋体" w:cs="宋体"/>
          <w:color w:val="auto"/>
          <w:szCs w:val="21"/>
          <w:highlight w:val="none"/>
        </w:rPr>
        <w:t>。</w:t>
      </w:r>
    </w:p>
    <w:p w14:paraId="0524D551">
      <w:pPr>
        <w:spacing w:line="360" w:lineRule="auto"/>
        <w:rPr>
          <w:color w:val="auto"/>
          <w:highlight w:val="none"/>
        </w:rPr>
      </w:pPr>
      <w:r>
        <w:rPr>
          <w:rFonts w:hint="eastAsia"/>
          <w:color w:val="auto"/>
          <w:highlight w:val="none"/>
        </w:rPr>
        <w:t>（二）培训要求</w:t>
      </w:r>
    </w:p>
    <w:p w14:paraId="35077228">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1.培训计划</w:t>
      </w:r>
    </w:p>
    <w:p w14:paraId="2BB5A5D0">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用户培训是保证整个项目成功的重要环节之一。为了让基层救援相关人员更好地对设备进行使用和管理，需要开展相应的培训工作，投标文件中提供培训计划。</w:t>
      </w:r>
    </w:p>
    <w:p w14:paraId="2858B87B">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2.培训范围</w:t>
      </w:r>
    </w:p>
    <w:p w14:paraId="20FA3480">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人员培训主要有两个方面：</w:t>
      </w:r>
    </w:p>
    <w:p w14:paraId="48ED21C7">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（1）技术人员/管理人员的培训：设备购置后，日常维护由系统管理员来完成。根据技术人员/管理员之间的分工，对其进行专门的培训。</w:t>
      </w:r>
    </w:p>
    <w:p w14:paraId="4F1FB0B3">
      <w:pPr>
        <w:pStyle w:val="97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（2）业务人员的培训：在设备使用前期，对宁波市及所属区县、乡镇相关应急救援队的工作人员开展培训，以确保设备能够准确、高效地使用。</w:t>
      </w:r>
    </w:p>
    <w:p w14:paraId="21F8F04A">
      <w:pPr>
        <w:pStyle w:val="97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hAnsi="宋体" w:cs="宋体"/>
          <w:color w:val="000000"/>
          <w:kern w:val="0"/>
          <w:szCs w:val="21"/>
          <w:u w:val="none"/>
          <w:lang w:val="en-US" w:eastAsia="zh-CN" w:bidi="ar"/>
        </w:rPr>
        <w:t>飞手培训：提供配套飞手培训。</w:t>
      </w:r>
    </w:p>
    <w:p w14:paraId="628810A4">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3.培训方式</w:t>
      </w:r>
    </w:p>
    <w:p w14:paraId="74D4D75A">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根据项目建设需要，以集中培训、现场培训、网上培训等方式实施培训工作，使接受培训的人员在培训后能独立完成相应的工作。</w:t>
      </w:r>
    </w:p>
    <w:p w14:paraId="59B24E01">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集中培训：集中培训是培训工作的重点，其效果将直接影响设备的使用情况。根据市应急局对装备的使用情况要求，举办培训班，针对不同类别的装备进行分批次培训，采用集中授课的方式，确保培训的质量和效果。</w:t>
      </w:r>
    </w:p>
    <w:p w14:paraId="600729AC">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（2）现场操作培训：主要由项目承建单位派出的工程师在项目实施过程中对用户相关人员进行实地操作培训，整个培训将贯穿系统的安装和调试过程。</w:t>
      </w:r>
    </w:p>
    <w:p w14:paraId="4648225B">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（3）网上培训方式：通过帮助文件及多媒体课件提供在线帮助和下载学习。</w:t>
      </w:r>
    </w:p>
    <w:p w14:paraId="3C825E52">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4.培训内容</w:t>
      </w:r>
    </w:p>
    <w:p w14:paraId="05DE73F1">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培训的内容通常包括</w:t>
      </w:r>
      <w:r>
        <w:rPr>
          <w:rFonts w:hint="eastAsia" w:ascii="宋体" w:hAnsi="宋体" w:cs="宋体"/>
          <w:color w:val="auto"/>
          <w:szCs w:val="21"/>
          <w:highlight w:val="none"/>
          <w:lang w:val="en-US" w:eastAsia="zh-CN"/>
        </w:rPr>
        <w:t>但不限于</w:t>
      </w:r>
      <w:r>
        <w:rPr>
          <w:rFonts w:hint="eastAsia" w:ascii="宋体" w:hAnsi="宋体" w:cs="宋体"/>
          <w:color w:val="auto"/>
          <w:szCs w:val="21"/>
          <w:highlight w:val="none"/>
        </w:rPr>
        <w:t>以下几个方面：</w:t>
      </w:r>
    </w:p>
    <w:p w14:paraId="238926CC">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（1）设备基础知识：</w:t>
      </w:r>
    </w:p>
    <w:p w14:paraId="30AED0DE">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1）设备的构造和工作原理；</w:t>
      </w:r>
    </w:p>
    <w:p w14:paraId="7A2BFDF0">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2）设备的主要部件及其功能。</w:t>
      </w:r>
    </w:p>
    <w:p w14:paraId="570E839B">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（2）设备操作规程：</w:t>
      </w:r>
    </w:p>
    <w:p w14:paraId="60936091">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1）设备的正确启动和关闭程序；</w:t>
      </w:r>
    </w:p>
    <w:p w14:paraId="48F2969E">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2）设备的日常操作流程；</w:t>
      </w:r>
    </w:p>
    <w:p w14:paraId="743C35E7">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3）设备使用中的安全注意事项。</w:t>
      </w:r>
    </w:p>
    <w:p w14:paraId="0CB88DD1">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（3）设备维护保养：</w:t>
      </w:r>
    </w:p>
    <w:p w14:paraId="5A7F3401">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1）设备的日常维护和保养方法；</w:t>
      </w:r>
    </w:p>
    <w:p w14:paraId="3950B07A">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2）设备常见故障的预防和排查；</w:t>
      </w:r>
    </w:p>
    <w:p w14:paraId="4E09F9CC">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3）设备定期检查和维修的流程。</w:t>
      </w:r>
    </w:p>
    <w:p w14:paraId="45F30743">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（4）设备故障处理与应急措施：</w:t>
      </w:r>
    </w:p>
    <w:p w14:paraId="63CB9387">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1）设备故障的诊断和定位方法；</w:t>
      </w:r>
    </w:p>
    <w:p w14:paraId="485E51A3">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2）设备故障的紧急处理流程；</w:t>
      </w:r>
    </w:p>
    <w:p w14:paraId="6E3C6C89">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3）应急设备的使用和操作方法。</w:t>
      </w:r>
    </w:p>
    <w:p w14:paraId="1E035A3B">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（5）安全培训与操作规范：</w:t>
      </w:r>
    </w:p>
    <w:p w14:paraId="317F45AC">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1）设备操作的安全标准和规范。</w:t>
      </w:r>
    </w:p>
    <w:p w14:paraId="7404CEDC">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（6）实战演练与模拟操作：</w:t>
      </w:r>
    </w:p>
    <w:p w14:paraId="180A804C">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1）模拟设备故障进行实战演练；</w:t>
      </w:r>
    </w:p>
    <w:p w14:paraId="6D6DB060">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2）提高操作人员在紧急情况下的应对能力。</w:t>
      </w:r>
    </w:p>
    <w:p w14:paraId="6DE32157">
      <w:pPr>
        <w:pStyle w:val="2"/>
        <w:snapToGrid w:val="0"/>
        <w:spacing w:before="120" w:after="120"/>
        <w:outlineLvl w:val="0"/>
        <w:rPr>
          <w:rFonts w:hAnsi="宋体" w:cs="宋体"/>
          <w:b/>
          <w:bCs/>
          <w:color w:val="auto"/>
          <w:sz w:val="24"/>
          <w:szCs w:val="24"/>
          <w:highlight w:val="none"/>
        </w:rPr>
      </w:pPr>
      <w:bookmarkStart w:id="66" w:name="_Toc9300"/>
      <w:r>
        <w:rPr>
          <w:rFonts w:hint="eastAsia" w:hAnsi="宋体" w:cs="宋体"/>
          <w:b/>
          <w:bCs/>
          <w:color w:val="auto"/>
          <w:sz w:val="24"/>
          <w:szCs w:val="24"/>
          <w:highlight w:val="none"/>
        </w:rPr>
        <w:t>三、供货、配送及验收方案</w:t>
      </w:r>
      <w:bookmarkEnd w:id="66"/>
    </w:p>
    <w:p w14:paraId="2370ABBB">
      <w:pPr>
        <w:pStyle w:val="2"/>
        <w:snapToGrid w:val="0"/>
        <w:spacing w:before="120" w:after="120"/>
        <w:outlineLvl w:val="0"/>
        <w:rPr>
          <w:rFonts w:hAnsi="宋体" w:cs="宋体"/>
          <w:color w:val="auto"/>
          <w:highlight w:val="none"/>
        </w:rPr>
      </w:pPr>
      <w:r>
        <w:rPr>
          <w:rFonts w:hint="eastAsia"/>
          <w:color w:val="auto"/>
          <w:highlight w:val="none"/>
        </w:rPr>
        <w:t xml:space="preserve"> </w:t>
      </w:r>
      <w:r>
        <w:rPr>
          <w:rFonts w:hint="eastAsia" w:hAnsi="宋体" w:cs="宋体"/>
          <w:color w:val="auto"/>
          <w:highlight w:val="none"/>
        </w:rPr>
        <w:t xml:space="preserve">   </w:t>
      </w:r>
      <w:bookmarkStart w:id="67" w:name="_Toc12027"/>
      <w:r>
        <w:rPr>
          <w:rFonts w:hint="eastAsia" w:hAnsi="宋体" w:cs="宋体"/>
          <w:color w:val="auto"/>
          <w:highlight w:val="none"/>
        </w:rPr>
        <w:t>1、供货</w:t>
      </w:r>
      <w:bookmarkEnd w:id="67"/>
    </w:p>
    <w:p w14:paraId="3497DA1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中标人确保提供的货物是全新的、未使用过的。所提供货物质量必须符合国家相关标准，必须满足本次采购的要求，并提供国家认可的产品合格证、产品检验报告或产品检测报告，若所供货物经产品质量检测机构检测认定质量不合格，造成的损失和后果由该供应商负全责。</w:t>
      </w:r>
    </w:p>
    <w:p w14:paraId="3092D4A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（2）中标人</w:t>
      </w:r>
      <w:r>
        <w:rPr>
          <w:rFonts w:hint="eastAsia" w:ascii="宋体" w:hAnsi="宋体" w:cs="宋体"/>
          <w:color w:val="auto"/>
          <w:highlight w:val="none"/>
          <w:lang w:eastAsia="zh-CN"/>
        </w:rPr>
        <w:t>投标文件中</w:t>
      </w:r>
      <w:r>
        <w:rPr>
          <w:rFonts w:hint="eastAsia" w:ascii="宋体" w:hAnsi="宋体" w:cs="宋体"/>
          <w:color w:val="auto"/>
          <w:highlight w:val="none"/>
        </w:rPr>
        <w:t>所提供的设备如在实际供货时已经废型（不列入该厂家当时的产品系统），如未能按原价提供更高配置的设备，则按违约处理。</w:t>
      </w:r>
    </w:p>
    <w:p w14:paraId="156F489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（3）中标后，采购人有权核查中标人在投标文件中提供的相关证明材料原件，一经发现存在虚假应标情形的，取消中标资格并保留追究相关责任的权力。</w:t>
      </w:r>
    </w:p>
    <w:p w14:paraId="23267A6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（4）采购人有权根据需要委托具有检验资质的权威检测机构对交付现场的货物进行抽样检测，检测不合格的，采购人有权要求退货或换货，并由中标人承担相关检测费用，中标人须无条件配合检验检测工作。</w:t>
      </w:r>
    </w:p>
    <w:p w14:paraId="6F88455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（5）投标货物制造厂商应具有完善的服务保障体系；中标人也应就投标货物的品质和服务对采购人负责。</w:t>
      </w:r>
    </w:p>
    <w:p w14:paraId="41FC68F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除不可抗力外，中标人不得延迟交货。如果因不可抗力，中标人遇到不能按时交付货物的情况，应及时以书面形式将不能按时交付货物的理由、预期延误时间通知采购人，采购人收到中标人通知后，认为其理由正当的，可以书面形式酌情同意中标人可以延长交货的具体时间。</w:t>
      </w:r>
    </w:p>
    <w:p w14:paraId="6B0E209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2、配送</w:t>
      </w:r>
    </w:p>
    <w:p w14:paraId="3A5E882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中标人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中标人承担。</w:t>
      </w:r>
    </w:p>
    <w:p w14:paraId="16947AE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（2）由投标人将货物直接免费送至采购人指定的位置。如在运输、搬运、安装过程中造成货物损坏，采购人有权不签收并由中标人承担相应经济损失。</w:t>
      </w:r>
    </w:p>
    <w:p w14:paraId="18E650B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（3）使用说明书、质量检验证明书以及清单一并附于货物内。</w:t>
      </w:r>
    </w:p>
    <w:p w14:paraId="3312B9A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（4）货物在交付采购人前发生的风险均由中标人负责。</w:t>
      </w:r>
    </w:p>
    <w:p w14:paraId="5B42EE8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3、验收方案</w:t>
      </w:r>
    </w:p>
    <w:p w14:paraId="637833E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（1）履约验收的主体</w:t>
      </w:r>
    </w:p>
    <w:p w14:paraId="390B001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采购人及监理单位等采购人委托的相关验收机构。</w:t>
      </w:r>
    </w:p>
    <w:p w14:paraId="6BF4FE2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（2）履约验收的时间</w:t>
      </w:r>
    </w:p>
    <w:p w14:paraId="394B723F">
      <w:pPr>
        <w:spacing w:line="360" w:lineRule="auto"/>
        <w:ind w:firstLine="440" w:firstLineChars="200"/>
        <w:rPr>
          <w:rFonts w:ascii="宋体" w:hAnsi="宋体" w:cs="宋体"/>
          <w:color w:val="auto"/>
          <w:highlight w:val="none"/>
        </w:rPr>
      </w:pPr>
      <w:r>
        <w:rPr>
          <w:rFonts w:hint="eastAsia" w:ascii="宋体" w:hAnsi="宋体" w:cs="宋体"/>
          <w:color w:val="auto"/>
          <w:kern w:val="0"/>
          <w:sz w:val="22"/>
          <w:szCs w:val="22"/>
          <w:highlight w:val="none"/>
        </w:rPr>
        <w:t>中标人在设备送达指定地点并安装调试完毕后</w:t>
      </w:r>
      <w:r>
        <w:rPr>
          <w:rFonts w:hint="eastAsia" w:ascii="宋体" w:hAnsi="宋体" w:cs="宋体"/>
          <w:color w:val="auto"/>
          <w:highlight w:val="none"/>
        </w:rPr>
        <w:t>，提交履约验收书面申请且经采购人确认后7个工作日内完成履约验收。具体验收流程、程序以合同要求为准。</w:t>
      </w:r>
    </w:p>
    <w:p w14:paraId="65445EB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（3）履约验收的方式</w:t>
      </w:r>
    </w:p>
    <w:p w14:paraId="2610028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按《宁波市政府采购履约验收管理办法》中的一次性验收方式进行履约验收。</w:t>
      </w:r>
    </w:p>
    <w:p w14:paraId="4D512D1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（4）履约验收的程序</w:t>
      </w:r>
    </w:p>
    <w:p w14:paraId="189C4D6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按《宁波市政府采购履约验收管理办法》中的一般程序进行履约验收。</w:t>
      </w:r>
    </w:p>
    <w:p w14:paraId="051D99A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（5）验收标准</w:t>
      </w:r>
    </w:p>
    <w:p w14:paraId="39DFED9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应当符合国家强制性规定、政策要求、安全标准、行业或企业有关标准，满足招标文件、投标文件、合同约定要求。</w:t>
      </w:r>
    </w:p>
    <w:p w14:paraId="1AD5163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验收时如发生所供设备与招标文件（或投标文件承诺）中规定的要求不符，中标人应负责免费更换货物直至验收合格，由此产生的一切责任和后果由中标人承担。</w:t>
      </w:r>
    </w:p>
    <w:p w14:paraId="6FFACFD5">
      <w:pPr>
        <w:spacing w:line="360" w:lineRule="auto"/>
        <w:rPr>
          <w:rFonts w:hint="eastAsia" w:ascii="宋体" w:hAnsi="宋体" w:cs="宋体"/>
          <w:b/>
          <w:bCs/>
          <w:snapToGrid w:val="0"/>
          <w:color w:val="auto"/>
          <w:kern w:val="2"/>
          <w:sz w:val="24"/>
          <w:szCs w:val="24"/>
          <w:highlight w:val="none"/>
          <w:lang w:val="en-US" w:eastAsia="zh-CN" w:bidi="ar-SA"/>
        </w:rPr>
      </w:pPr>
      <w:bookmarkStart w:id="68" w:name="_Toc10302"/>
      <w:r>
        <w:rPr>
          <w:rFonts w:hint="eastAsia" w:ascii="宋体" w:hAnsi="宋体" w:cs="宋体"/>
          <w:b/>
          <w:bCs/>
          <w:snapToGrid w:val="0"/>
          <w:color w:val="auto"/>
          <w:kern w:val="2"/>
          <w:sz w:val="24"/>
          <w:szCs w:val="24"/>
          <w:highlight w:val="none"/>
          <w:lang w:val="en-US" w:eastAsia="zh-CN" w:bidi="ar-SA"/>
        </w:rPr>
        <w:t>四</w:t>
      </w:r>
      <w:r>
        <w:rPr>
          <w:rFonts w:hint="eastAsia" w:ascii="宋体" w:hAnsi="宋体" w:eastAsia="宋体" w:cs="宋体"/>
          <w:b/>
          <w:bCs/>
          <w:snapToGrid w:val="0"/>
          <w:color w:val="auto"/>
          <w:kern w:val="2"/>
          <w:sz w:val="24"/>
          <w:szCs w:val="24"/>
          <w:highlight w:val="none"/>
          <w:lang w:val="en-US" w:eastAsia="zh-CN" w:bidi="ar-SA"/>
        </w:rPr>
        <w:t>、</w:t>
      </w:r>
      <w:r>
        <w:rPr>
          <w:rFonts w:hint="eastAsia" w:ascii="宋体" w:hAnsi="宋体" w:cs="宋体"/>
          <w:b/>
          <w:bCs/>
          <w:snapToGrid w:val="0"/>
          <w:color w:val="auto"/>
          <w:kern w:val="2"/>
          <w:sz w:val="24"/>
          <w:szCs w:val="24"/>
          <w:highlight w:val="none"/>
          <w:lang w:val="en-US" w:eastAsia="zh-CN" w:bidi="ar-SA"/>
        </w:rPr>
        <w:t>售后服务要求</w:t>
      </w:r>
    </w:p>
    <w:p w14:paraId="615A3D90">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cs="宋体"/>
          <w:color w:val="auto"/>
          <w:szCs w:val="21"/>
          <w:highlight w:val="none"/>
          <w:lang w:val="en-US" w:eastAsia="zh-CN"/>
        </w:rPr>
        <w:t>1、供应商应设立售后服务部门，</w:t>
      </w:r>
      <w:r>
        <w:rPr>
          <w:rFonts w:hint="eastAsia" w:ascii="宋体" w:hAnsi="宋体" w:eastAsia="宋体" w:cs="宋体"/>
          <w:color w:val="auto"/>
          <w:szCs w:val="21"/>
          <w:highlight w:val="none"/>
        </w:rPr>
        <w:t>在产品保修期内，一旦发生质量问题，供应商保证在接到通知后30分钟内作出响应，</w:t>
      </w:r>
      <w:r>
        <w:rPr>
          <w:rFonts w:hint="eastAsia" w:ascii="宋体" w:hAnsi="宋体" w:cs="宋体"/>
          <w:color w:val="auto"/>
          <w:szCs w:val="21"/>
          <w:highlight w:val="none"/>
          <w:lang w:val="en-US" w:eastAsia="zh-CN"/>
        </w:rPr>
        <w:t>派专门的维修人员</w:t>
      </w:r>
      <w:r>
        <w:rPr>
          <w:rFonts w:hint="eastAsia" w:ascii="宋体" w:hAnsi="宋体" w:eastAsia="宋体" w:cs="宋体"/>
          <w:color w:val="auto"/>
          <w:szCs w:val="21"/>
          <w:highlight w:val="none"/>
        </w:rPr>
        <w:t>4小时内到现场进行维修、更换或退货，以此产生的费用由供应商负责。如供应商在接到通知的4小时内没有答复或处理问题，则视为供应商承认质量问题并承担由此而发生的一切费用。保修期间产品的一切质量问题，更换部件及产品本身质量原因造成的直接经济损失应全部由供应商自行负责，更</w:t>
      </w:r>
      <w:r>
        <w:rPr>
          <w:rFonts w:hint="eastAsia" w:ascii="宋体" w:hAnsi="宋体" w:eastAsia="宋体" w:cs="宋体"/>
          <w:color w:val="auto"/>
          <w:highlight w:val="none"/>
        </w:rPr>
        <w:t>换时间不得超过48小时</w:t>
      </w:r>
      <w:r>
        <w:rPr>
          <w:rFonts w:hint="eastAsia" w:ascii="宋体" w:hAnsi="宋体" w:eastAsia="宋体" w:cs="宋体"/>
          <w:color w:val="auto"/>
          <w:highlight w:val="none"/>
          <w:lang w:val="en-US" w:eastAsia="zh-CN"/>
        </w:rPr>
        <w:t>。</w:t>
      </w:r>
      <w:r>
        <w:rPr>
          <w:rFonts w:hint="eastAsia" w:ascii="宋体" w:hAnsi="宋体" w:eastAsia="宋体" w:cs="宋体"/>
          <w:color w:val="auto"/>
          <w:szCs w:val="21"/>
          <w:highlight w:val="none"/>
          <w:lang w:val="en-US" w:eastAsia="zh-CN"/>
        </w:rPr>
        <w:t>供应商应在</w:t>
      </w:r>
      <w:r>
        <w:rPr>
          <w:rFonts w:hint="eastAsia" w:ascii="宋体" w:hAnsi="宋体" w:eastAsia="宋体" w:cs="宋体"/>
          <w:color w:val="auto"/>
          <w:highlight w:val="none"/>
          <w:lang w:val="en-US" w:eastAsia="zh-CN"/>
        </w:rPr>
        <w:t>投标文件中提供故障处理流程、</w:t>
      </w:r>
      <w:r>
        <w:rPr>
          <w:rFonts w:hint="eastAsia" w:ascii="宋体" w:hAnsi="宋体" w:eastAsia="宋体" w:cs="宋体"/>
          <w:color w:val="auto"/>
          <w:szCs w:val="21"/>
          <w:highlight w:val="none"/>
          <w:lang w:val="en-US" w:eastAsia="zh-CN"/>
        </w:rPr>
        <w:t>退换货处理人员等。</w:t>
      </w:r>
    </w:p>
    <w:p w14:paraId="20FAC14B">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供应商应配有退换货处理人员负责为采购人提供各种原因导致的退换货服务，包括存在质量问题的产品免费更换全新同款产品服务和全额退还货款服务。针对免费更换全新同款产品服务和全额退还货款服务，供应商需保证在5个工作日内完成。供应商应在投标文件中提供退换货范围、退换货操作流程、退换货处理人员等。</w:t>
      </w:r>
    </w:p>
    <w:p w14:paraId="0853D61B">
      <w:pPr>
        <w:pStyle w:val="2"/>
        <w:snapToGrid w:val="0"/>
        <w:spacing w:before="120" w:after="120"/>
        <w:outlineLvl w:val="0"/>
        <w:rPr>
          <w:rFonts w:hAnsi="宋体" w:cs="宋体"/>
          <w:b/>
          <w:bCs/>
          <w:color w:val="auto"/>
          <w:sz w:val="24"/>
          <w:szCs w:val="24"/>
          <w:highlight w:val="none"/>
        </w:rPr>
      </w:pPr>
      <w:r>
        <w:rPr>
          <w:rFonts w:hint="eastAsia" w:hAnsi="宋体" w:cs="宋体"/>
          <w:b/>
          <w:bCs/>
          <w:color w:val="auto"/>
          <w:sz w:val="24"/>
          <w:szCs w:val="24"/>
          <w:highlight w:val="none"/>
          <w:lang w:val="en-US" w:eastAsia="zh-CN"/>
        </w:rPr>
        <w:t>五</w:t>
      </w:r>
      <w:r>
        <w:rPr>
          <w:rFonts w:hint="eastAsia" w:hAnsi="宋体" w:cs="宋体"/>
          <w:b/>
          <w:bCs/>
          <w:color w:val="auto"/>
          <w:sz w:val="24"/>
          <w:szCs w:val="24"/>
          <w:highlight w:val="none"/>
        </w:rPr>
        <w:t>、商务要求表</w:t>
      </w:r>
      <w:bookmarkEnd w:id="68"/>
    </w:p>
    <w:tbl>
      <w:tblPr>
        <w:tblStyle w:val="63"/>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6897"/>
      </w:tblGrid>
      <w:tr w14:paraId="5F3915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2174" w:type="dxa"/>
            <w:vAlign w:val="center"/>
          </w:tcPr>
          <w:p w14:paraId="600E34A8">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项目</w:t>
            </w:r>
          </w:p>
        </w:tc>
        <w:tc>
          <w:tcPr>
            <w:tcW w:w="6897" w:type="dxa"/>
            <w:vAlign w:val="center"/>
          </w:tcPr>
          <w:p w14:paraId="32460190">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招标商务要求</w:t>
            </w:r>
          </w:p>
        </w:tc>
      </w:tr>
      <w:tr w14:paraId="4E4DA8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2174" w:type="dxa"/>
            <w:vAlign w:val="center"/>
          </w:tcPr>
          <w:p w14:paraId="5C06ECA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交货时间及地点</w:t>
            </w:r>
          </w:p>
        </w:tc>
        <w:tc>
          <w:tcPr>
            <w:tcW w:w="6897" w:type="dxa"/>
            <w:vAlign w:val="center"/>
          </w:tcPr>
          <w:p w14:paraId="142700ED">
            <w:pPr>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交货时间及地点：按</w:t>
            </w:r>
            <w:r>
              <w:rPr>
                <w:rFonts w:hint="default" w:ascii="宋体" w:hAnsi="宋体" w:cs="宋体"/>
                <w:bCs/>
                <w:color w:val="auto"/>
                <w:szCs w:val="21"/>
                <w:highlight w:val="none"/>
                <w:lang w:val="en-US"/>
              </w:rPr>
              <w:t>采购</w:t>
            </w:r>
            <w:r>
              <w:rPr>
                <w:rFonts w:hint="eastAsia" w:ascii="宋体" w:hAnsi="宋体" w:cs="宋体"/>
                <w:bCs/>
                <w:color w:val="auto"/>
                <w:szCs w:val="21"/>
                <w:highlight w:val="none"/>
              </w:rPr>
              <w:t>人要求分批次交货，接采购人通知后</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个月内配送至各设备所属队伍</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若逾期交付货物的，</w:t>
            </w:r>
            <w:r>
              <w:rPr>
                <w:rFonts w:hint="eastAsia" w:ascii="宋体" w:hAnsi="宋体" w:cs="宋体"/>
                <w:bCs/>
                <w:color w:val="auto"/>
                <w:szCs w:val="21"/>
                <w:highlight w:val="none"/>
                <w:lang w:eastAsia="zh-CN"/>
              </w:rPr>
              <w:t>违约金按每日计合同总价的1%，最高限额为合同</w:t>
            </w:r>
            <w:r>
              <w:rPr>
                <w:rFonts w:hint="eastAsia" w:ascii="宋体" w:hAnsi="宋体" w:cs="宋体"/>
                <w:bCs/>
                <w:color w:val="auto"/>
                <w:szCs w:val="21"/>
                <w:highlight w:val="none"/>
                <w:lang w:val="en-US" w:eastAsia="zh-CN"/>
              </w:rPr>
              <w:t>金额</w:t>
            </w:r>
            <w:r>
              <w:rPr>
                <w:rFonts w:hint="eastAsia" w:ascii="宋体" w:hAnsi="宋体" w:cs="宋体"/>
                <w:bCs/>
                <w:color w:val="auto"/>
                <w:szCs w:val="21"/>
                <w:highlight w:val="none"/>
                <w:lang w:eastAsia="zh-CN"/>
              </w:rPr>
              <w:t>的50 %；</w:t>
            </w:r>
            <w:r>
              <w:rPr>
                <w:rFonts w:hint="eastAsia" w:ascii="宋体" w:hAnsi="宋体" w:cs="宋体"/>
                <w:bCs/>
                <w:color w:val="auto"/>
                <w:szCs w:val="21"/>
                <w:highlight w:val="none"/>
                <w:lang w:val="en-US" w:eastAsia="zh-CN"/>
              </w:rPr>
              <w:t>逾期</w:t>
            </w:r>
            <w:r>
              <w:rPr>
                <w:rFonts w:hint="eastAsia" w:ascii="宋体" w:hAnsi="宋体" w:cs="宋体"/>
                <w:bCs/>
                <w:color w:val="auto"/>
                <w:szCs w:val="21"/>
                <w:highlight w:val="none"/>
                <w:lang w:eastAsia="zh-CN"/>
              </w:rPr>
              <w:t>交付货物的违约金计算数额达到前述最高限额或</w:t>
            </w:r>
            <w:r>
              <w:rPr>
                <w:rFonts w:hint="eastAsia" w:ascii="宋体" w:hAnsi="宋体" w:cs="宋体"/>
                <w:bCs/>
                <w:color w:val="auto"/>
                <w:szCs w:val="21"/>
                <w:highlight w:val="none"/>
                <w:lang w:val="en-US" w:eastAsia="zh-CN"/>
              </w:rPr>
              <w:t>逾期</w:t>
            </w:r>
            <w:r>
              <w:rPr>
                <w:rFonts w:hint="eastAsia" w:ascii="宋体" w:hAnsi="宋体" w:cs="宋体"/>
                <w:bCs/>
                <w:color w:val="auto"/>
                <w:szCs w:val="21"/>
                <w:highlight w:val="none"/>
                <w:lang w:eastAsia="zh-CN"/>
              </w:rPr>
              <w:t>交付货物超2个月的，</w:t>
            </w:r>
            <w:r>
              <w:rPr>
                <w:rFonts w:hint="eastAsia" w:ascii="宋体" w:hAnsi="宋体" w:cs="宋体"/>
                <w:bCs/>
                <w:color w:val="auto"/>
                <w:szCs w:val="21"/>
                <w:highlight w:val="none"/>
                <w:lang w:val="en-US" w:eastAsia="zh-CN"/>
              </w:rPr>
              <w:t>采购人</w:t>
            </w:r>
            <w:r>
              <w:rPr>
                <w:rFonts w:hint="eastAsia" w:ascii="宋体" w:hAnsi="宋体" w:cs="宋体"/>
                <w:bCs/>
                <w:color w:val="auto"/>
                <w:szCs w:val="21"/>
                <w:highlight w:val="none"/>
                <w:lang w:eastAsia="zh-CN"/>
              </w:rPr>
              <w:t>有权在要求</w:t>
            </w:r>
            <w:r>
              <w:rPr>
                <w:rFonts w:hint="eastAsia" w:ascii="宋体" w:hAnsi="宋体" w:cs="宋体"/>
                <w:bCs/>
                <w:color w:val="auto"/>
                <w:szCs w:val="21"/>
                <w:highlight w:val="none"/>
                <w:lang w:val="en-US" w:eastAsia="zh-CN"/>
              </w:rPr>
              <w:t>中标人</w:t>
            </w:r>
            <w:r>
              <w:rPr>
                <w:rFonts w:hint="eastAsia" w:ascii="宋体" w:hAnsi="宋体" w:cs="宋体"/>
                <w:bCs/>
                <w:color w:val="auto"/>
                <w:szCs w:val="21"/>
                <w:highlight w:val="none"/>
                <w:lang w:eastAsia="zh-CN"/>
              </w:rPr>
              <w:t>支付违约金的同时，书面通知</w:t>
            </w:r>
            <w:r>
              <w:rPr>
                <w:rFonts w:hint="eastAsia" w:ascii="宋体" w:hAnsi="宋体" w:cs="宋体"/>
                <w:bCs/>
                <w:color w:val="auto"/>
                <w:szCs w:val="21"/>
                <w:highlight w:val="none"/>
                <w:lang w:val="en-US" w:eastAsia="zh-CN"/>
              </w:rPr>
              <w:t>中标人</w:t>
            </w:r>
            <w:r>
              <w:rPr>
                <w:rFonts w:hint="eastAsia" w:ascii="宋体" w:hAnsi="宋体" w:cs="宋体"/>
                <w:bCs/>
                <w:color w:val="auto"/>
                <w:szCs w:val="21"/>
                <w:highlight w:val="none"/>
                <w:lang w:eastAsia="zh-CN"/>
              </w:rPr>
              <w:t>解除合同</w:t>
            </w:r>
            <w:r>
              <w:rPr>
                <w:rFonts w:hint="eastAsia" w:ascii="宋体" w:hAnsi="宋体" w:cs="宋体"/>
                <w:bCs/>
                <w:color w:val="auto"/>
                <w:szCs w:val="21"/>
                <w:highlight w:val="none"/>
              </w:rPr>
              <w:t>。</w:t>
            </w:r>
          </w:p>
        </w:tc>
      </w:tr>
      <w:tr w14:paraId="27D5A1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74" w:type="dxa"/>
            <w:vAlign w:val="center"/>
          </w:tcPr>
          <w:p w14:paraId="0F321673">
            <w:pPr>
              <w:spacing w:line="400" w:lineRule="exact"/>
              <w:jc w:val="center"/>
              <w:rPr>
                <w:rFonts w:ascii="宋体" w:hAnsi="宋体" w:cs="宋体"/>
                <w:color w:val="auto"/>
                <w:spacing w:val="-6"/>
                <w:szCs w:val="21"/>
                <w:highlight w:val="none"/>
              </w:rPr>
            </w:pPr>
            <w:r>
              <w:rPr>
                <w:rFonts w:hint="eastAsia" w:ascii="宋体" w:hAnsi="宋体" w:cs="宋体"/>
                <w:color w:val="auto"/>
                <w:szCs w:val="21"/>
                <w:highlight w:val="none"/>
              </w:rPr>
              <w:t>付款条件</w:t>
            </w:r>
          </w:p>
        </w:tc>
        <w:tc>
          <w:tcPr>
            <w:tcW w:w="6897" w:type="dxa"/>
            <w:vAlign w:val="center"/>
          </w:tcPr>
          <w:p w14:paraId="28D2F73E">
            <w:pPr>
              <w:spacing w:line="400" w:lineRule="exact"/>
              <w:rPr>
                <w:rFonts w:ascii="宋体" w:hAnsi="宋体" w:cs="宋体"/>
                <w:bCs/>
                <w:color w:val="auto"/>
                <w:szCs w:val="21"/>
                <w:highlight w:val="none"/>
              </w:rPr>
            </w:pPr>
            <w:r>
              <w:rPr>
                <w:rFonts w:hint="eastAsia" w:ascii="宋体" w:hAnsi="宋体" w:cs="宋体"/>
                <w:bCs/>
                <w:color w:val="auto"/>
                <w:szCs w:val="21"/>
                <w:highlight w:val="none"/>
              </w:rPr>
              <w:t>1、合同生效以及具备实施条件后7个工作日内，招标人向中标人支付合同金额的</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0%；（</w:t>
            </w:r>
            <w:r>
              <w:rPr>
                <w:rFonts w:hint="eastAsia" w:ascii="宋体" w:hAnsi="宋体" w:cs="宋体"/>
                <w:color w:val="auto"/>
                <w:szCs w:val="21"/>
                <w:highlight w:val="none"/>
                <w:lang w:eastAsia="zh-Hans"/>
              </w:rPr>
              <w:t>中标人于合同签订前书面承诺放弃预付款或降低预付款支付比例的，可不适用本条款且具体支付方式由双方在合同中自行约定</w:t>
            </w:r>
            <w:r>
              <w:rPr>
                <w:rFonts w:hint="eastAsia" w:ascii="宋体" w:hAnsi="宋体" w:cs="宋体"/>
                <w:bCs/>
                <w:color w:val="auto"/>
                <w:szCs w:val="21"/>
                <w:highlight w:val="none"/>
              </w:rPr>
              <w:t>）</w:t>
            </w:r>
          </w:p>
          <w:p w14:paraId="61FB02AC">
            <w:pPr>
              <w:spacing w:line="400" w:lineRule="exact"/>
              <w:rPr>
                <w:rFonts w:ascii="宋体" w:hAnsi="宋体" w:cs="宋体"/>
                <w:bCs/>
                <w:color w:val="auto"/>
                <w:szCs w:val="21"/>
                <w:highlight w:val="none"/>
              </w:rPr>
            </w:pPr>
            <w:r>
              <w:rPr>
                <w:rFonts w:hint="eastAsia" w:ascii="宋体" w:hAnsi="宋体" w:cs="宋体"/>
                <w:bCs/>
                <w:color w:val="auto"/>
                <w:szCs w:val="21"/>
                <w:highlight w:val="none"/>
              </w:rPr>
              <w:t>2、所有设备供货、安装调试完成并通过最终验收后支付合同余款。</w:t>
            </w:r>
          </w:p>
          <w:p w14:paraId="6C09FE80">
            <w:pPr>
              <w:spacing w:line="400" w:lineRule="exact"/>
              <w:rPr>
                <w:rFonts w:ascii="宋体" w:hAnsi="宋体" w:cs="宋体"/>
                <w:color w:val="auto"/>
                <w:szCs w:val="21"/>
                <w:highlight w:val="none"/>
              </w:rPr>
            </w:pPr>
            <w:r>
              <w:rPr>
                <w:rFonts w:hint="eastAsia" w:ascii="宋体" w:hAnsi="宋体" w:cs="宋体"/>
                <w:bCs/>
                <w:color w:val="auto"/>
                <w:szCs w:val="21"/>
                <w:highlight w:val="none"/>
              </w:rPr>
              <w:t>注：</w:t>
            </w:r>
            <w:r>
              <w:rPr>
                <w:rFonts w:hint="eastAsia" w:ascii="宋体" w:hAnsi="宋体" w:cs="宋体"/>
                <w:bCs/>
                <w:color w:val="auto"/>
                <w:szCs w:val="21"/>
                <w:highlight w:val="none"/>
                <w:lang w:val="en-US" w:eastAsia="zh-CN"/>
              </w:rPr>
              <w:t>招标</w:t>
            </w:r>
            <w:r>
              <w:rPr>
                <w:rFonts w:hint="eastAsia" w:ascii="宋体" w:hAnsi="宋体" w:cs="宋体"/>
                <w:bCs/>
                <w:color w:val="auto"/>
                <w:szCs w:val="21"/>
                <w:highlight w:val="none"/>
              </w:rPr>
              <w:t>人对于满足合同约定支付条件的，</w:t>
            </w:r>
            <w:r>
              <w:rPr>
                <w:rFonts w:hint="eastAsia" w:ascii="宋体" w:hAnsi="宋体" w:cs="宋体"/>
                <w:bCs/>
                <w:color w:val="auto"/>
                <w:szCs w:val="21"/>
                <w:highlight w:val="none"/>
                <w:lang w:val="en-US" w:eastAsia="zh-CN"/>
              </w:rPr>
              <w:t>针对中小企业</w:t>
            </w:r>
            <w:r>
              <w:rPr>
                <w:rFonts w:hint="eastAsia" w:ascii="宋体" w:hAnsi="宋体" w:cs="宋体"/>
                <w:bCs/>
                <w:color w:val="auto"/>
                <w:szCs w:val="21"/>
                <w:highlight w:val="none"/>
              </w:rPr>
              <w:t>自收到发票后7个工作日内支付至中标人账户</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针对大型企业</w:t>
            </w:r>
            <w:r>
              <w:rPr>
                <w:rFonts w:hint="eastAsia" w:ascii="宋体" w:hAnsi="宋体" w:cs="宋体"/>
                <w:bCs/>
                <w:color w:val="auto"/>
                <w:szCs w:val="21"/>
                <w:highlight w:val="none"/>
              </w:rPr>
              <w:t>自收到发票后</w:t>
            </w:r>
            <w:r>
              <w:rPr>
                <w:rFonts w:hint="eastAsia" w:ascii="宋体" w:hAnsi="宋体" w:cs="宋体"/>
                <w:bCs/>
                <w:color w:val="auto"/>
                <w:szCs w:val="21"/>
                <w:highlight w:val="none"/>
                <w:lang w:val="en-US" w:eastAsia="zh-CN"/>
              </w:rPr>
              <w:t>15</w:t>
            </w:r>
            <w:r>
              <w:rPr>
                <w:rFonts w:hint="eastAsia" w:ascii="宋体" w:hAnsi="宋体" w:cs="宋体"/>
                <w:bCs/>
                <w:color w:val="auto"/>
                <w:szCs w:val="21"/>
                <w:highlight w:val="none"/>
              </w:rPr>
              <w:t>日内支付至中标人账户。中标人不提供发票的，</w:t>
            </w:r>
            <w:r>
              <w:rPr>
                <w:rFonts w:hint="eastAsia" w:ascii="宋体" w:hAnsi="宋体" w:cs="宋体"/>
                <w:bCs/>
                <w:color w:val="auto"/>
                <w:szCs w:val="21"/>
                <w:highlight w:val="none"/>
                <w:lang w:val="en-US" w:eastAsia="zh-CN"/>
              </w:rPr>
              <w:t>招标</w:t>
            </w:r>
            <w:r>
              <w:rPr>
                <w:rFonts w:hint="eastAsia" w:ascii="宋体" w:hAnsi="宋体" w:cs="宋体"/>
                <w:bCs/>
                <w:color w:val="auto"/>
                <w:szCs w:val="21"/>
                <w:highlight w:val="none"/>
              </w:rPr>
              <w:t>人有权不予支付。</w:t>
            </w:r>
          </w:p>
        </w:tc>
      </w:tr>
      <w:tr w14:paraId="778769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174" w:type="dxa"/>
            <w:vAlign w:val="center"/>
          </w:tcPr>
          <w:p w14:paraId="11753AD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质量保证</w:t>
            </w:r>
          </w:p>
        </w:tc>
        <w:tc>
          <w:tcPr>
            <w:tcW w:w="6897" w:type="dxa"/>
            <w:vAlign w:val="center"/>
          </w:tcPr>
          <w:p w14:paraId="1785EAFE">
            <w:pPr>
              <w:spacing w:line="400" w:lineRule="exact"/>
              <w:rPr>
                <w:rFonts w:ascii="宋体" w:hAnsi="宋体" w:cs="宋体"/>
                <w:bCs/>
                <w:color w:val="auto"/>
                <w:szCs w:val="21"/>
                <w:highlight w:val="none"/>
              </w:rPr>
            </w:pPr>
            <w:r>
              <w:rPr>
                <w:rFonts w:hint="eastAsia" w:ascii="宋体" w:hAnsi="宋体" w:cs="宋体"/>
                <w:bCs/>
                <w:color w:val="auto"/>
                <w:szCs w:val="21"/>
                <w:highlight w:val="none"/>
              </w:rPr>
              <w:t>（1）中标人确保提供的货物完全是崭新产品。所提供货物质量必须符合国家相关标准，必须满足本次采购的要求，若所供货物经产品质量检测机构检测认定质量不合格，造成的损失和后果由该供应商负全责。</w:t>
            </w:r>
          </w:p>
          <w:p w14:paraId="6E60EA91">
            <w:pPr>
              <w:spacing w:line="400" w:lineRule="exact"/>
              <w:rPr>
                <w:rFonts w:ascii="宋体" w:hAnsi="宋体" w:cs="宋体"/>
                <w:bCs/>
                <w:color w:val="auto"/>
                <w:szCs w:val="21"/>
                <w:highlight w:val="none"/>
              </w:rPr>
            </w:pPr>
            <w:r>
              <w:rPr>
                <w:rFonts w:hint="eastAsia" w:ascii="宋体" w:hAnsi="宋体" w:cs="宋体"/>
                <w:bCs/>
                <w:color w:val="auto"/>
                <w:szCs w:val="21"/>
                <w:highlight w:val="none"/>
              </w:rPr>
              <w:t>（2）质保期3年，时间从采购人验收合格之日起计算。若“一、采购清单及技术参数”中有具体质保期的，以“技术参数”中的为准。</w:t>
            </w:r>
          </w:p>
          <w:p w14:paraId="26991B5C">
            <w:pPr>
              <w:spacing w:line="400" w:lineRule="exact"/>
              <w:rPr>
                <w:rFonts w:ascii="宋体" w:hAnsi="宋体" w:cs="宋体"/>
                <w:bCs/>
                <w:color w:val="auto"/>
                <w:szCs w:val="21"/>
                <w:highlight w:val="none"/>
              </w:rPr>
            </w:pPr>
            <w:r>
              <w:rPr>
                <w:rFonts w:hint="eastAsia" w:ascii="宋体" w:hAnsi="宋体" w:cs="宋体"/>
                <w:bCs/>
                <w:color w:val="auto"/>
                <w:szCs w:val="21"/>
                <w:highlight w:val="none"/>
              </w:rPr>
              <w:t>（3）质保期内供应商须免费负责修理和替换任何由于配件自身的质量问题造成的损坏。</w:t>
            </w:r>
          </w:p>
        </w:tc>
      </w:tr>
      <w:tr w14:paraId="19AD7A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174" w:type="dxa"/>
            <w:vAlign w:val="center"/>
          </w:tcPr>
          <w:p w14:paraId="4A650DE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免费维修的响应期限</w:t>
            </w:r>
            <w:r>
              <w:rPr>
                <w:rFonts w:hint="eastAsia" w:ascii="宋体" w:hAnsi="宋体" w:cs="宋体"/>
                <w:color w:val="auto"/>
                <w:szCs w:val="21"/>
                <w:highlight w:val="none"/>
              </w:rPr>
              <w:tab/>
            </w:r>
          </w:p>
        </w:tc>
        <w:tc>
          <w:tcPr>
            <w:tcW w:w="6897" w:type="dxa"/>
            <w:vAlign w:val="center"/>
          </w:tcPr>
          <w:p w14:paraId="5F3E864B">
            <w:pPr>
              <w:spacing w:line="400" w:lineRule="exact"/>
              <w:rPr>
                <w:rFonts w:ascii="宋体" w:hAnsi="宋体" w:cs="宋体"/>
                <w:bCs/>
                <w:color w:val="auto"/>
                <w:szCs w:val="21"/>
                <w:highlight w:val="none"/>
              </w:rPr>
            </w:pPr>
            <w:r>
              <w:rPr>
                <w:rFonts w:hint="eastAsia" w:ascii="宋体" w:hAnsi="宋体" w:cs="宋体"/>
                <w:bCs/>
                <w:color w:val="auto"/>
                <w:szCs w:val="21"/>
                <w:highlight w:val="none"/>
              </w:rPr>
              <w:t>在产品保修期内，一旦发生质量问题，供应商保证在接到通知后30分钟内作出响应，4小时内到现场进行维修、更换或退货，费用由供应商负责。如供应商在接到通知的4小时内没有答复或处理问题，则视为供应商承认质量问题并承担由此而发生的一切费用。保修期间产品的一切质量问题，更换部件及产品本身质量原因造成的直接经济损失应全部由供应商自行负责，更换时间不得超过48小时。</w:t>
            </w:r>
          </w:p>
        </w:tc>
      </w:tr>
      <w:tr w14:paraId="06FAC3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2174" w:type="dxa"/>
            <w:vAlign w:val="center"/>
          </w:tcPr>
          <w:p w14:paraId="08B6A64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897" w:type="dxa"/>
            <w:vAlign w:val="center"/>
          </w:tcPr>
          <w:p w14:paraId="1C5E953E">
            <w:pPr>
              <w:spacing w:line="400" w:lineRule="exact"/>
              <w:rPr>
                <w:rFonts w:ascii="宋体" w:hAnsi="宋体" w:cs="宋体"/>
                <w:bCs/>
                <w:color w:val="auto"/>
                <w:szCs w:val="21"/>
                <w:highlight w:val="none"/>
              </w:rPr>
            </w:pPr>
            <w:r>
              <w:rPr>
                <w:rFonts w:hint="eastAsia" w:ascii="宋体" w:hAnsi="宋体" w:cs="宋体"/>
                <w:bCs/>
                <w:color w:val="auto"/>
                <w:szCs w:val="21"/>
                <w:highlight w:val="none"/>
              </w:rPr>
              <w:t>（1）履约保证金金额：合同金额的1%，于合同签订后三日内缴纳履约保证金。</w:t>
            </w:r>
          </w:p>
          <w:p w14:paraId="27B9984A">
            <w:pPr>
              <w:spacing w:line="400" w:lineRule="exact"/>
              <w:rPr>
                <w:rFonts w:ascii="宋体" w:hAnsi="宋体" w:cs="宋体"/>
                <w:bCs/>
                <w:color w:val="auto"/>
                <w:szCs w:val="21"/>
                <w:highlight w:val="none"/>
              </w:rPr>
            </w:pPr>
            <w:r>
              <w:rPr>
                <w:rFonts w:hint="eastAsia" w:ascii="宋体" w:hAnsi="宋体" w:cs="宋体"/>
                <w:bCs/>
                <w:color w:val="auto"/>
                <w:szCs w:val="21"/>
                <w:highlight w:val="none"/>
              </w:rPr>
              <w:t>（2）履约保证金形式：银行汇票（电汇）或支票（仅限于使用宁波大市区范围内的银行开具的支票）、保险公司或银行出具的保函等；</w:t>
            </w:r>
          </w:p>
          <w:p w14:paraId="4E3EAD8F">
            <w:pPr>
              <w:spacing w:line="400" w:lineRule="exact"/>
              <w:rPr>
                <w:rFonts w:ascii="宋体" w:hAnsi="宋体" w:cs="宋体"/>
                <w:bCs/>
                <w:color w:val="auto"/>
                <w:szCs w:val="21"/>
                <w:highlight w:val="none"/>
              </w:rPr>
            </w:pPr>
            <w:r>
              <w:rPr>
                <w:rFonts w:hint="eastAsia" w:ascii="宋体" w:hAnsi="宋体" w:cs="宋体"/>
                <w:bCs/>
                <w:color w:val="auto"/>
                <w:szCs w:val="21"/>
                <w:highlight w:val="none"/>
              </w:rPr>
              <w:t>（3）履约保证金的退还：在项目验收结束后一次性退还（若在项目验收结束前，中标人未按要求进行供货或者服务的，采购人有权从履约保证金中得到补偿）。</w:t>
            </w:r>
          </w:p>
        </w:tc>
      </w:tr>
      <w:tr w14:paraId="2E969E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2174" w:type="dxa"/>
            <w:vAlign w:val="center"/>
          </w:tcPr>
          <w:p w14:paraId="51CAA2C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签订合同时间</w:t>
            </w:r>
          </w:p>
        </w:tc>
        <w:tc>
          <w:tcPr>
            <w:tcW w:w="6897" w:type="dxa"/>
            <w:vAlign w:val="center"/>
          </w:tcPr>
          <w:p w14:paraId="5CB0AF19">
            <w:pPr>
              <w:spacing w:line="400" w:lineRule="exact"/>
              <w:rPr>
                <w:rFonts w:ascii="宋体" w:hAnsi="宋体" w:cs="宋体"/>
                <w:bCs/>
                <w:color w:val="auto"/>
                <w:szCs w:val="21"/>
                <w:highlight w:val="none"/>
              </w:rPr>
            </w:pPr>
            <w:r>
              <w:rPr>
                <w:rFonts w:hint="eastAsia" w:ascii="宋体" w:hAnsi="宋体" w:cs="宋体"/>
                <w:bCs/>
                <w:color w:val="auto"/>
                <w:szCs w:val="21"/>
                <w:highlight w:val="none"/>
              </w:rPr>
              <w:t>中标通知书发出之日起30日内签订合同，具体签约时间以采购人通知为准。</w:t>
            </w:r>
          </w:p>
        </w:tc>
      </w:tr>
    </w:tbl>
    <w:p w14:paraId="76A0DBB0">
      <w:pPr>
        <w:pStyle w:val="82"/>
        <w:rPr>
          <w:rFonts w:ascii="宋体" w:hAnsi="宋体" w:eastAsia="宋体" w:cs="宋体"/>
          <w:color w:val="auto"/>
          <w:highlight w:val="none"/>
        </w:rPr>
      </w:pPr>
    </w:p>
    <w:p w14:paraId="66A2B219">
      <w:pPr>
        <w:pStyle w:val="3"/>
        <w:rPr>
          <w:rFonts w:hint="eastAsia"/>
          <w:color w:val="auto"/>
          <w:highlight w:val="none"/>
        </w:rPr>
      </w:pPr>
      <w:bookmarkStart w:id="69" w:name="_Toc29375"/>
    </w:p>
    <w:p w14:paraId="4FCBEEF4">
      <w:pPr>
        <w:pStyle w:val="3"/>
        <w:rPr>
          <w:rFonts w:hint="eastAsia"/>
          <w:color w:val="auto"/>
          <w:highlight w:val="none"/>
        </w:rPr>
        <w:sectPr>
          <w:pgSz w:w="11906" w:h="16838"/>
          <w:pgMar w:top="1440" w:right="1440" w:bottom="1440" w:left="1440" w:header="851" w:footer="992" w:gutter="0"/>
          <w:cols w:space="0" w:num="1"/>
          <w:titlePg/>
          <w:docGrid w:linePitch="312" w:charSpace="0"/>
        </w:sectPr>
      </w:pPr>
    </w:p>
    <w:p w14:paraId="714E1ED2">
      <w:pPr>
        <w:pStyle w:val="3"/>
        <w:rPr>
          <w:color w:val="auto"/>
          <w:highlight w:val="none"/>
        </w:rPr>
      </w:pPr>
      <w:r>
        <w:rPr>
          <w:rFonts w:hint="eastAsia"/>
          <w:color w:val="auto"/>
          <w:highlight w:val="none"/>
        </w:rPr>
        <w:t xml:space="preserve">第四部分   </w:t>
      </w:r>
      <w:bookmarkStart w:id="70" w:name="_Toc184314482"/>
      <w:bookmarkEnd w:id="70"/>
      <w:bookmarkStart w:id="71" w:name="_Toc184310306"/>
      <w:bookmarkEnd w:id="71"/>
      <w:bookmarkStart w:id="72" w:name="_Toc184312117"/>
      <w:bookmarkEnd w:id="72"/>
      <w:bookmarkStart w:id="73" w:name="_Toc184312080"/>
      <w:bookmarkEnd w:id="73"/>
      <w:bookmarkStart w:id="74" w:name="_Toc184314413"/>
      <w:bookmarkEnd w:id="74"/>
      <w:bookmarkStart w:id="75" w:name="_Toc184310330"/>
      <w:bookmarkEnd w:id="75"/>
      <w:bookmarkStart w:id="76" w:name="_Toc184308036"/>
      <w:bookmarkEnd w:id="76"/>
      <w:bookmarkStart w:id="77" w:name="_Toc184313293"/>
      <w:bookmarkEnd w:id="77"/>
      <w:bookmarkStart w:id="78" w:name="_Toc184312089"/>
      <w:bookmarkEnd w:id="78"/>
      <w:bookmarkStart w:id="79" w:name="_Toc184310289"/>
      <w:bookmarkEnd w:id="79"/>
      <w:bookmarkStart w:id="80" w:name="_Toc184312107"/>
      <w:bookmarkEnd w:id="80"/>
      <w:bookmarkStart w:id="81" w:name="_Toc184314412"/>
      <w:bookmarkEnd w:id="81"/>
      <w:bookmarkStart w:id="82" w:name="_Toc184308038"/>
      <w:bookmarkEnd w:id="82"/>
      <w:bookmarkStart w:id="83" w:name="_Toc184308048"/>
      <w:bookmarkEnd w:id="83"/>
      <w:bookmarkStart w:id="84" w:name="_Toc184313291"/>
      <w:bookmarkEnd w:id="84"/>
      <w:bookmarkStart w:id="85" w:name="_Toc184313274"/>
      <w:bookmarkEnd w:id="85"/>
      <w:bookmarkStart w:id="86" w:name="_Toc184310333"/>
      <w:bookmarkEnd w:id="86"/>
      <w:bookmarkStart w:id="87" w:name="_Toc184312118"/>
      <w:bookmarkEnd w:id="87"/>
      <w:bookmarkStart w:id="88" w:name="_Toc184308105"/>
      <w:bookmarkEnd w:id="88"/>
      <w:bookmarkStart w:id="89" w:name="_Toc184310283"/>
      <w:bookmarkEnd w:id="89"/>
      <w:bookmarkStart w:id="90" w:name="_Toc184310291"/>
      <w:bookmarkEnd w:id="90"/>
      <w:bookmarkStart w:id="91" w:name="_Toc184313247"/>
      <w:bookmarkEnd w:id="91"/>
      <w:bookmarkStart w:id="92" w:name="_Toc184313288"/>
      <w:bookmarkEnd w:id="92"/>
      <w:bookmarkStart w:id="93" w:name="_Toc184312100"/>
      <w:bookmarkEnd w:id="93"/>
      <w:bookmarkStart w:id="94" w:name="_Toc184312099"/>
      <w:bookmarkEnd w:id="94"/>
      <w:bookmarkStart w:id="95" w:name="_Toc184310278"/>
      <w:bookmarkEnd w:id="95"/>
      <w:bookmarkStart w:id="96" w:name="_Toc184314418"/>
      <w:bookmarkEnd w:id="96"/>
      <w:bookmarkStart w:id="97" w:name="_Toc184312109"/>
      <w:bookmarkEnd w:id="97"/>
      <w:bookmarkStart w:id="98" w:name="_Toc184312130"/>
      <w:bookmarkEnd w:id="98"/>
      <w:bookmarkStart w:id="99" w:name="_Toc184313282"/>
      <w:bookmarkEnd w:id="99"/>
      <w:bookmarkStart w:id="100" w:name="_Toc184314477"/>
      <w:bookmarkEnd w:id="100"/>
      <w:bookmarkStart w:id="101" w:name="_Toc184310335"/>
      <w:bookmarkEnd w:id="101"/>
      <w:bookmarkStart w:id="102" w:name="_Toc184313238"/>
      <w:bookmarkEnd w:id="102"/>
      <w:bookmarkStart w:id="103" w:name="_Toc184310316"/>
      <w:bookmarkEnd w:id="103"/>
      <w:bookmarkStart w:id="104" w:name="_Toc184310337"/>
      <w:bookmarkEnd w:id="104"/>
      <w:bookmarkStart w:id="105" w:name="_Toc184310295"/>
      <w:bookmarkEnd w:id="105"/>
      <w:bookmarkStart w:id="106" w:name="_Toc184313276"/>
      <w:bookmarkEnd w:id="106"/>
      <w:bookmarkStart w:id="107" w:name="_Toc184314471"/>
      <w:bookmarkEnd w:id="107"/>
      <w:bookmarkStart w:id="108" w:name="_Toc184314466"/>
      <w:bookmarkEnd w:id="108"/>
      <w:bookmarkStart w:id="109" w:name="_Toc184308075"/>
      <w:bookmarkEnd w:id="109"/>
      <w:bookmarkStart w:id="110" w:name="_Toc184313284"/>
      <w:bookmarkEnd w:id="110"/>
      <w:bookmarkStart w:id="111" w:name="_Toc184310328"/>
      <w:bookmarkEnd w:id="111"/>
      <w:bookmarkStart w:id="112" w:name="_Toc184312092"/>
      <w:bookmarkEnd w:id="112"/>
      <w:bookmarkStart w:id="113" w:name="_Toc184314440"/>
      <w:bookmarkEnd w:id="113"/>
      <w:bookmarkStart w:id="114" w:name="_Toc184312121"/>
      <w:bookmarkEnd w:id="114"/>
      <w:bookmarkStart w:id="115" w:name="_Toc184310327"/>
      <w:bookmarkEnd w:id="115"/>
      <w:bookmarkStart w:id="116" w:name="_Toc184312114"/>
      <w:bookmarkEnd w:id="116"/>
      <w:bookmarkStart w:id="117" w:name="_Toc184308093"/>
      <w:bookmarkEnd w:id="117"/>
      <w:bookmarkStart w:id="118" w:name="_Toc184312139"/>
      <w:bookmarkEnd w:id="118"/>
      <w:bookmarkStart w:id="119" w:name="_Toc184313239"/>
      <w:bookmarkEnd w:id="119"/>
      <w:bookmarkStart w:id="120" w:name="_Toc184313248"/>
      <w:bookmarkEnd w:id="120"/>
      <w:bookmarkStart w:id="121" w:name="_Toc184308044"/>
      <w:bookmarkEnd w:id="121"/>
      <w:bookmarkStart w:id="122" w:name="_Toc184314444"/>
      <w:bookmarkEnd w:id="122"/>
      <w:bookmarkStart w:id="123" w:name="_Toc184314451"/>
      <w:bookmarkEnd w:id="123"/>
      <w:bookmarkStart w:id="124" w:name="_Toc184314480"/>
      <w:bookmarkEnd w:id="124"/>
      <w:bookmarkStart w:id="125" w:name="_Toc184312125"/>
      <w:bookmarkEnd w:id="125"/>
      <w:bookmarkStart w:id="126" w:name="_Toc184310312"/>
      <w:bookmarkEnd w:id="126"/>
      <w:bookmarkStart w:id="127" w:name="_Toc184313275"/>
      <w:bookmarkEnd w:id="127"/>
      <w:bookmarkStart w:id="128" w:name="_Toc184314473"/>
      <w:bookmarkEnd w:id="128"/>
      <w:bookmarkStart w:id="129" w:name="_Toc184310314"/>
      <w:bookmarkEnd w:id="129"/>
      <w:bookmarkStart w:id="130" w:name="_Toc184313269"/>
      <w:bookmarkEnd w:id="130"/>
      <w:bookmarkStart w:id="131" w:name="_Toc184312086"/>
      <w:bookmarkEnd w:id="131"/>
      <w:bookmarkStart w:id="132" w:name="_Toc184312093"/>
      <w:bookmarkEnd w:id="132"/>
      <w:bookmarkStart w:id="133" w:name="_Toc184314426"/>
      <w:bookmarkEnd w:id="133"/>
      <w:bookmarkStart w:id="134" w:name="_Toc184310332"/>
      <w:bookmarkEnd w:id="134"/>
      <w:bookmarkStart w:id="135" w:name="_Toc184308063"/>
      <w:bookmarkEnd w:id="135"/>
      <w:bookmarkStart w:id="136" w:name="_Toc184312068"/>
      <w:bookmarkEnd w:id="136"/>
      <w:bookmarkStart w:id="137" w:name="_Toc184312101"/>
      <w:bookmarkEnd w:id="137"/>
      <w:bookmarkStart w:id="138" w:name="_Toc184310276"/>
      <w:bookmarkEnd w:id="138"/>
      <w:bookmarkStart w:id="139" w:name="_Toc184314449"/>
      <w:bookmarkEnd w:id="139"/>
      <w:bookmarkStart w:id="140" w:name="_Toc184308050"/>
      <w:bookmarkEnd w:id="140"/>
      <w:bookmarkStart w:id="141" w:name="_Toc184313246"/>
      <w:bookmarkEnd w:id="141"/>
      <w:bookmarkStart w:id="142" w:name="_Toc184314419"/>
      <w:bookmarkEnd w:id="142"/>
      <w:bookmarkStart w:id="143" w:name="_Toc184308043"/>
      <w:bookmarkEnd w:id="143"/>
      <w:bookmarkStart w:id="144" w:name="_Toc184313242"/>
      <w:bookmarkEnd w:id="144"/>
      <w:bookmarkStart w:id="145" w:name="_Toc184312088"/>
      <w:bookmarkEnd w:id="145"/>
      <w:bookmarkStart w:id="146" w:name="_Toc184312075"/>
      <w:bookmarkEnd w:id="146"/>
      <w:bookmarkStart w:id="147" w:name="_Toc184313294"/>
      <w:bookmarkEnd w:id="147"/>
      <w:bookmarkStart w:id="148" w:name="_Toc184310290"/>
      <w:bookmarkEnd w:id="148"/>
      <w:bookmarkStart w:id="149" w:name="_Toc184312074"/>
      <w:bookmarkEnd w:id="149"/>
      <w:bookmarkStart w:id="150" w:name="_Toc184308070"/>
      <w:bookmarkEnd w:id="150"/>
      <w:bookmarkStart w:id="151" w:name="_Toc184314452"/>
      <w:bookmarkEnd w:id="151"/>
      <w:bookmarkStart w:id="152" w:name="_Toc184308099"/>
      <w:bookmarkEnd w:id="152"/>
      <w:bookmarkStart w:id="153" w:name="_Toc184310282"/>
      <w:bookmarkEnd w:id="153"/>
      <w:bookmarkStart w:id="154" w:name="_Toc184310294"/>
      <w:bookmarkEnd w:id="154"/>
      <w:bookmarkStart w:id="155" w:name="_Toc184312112"/>
      <w:bookmarkEnd w:id="155"/>
      <w:bookmarkStart w:id="156" w:name="_Toc184312136"/>
      <w:bookmarkEnd w:id="156"/>
      <w:bookmarkStart w:id="157" w:name="_Toc184312084"/>
      <w:bookmarkEnd w:id="157"/>
      <w:bookmarkStart w:id="158" w:name="_Toc184312127"/>
      <w:bookmarkEnd w:id="158"/>
      <w:bookmarkStart w:id="159" w:name="_Toc184313310"/>
      <w:bookmarkEnd w:id="159"/>
      <w:bookmarkStart w:id="160" w:name="_Toc184312071"/>
      <w:bookmarkEnd w:id="160"/>
      <w:bookmarkStart w:id="161" w:name="_Toc184314461"/>
      <w:bookmarkEnd w:id="161"/>
      <w:bookmarkStart w:id="162" w:name="_Toc184308047"/>
      <w:bookmarkEnd w:id="162"/>
      <w:bookmarkStart w:id="163" w:name="_Toc184312132"/>
      <w:bookmarkEnd w:id="163"/>
      <w:bookmarkStart w:id="164" w:name="_Toc184310286"/>
      <w:bookmarkEnd w:id="164"/>
      <w:bookmarkStart w:id="165" w:name="_Toc184310292"/>
      <w:bookmarkEnd w:id="165"/>
      <w:bookmarkStart w:id="166" w:name="_Toc184313295"/>
      <w:bookmarkEnd w:id="166"/>
      <w:bookmarkStart w:id="167" w:name="_Toc184310315"/>
      <w:bookmarkEnd w:id="167"/>
      <w:bookmarkStart w:id="168" w:name="_Toc184314453"/>
      <w:bookmarkEnd w:id="168"/>
      <w:bookmarkStart w:id="169" w:name="_Toc184310309"/>
      <w:bookmarkEnd w:id="169"/>
      <w:bookmarkStart w:id="170" w:name="_Toc184308088"/>
      <w:bookmarkEnd w:id="170"/>
      <w:bookmarkStart w:id="171" w:name="_Toc184313278"/>
      <w:bookmarkEnd w:id="171"/>
      <w:bookmarkStart w:id="172" w:name="_Toc184312090"/>
      <w:bookmarkEnd w:id="172"/>
      <w:bookmarkStart w:id="173" w:name="_Toc184308039"/>
      <w:bookmarkEnd w:id="173"/>
      <w:bookmarkStart w:id="174" w:name="_Toc184313296"/>
      <w:bookmarkEnd w:id="174"/>
      <w:bookmarkStart w:id="175" w:name="_Toc184314468"/>
      <w:bookmarkEnd w:id="175"/>
      <w:bookmarkStart w:id="176" w:name="_Toc184310336"/>
      <w:bookmarkEnd w:id="176"/>
      <w:bookmarkStart w:id="177" w:name="_Toc184312131"/>
      <w:bookmarkEnd w:id="177"/>
      <w:bookmarkStart w:id="178" w:name="_Toc184313292"/>
      <w:bookmarkEnd w:id="178"/>
      <w:bookmarkStart w:id="179" w:name="_Toc184310331"/>
      <w:bookmarkEnd w:id="179"/>
      <w:bookmarkStart w:id="180" w:name="_Toc184310319"/>
      <w:bookmarkEnd w:id="180"/>
      <w:bookmarkStart w:id="181" w:name="_Toc184313289"/>
      <w:bookmarkEnd w:id="181"/>
      <w:bookmarkStart w:id="182" w:name="_Toc184314414"/>
      <w:bookmarkEnd w:id="182"/>
      <w:bookmarkStart w:id="183" w:name="_Toc184308071"/>
      <w:bookmarkEnd w:id="183"/>
      <w:bookmarkStart w:id="184" w:name="_Toc184314437"/>
      <w:bookmarkEnd w:id="184"/>
      <w:bookmarkStart w:id="185" w:name="_Toc184313257"/>
      <w:bookmarkEnd w:id="185"/>
      <w:bookmarkStart w:id="186" w:name="_Toc184312137"/>
      <w:bookmarkEnd w:id="186"/>
      <w:bookmarkStart w:id="187" w:name="_Toc184308080"/>
      <w:bookmarkEnd w:id="187"/>
      <w:bookmarkStart w:id="188" w:name="_Toc184312129"/>
      <w:bookmarkEnd w:id="188"/>
      <w:bookmarkStart w:id="189" w:name="_Toc184310296"/>
      <w:bookmarkEnd w:id="189"/>
      <w:bookmarkStart w:id="190" w:name="_Toc184308087"/>
      <w:bookmarkEnd w:id="190"/>
      <w:bookmarkStart w:id="191" w:name="_Toc184308095"/>
      <w:bookmarkEnd w:id="191"/>
      <w:bookmarkStart w:id="192" w:name="_Toc184313307"/>
      <w:bookmarkEnd w:id="192"/>
      <w:bookmarkStart w:id="193" w:name="_Toc184313280"/>
      <w:bookmarkEnd w:id="193"/>
      <w:bookmarkStart w:id="194" w:name="_Toc184310310"/>
      <w:bookmarkEnd w:id="194"/>
      <w:bookmarkStart w:id="195" w:name="_Toc184314469"/>
      <w:bookmarkEnd w:id="195"/>
      <w:bookmarkStart w:id="196" w:name="_Toc184310326"/>
      <w:bookmarkEnd w:id="196"/>
      <w:bookmarkStart w:id="197" w:name="_Toc184312120"/>
      <w:bookmarkEnd w:id="197"/>
      <w:bookmarkStart w:id="198" w:name="_Toc184312104"/>
      <w:bookmarkEnd w:id="198"/>
      <w:bookmarkStart w:id="199" w:name="_Toc184313277"/>
      <w:bookmarkEnd w:id="199"/>
      <w:bookmarkStart w:id="200" w:name="_Toc184314460"/>
      <w:bookmarkEnd w:id="200"/>
      <w:bookmarkStart w:id="201" w:name="_Toc184314456"/>
      <w:bookmarkEnd w:id="201"/>
      <w:bookmarkStart w:id="202" w:name="_Toc184312110"/>
      <w:bookmarkEnd w:id="202"/>
      <w:bookmarkStart w:id="203" w:name="_Toc184308079"/>
      <w:bookmarkEnd w:id="203"/>
      <w:bookmarkStart w:id="204" w:name="_Toc184314445"/>
      <w:bookmarkEnd w:id="204"/>
      <w:bookmarkStart w:id="205" w:name="_Toc184308078"/>
      <w:bookmarkEnd w:id="205"/>
      <w:bookmarkStart w:id="206" w:name="_Toc184314423"/>
      <w:bookmarkEnd w:id="206"/>
      <w:bookmarkStart w:id="207" w:name="_Toc184314411"/>
      <w:bookmarkEnd w:id="207"/>
      <w:bookmarkStart w:id="208" w:name="_Toc184314474"/>
      <w:bookmarkEnd w:id="208"/>
      <w:bookmarkStart w:id="209" w:name="_Toc184310275"/>
      <w:bookmarkEnd w:id="209"/>
      <w:bookmarkStart w:id="210" w:name="_Toc184312091"/>
      <w:bookmarkEnd w:id="210"/>
      <w:bookmarkStart w:id="211" w:name="_Toc184308041"/>
      <w:bookmarkEnd w:id="211"/>
      <w:bookmarkStart w:id="212" w:name="_Toc184313290"/>
      <w:bookmarkEnd w:id="212"/>
      <w:bookmarkStart w:id="213" w:name="_Toc184312122"/>
      <w:bookmarkEnd w:id="213"/>
      <w:bookmarkStart w:id="214" w:name="_Toc184313261"/>
      <w:bookmarkEnd w:id="214"/>
      <w:bookmarkStart w:id="215" w:name="_Toc184312082"/>
      <w:bookmarkEnd w:id="215"/>
      <w:bookmarkStart w:id="216" w:name="_Toc184310302"/>
      <w:bookmarkEnd w:id="216"/>
      <w:bookmarkStart w:id="217" w:name="_Toc184310329"/>
      <w:bookmarkEnd w:id="217"/>
      <w:bookmarkStart w:id="218" w:name="_Toc184310311"/>
      <w:bookmarkEnd w:id="218"/>
      <w:bookmarkStart w:id="219" w:name="_Toc184308108"/>
      <w:bookmarkEnd w:id="219"/>
      <w:bookmarkStart w:id="220" w:name="_Toc184313308"/>
      <w:bookmarkEnd w:id="220"/>
      <w:bookmarkStart w:id="221" w:name="_Toc184314410"/>
      <w:bookmarkEnd w:id="221"/>
      <w:bookmarkStart w:id="222" w:name="_Toc184313252"/>
      <w:bookmarkEnd w:id="222"/>
      <w:bookmarkStart w:id="223" w:name="_Toc184312076"/>
      <w:bookmarkEnd w:id="223"/>
      <w:bookmarkStart w:id="224" w:name="_Toc184313245"/>
      <w:bookmarkEnd w:id="224"/>
      <w:bookmarkStart w:id="225" w:name="_Toc184308092"/>
      <w:bookmarkEnd w:id="225"/>
      <w:bookmarkStart w:id="226" w:name="_Toc184308051"/>
      <w:bookmarkEnd w:id="226"/>
      <w:bookmarkStart w:id="227" w:name="_Toc184312115"/>
      <w:bookmarkEnd w:id="227"/>
      <w:bookmarkStart w:id="228" w:name="_Toc184314446"/>
      <w:bookmarkEnd w:id="228"/>
      <w:bookmarkStart w:id="229" w:name="_Toc184313251"/>
      <w:bookmarkEnd w:id="229"/>
      <w:bookmarkStart w:id="230" w:name="_Toc184310308"/>
      <w:bookmarkEnd w:id="230"/>
      <w:bookmarkStart w:id="231" w:name="_Toc184313272"/>
      <w:bookmarkEnd w:id="231"/>
      <w:bookmarkStart w:id="232" w:name="_Toc184313240"/>
      <w:bookmarkEnd w:id="232"/>
      <w:bookmarkStart w:id="233" w:name="_Toc184308090"/>
      <w:bookmarkEnd w:id="233"/>
      <w:bookmarkStart w:id="234" w:name="_Toc184314422"/>
      <w:bookmarkEnd w:id="234"/>
      <w:bookmarkStart w:id="235" w:name="_Toc184314425"/>
      <w:bookmarkEnd w:id="235"/>
      <w:bookmarkStart w:id="236" w:name="_Toc184314428"/>
      <w:bookmarkEnd w:id="236"/>
      <w:bookmarkStart w:id="237" w:name="_Toc184308053"/>
      <w:bookmarkEnd w:id="237"/>
      <w:bookmarkStart w:id="238" w:name="_Toc184312079"/>
      <w:bookmarkEnd w:id="238"/>
      <w:bookmarkStart w:id="239" w:name="_Toc184314463"/>
      <w:bookmarkEnd w:id="239"/>
      <w:bookmarkStart w:id="240" w:name="_Toc184312123"/>
      <w:bookmarkEnd w:id="240"/>
      <w:bookmarkStart w:id="241" w:name="_Toc184312138"/>
      <w:bookmarkEnd w:id="241"/>
      <w:bookmarkStart w:id="242" w:name="_Toc184310324"/>
      <w:bookmarkEnd w:id="242"/>
      <w:bookmarkStart w:id="243" w:name="_Toc184314435"/>
      <w:bookmarkEnd w:id="243"/>
      <w:bookmarkStart w:id="244" w:name="_Toc184313270"/>
      <w:bookmarkEnd w:id="244"/>
      <w:bookmarkStart w:id="245" w:name="_Toc184313266"/>
      <w:bookmarkEnd w:id="245"/>
      <w:bookmarkStart w:id="246" w:name="_Toc184310305"/>
      <w:bookmarkEnd w:id="246"/>
      <w:bookmarkStart w:id="247" w:name="_Toc184308064"/>
      <w:bookmarkEnd w:id="247"/>
      <w:bookmarkStart w:id="248" w:name="_Toc184310334"/>
      <w:bookmarkEnd w:id="248"/>
      <w:bookmarkStart w:id="249" w:name="_Toc184308042"/>
      <w:bookmarkEnd w:id="249"/>
      <w:bookmarkStart w:id="250" w:name="_Toc184308074"/>
      <w:bookmarkEnd w:id="250"/>
      <w:bookmarkStart w:id="251" w:name="_Toc184310284"/>
      <w:bookmarkEnd w:id="251"/>
      <w:bookmarkStart w:id="252" w:name="_Toc184313305"/>
      <w:bookmarkEnd w:id="252"/>
      <w:bookmarkStart w:id="253" w:name="_Toc184310273"/>
      <w:bookmarkEnd w:id="253"/>
      <w:bookmarkStart w:id="254" w:name="_Toc184312081"/>
      <w:bookmarkEnd w:id="254"/>
      <w:bookmarkStart w:id="255" w:name="_Toc184312119"/>
      <w:bookmarkEnd w:id="255"/>
      <w:bookmarkStart w:id="256" w:name="_Toc184310297"/>
      <w:bookmarkEnd w:id="256"/>
      <w:bookmarkStart w:id="257" w:name="_Toc184314462"/>
      <w:bookmarkEnd w:id="257"/>
      <w:bookmarkStart w:id="258" w:name="_Toc184310344"/>
      <w:bookmarkEnd w:id="258"/>
      <w:bookmarkStart w:id="259" w:name="_Toc184313273"/>
      <w:bookmarkEnd w:id="259"/>
      <w:bookmarkStart w:id="260" w:name="_Toc184312097"/>
      <w:bookmarkEnd w:id="260"/>
      <w:bookmarkStart w:id="261" w:name="_Toc184313256"/>
      <w:bookmarkEnd w:id="261"/>
      <w:bookmarkStart w:id="262" w:name="_Toc184310279"/>
      <w:bookmarkEnd w:id="262"/>
      <w:bookmarkStart w:id="263" w:name="_Toc184313243"/>
      <w:bookmarkEnd w:id="263"/>
      <w:bookmarkStart w:id="264" w:name="_Toc184314436"/>
      <w:bookmarkEnd w:id="264"/>
      <w:bookmarkStart w:id="265" w:name="_Toc184314447"/>
      <w:bookmarkEnd w:id="265"/>
      <w:bookmarkStart w:id="266" w:name="_Toc184314443"/>
      <w:bookmarkEnd w:id="266"/>
      <w:bookmarkStart w:id="267" w:name="_Toc184308097"/>
      <w:bookmarkEnd w:id="267"/>
      <w:bookmarkStart w:id="268" w:name="_Toc184310317"/>
      <w:bookmarkEnd w:id="268"/>
      <w:bookmarkStart w:id="269" w:name="_Toc184312087"/>
      <w:bookmarkEnd w:id="269"/>
      <w:bookmarkStart w:id="270" w:name="_Toc184314475"/>
      <w:bookmarkEnd w:id="270"/>
      <w:bookmarkStart w:id="271" w:name="_Toc184313283"/>
      <w:bookmarkEnd w:id="271"/>
      <w:bookmarkStart w:id="272" w:name="_Toc184312113"/>
      <w:bookmarkEnd w:id="272"/>
      <w:bookmarkStart w:id="273" w:name="_Toc184314427"/>
      <w:bookmarkEnd w:id="273"/>
      <w:bookmarkStart w:id="274" w:name="_Toc184308104"/>
      <w:bookmarkEnd w:id="274"/>
      <w:bookmarkStart w:id="275" w:name="_Toc184314420"/>
      <w:bookmarkEnd w:id="275"/>
      <w:bookmarkStart w:id="276" w:name="_Toc184314442"/>
      <w:bookmarkEnd w:id="276"/>
      <w:bookmarkStart w:id="277" w:name="_Toc184310307"/>
      <w:bookmarkEnd w:id="277"/>
      <w:bookmarkStart w:id="278" w:name="_Toc184313300"/>
      <w:bookmarkEnd w:id="278"/>
      <w:bookmarkStart w:id="279" w:name="_Toc184308106"/>
      <w:bookmarkEnd w:id="279"/>
      <w:bookmarkStart w:id="280" w:name="_Toc184314479"/>
      <w:bookmarkEnd w:id="280"/>
      <w:bookmarkStart w:id="281" w:name="_Toc184308102"/>
      <w:bookmarkEnd w:id="281"/>
      <w:bookmarkStart w:id="282" w:name="_Toc184308077"/>
      <w:bookmarkEnd w:id="282"/>
      <w:bookmarkStart w:id="283" w:name="_Toc184310339"/>
      <w:bookmarkEnd w:id="283"/>
      <w:bookmarkStart w:id="284" w:name="_Toc184313249"/>
      <w:bookmarkEnd w:id="284"/>
      <w:bookmarkStart w:id="285" w:name="_Toc184308066"/>
      <w:bookmarkEnd w:id="285"/>
      <w:bookmarkStart w:id="286" w:name="_Toc184310281"/>
      <w:bookmarkEnd w:id="286"/>
      <w:bookmarkStart w:id="287" w:name="_Toc184308094"/>
      <w:bookmarkEnd w:id="287"/>
      <w:bookmarkStart w:id="288" w:name="_Toc184314481"/>
      <w:bookmarkEnd w:id="288"/>
      <w:bookmarkStart w:id="289" w:name="_Toc184313279"/>
      <w:bookmarkEnd w:id="289"/>
      <w:bookmarkStart w:id="290" w:name="_Toc184308040"/>
      <w:bookmarkEnd w:id="290"/>
      <w:bookmarkStart w:id="291" w:name="_Toc184313264"/>
      <w:bookmarkEnd w:id="291"/>
      <w:bookmarkStart w:id="292" w:name="_Toc184314455"/>
      <w:bookmarkEnd w:id="292"/>
      <w:bookmarkStart w:id="293" w:name="_Toc184312098"/>
      <w:bookmarkEnd w:id="293"/>
      <w:bookmarkStart w:id="294" w:name="_Toc184310285"/>
      <w:bookmarkEnd w:id="294"/>
      <w:bookmarkStart w:id="295" w:name="_Toc184308067"/>
      <w:bookmarkEnd w:id="295"/>
      <w:bookmarkStart w:id="296" w:name="_Toc184313287"/>
      <w:bookmarkEnd w:id="296"/>
      <w:bookmarkStart w:id="297" w:name="_Toc184308068"/>
      <w:bookmarkEnd w:id="297"/>
      <w:bookmarkStart w:id="298" w:name="_Toc184313306"/>
      <w:bookmarkEnd w:id="298"/>
      <w:bookmarkStart w:id="299" w:name="_Toc184313255"/>
      <w:bookmarkEnd w:id="299"/>
      <w:bookmarkStart w:id="300" w:name="_Toc184314439"/>
      <w:bookmarkEnd w:id="300"/>
      <w:bookmarkStart w:id="301" w:name="_Toc184310340"/>
      <w:bookmarkEnd w:id="301"/>
      <w:bookmarkStart w:id="302" w:name="_Toc184310322"/>
      <w:bookmarkEnd w:id="302"/>
      <w:bookmarkStart w:id="303" w:name="_Toc184310321"/>
      <w:bookmarkEnd w:id="303"/>
      <w:bookmarkStart w:id="304" w:name="_Toc184313262"/>
      <w:bookmarkEnd w:id="304"/>
      <w:bookmarkStart w:id="305" w:name="_Toc184312124"/>
      <w:bookmarkEnd w:id="305"/>
      <w:bookmarkStart w:id="306" w:name="_Toc184308061"/>
      <w:bookmarkEnd w:id="306"/>
      <w:bookmarkStart w:id="307" w:name="_Toc184310341"/>
      <w:bookmarkEnd w:id="307"/>
      <w:bookmarkStart w:id="308" w:name="_Toc184313281"/>
      <w:bookmarkEnd w:id="308"/>
      <w:bookmarkStart w:id="309" w:name="_Toc184314459"/>
      <w:bookmarkEnd w:id="309"/>
      <w:bookmarkStart w:id="310" w:name="_Toc184313309"/>
      <w:bookmarkEnd w:id="310"/>
      <w:bookmarkStart w:id="311" w:name="_Toc184312134"/>
      <w:bookmarkEnd w:id="311"/>
      <w:bookmarkStart w:id="312" w:name="_Toc184313299"/>
      <w:bookmarkEnd w:id="312"/>
      <w:bookmarkStart w:id="313" w:name="_Toc184312069"/>
      <w:bookmarkEnd w:id="313"/>
      <w:bookmarkStart w:id="314" w:name="_Toc184308083"/>
      <w:bookmarkEnd w:id="314"/>
      <w:bookmarkStart w:id="315" w:name="_Toc184312133"/>
      <w:bookmarkEnd w:id="315"/>
      <w:bookmarkStart w:id="316" w:name="_Toc184308089"/>
      <w:bookmarkEnd w:id="316"/>
      <w:bookmarkStart w:id="317" w:name="_Toc184310272"/>
      <w:bookmarkEnd w:id="317"/>
      <w:bookmarkStart w:id="318" w:name="_Toc184312094"/>
      <w:bookmarkEnd w:id="318"/>
      <w:bookmarkStart w:id="319" w:name="_Toc184314415"/>
      <w:bookmarkEnd w:id="319"/>
      <w:bookmarkStart w:id="320" w:name="_Toc184308057"/>
      <w:bookmarkEnd w:id="320"/>
      <w:bookmarkStart w:id="321" w:name="_Toc184314431"/>
      <w:bookmarkEnd w:id="321"/>
      <w:bookmarkStart w:id="322" w:name="_Toc184308055"/>
      <w:bookmarkEnd w:id="322"/>
      <w:bookmarkStart w:id="323" w:name="_Toc184314478"/>
      <w:bookmarkEnd w:id="323"/>
      <w:bookmarkStart w:id="324" w:name="_Toc184312085"/>
      <w:bookmarkEnd w:id="324"/>
      <w:bookmarkStart w:id="325" w:name="_Toc184314448"/>
      <w:bookmarkEnd w:id="325"/>
      <w:bookmarkStart w:id="326" w:name="_Toc184312070"/>
      <w:bookmarkEnd w:id="326"/>
      <w:bookmarkStart w:id="327" w:name="_Toc184312135"/>
      <w:bookmarkEnd w:id="327"/>
      <w:bookmarkStart w:id="328" w:name="_Toc184314458"/>
      <w:bookmarkEnd w:id="328"/>
      <w:bookmarkStart w:id="329" w:name="_Toc184313302"/>
      <w:bookmarkEnd w:id="329"/>
      <w:bookmarkStart w:id="330" w:name="_Toc184312128"/>
      <w:bookmarkEnd w:id="330"/>
      <w:bookmarkStart w:id="331" w:name="_Toc184312073"/>
      <w:bookmarkEnd w:id="331"/>
      <w:bookmarkStart w:id="332" w:name="_Toc184312108"/>
      <w:bookmarkEnd w:id="332"/>
      <w:bookmarkStart w:id="333" w:name="_Toc184312102"/>
      <w:bookmarkEnd w:id="333"/>
      <w:bookmarkStart w:id="334" w:name="_Toc184310301"/>
      <w:bookmarkEnd w:id="334"/>
      <w:bookmarkStart w:id="335" w:name="_Toc184314429"/>
      <w:bookmarkEnd w:id="335"/>
      <w:bookmarkStart w:id="336" w:name="_Toc184308098"/>
      <w:bookmarkEnd w:id="336"/>
      <w:bookmarkStart w:id="337" w:name="_Toc184314450"/>
      <w:bookmarkEnd w:id="337"/>
      <w:bookmarkStart w:id="338" w:name="_Toc184312077"/>
      <w:bookmarkEnd w:id="338"/>
      <w:bookmarkStart w:id="339" w:name="_Toc184312095"/>
      <w:bookmarkEnd w:id="339"/>
      <w:bookmarkStart w:id="340" w:name="_Toc184308091"/>
      <w:bookmarkEnd w:id="340"/>
      <w:bookmarkStart w:id="341" w:name="_Toc184308100"/>
      <w:bookmarkEnd w:id="341"/>
      <w:bookmarkStart w:id="342" w:name="_Toc184314464"/>
      <w:bookmarkEnd w:id="342"/>
      <w:bookmarkStart w:id="343" w:name="_Toc184314467"/>
      <w:bookmarkEnd w:id="343"/>
      <w:bookmarkStart w:id="344" w:name="_Toc184310303"/>
      <w:bookmarkEnd w:id="344"/>
      <w:bookmarkStart w:id="345" w:name="_Toc184308056"/>
      <w:bookmarkEnd w:id="345"/>
      <w:bookmarkStart w:id="346" w:name="_Toc184310304"/>
      <w:bookmarkEnd w:id="346"/>
      <w:bookmarkStart w:id="347" w:name="_Toc184313258"/>
      <w:bookmarkEnd w:id="347"/>
      <w:bookmarkStart w:id="348" w:name="_Toc184314476"/>
      <w:bookmarkEnd w:id="348"/>
      <w:bookmarkStart w:id="349" w:name="_Toc184310325"/>
      <w:bookmarkEnd w:id="349"/>
      <w:bookmarkStart w:id="350" w:name="_Toc184310300"/>
      <w:bookmarkEnd w:id="350"/>
      <w:bookmarkStart w:id="351" w:name="_Toc184308076"/>
      <w:bookmarkEnd w:id="351"/>
      <w:bookmarkStart w:id="352" w:name="_Toc184312103"/>
      <w:bookmarkEnd w:id="352"/>
      <w:bookmarkStart w:id="353" w:name="_Toc184314421"/>
      <w:bookmarkEnd w:id="353"/>
      <w:bookmarkStart w:id="354" w:name="_Toc184313304"/>
      <w:bookmarkEnd w:id="354"/>
      <w:bookmarkStart w:id="355" w:name="_Toc184308059"/>
      <w:bookmarkEnd w:id="355"/>
      <w:bookmarkStart w:id="356" w:name="_Toc184308045"/>
      <w:bookmarkEnd w:id="356"/>
      <w:bookmarkStart w:id="357" w:name="_Toc184312083"/>
      <w:bookmarkEnd w:id="357"/>
      <w:bookmarkStart w:id="358" w:name="_Toc184308107"/>
      <w:bookmarkEnd w:id="358"/>
      <w:bookmarkStart w:id="359" w:name="_Toc184308072"/>
      <w:bookmarkEnd w:id="359"/>
      <w:bookmarkStart w:id="360" w:name="_Toc184312126"/>
      <w:bookmarkEnd w:id="360"/>
      <w:bookmarkStart w:id="361" w:name="_Toc184308086"/>
      <w:bookmarkEnd w:id="361"/>
      <w:bookmarkStart w:id="362" w:name="_Toc184313286"/>
      <w:bookmarkEnd w:id="362"/>
      <w:bookmarkStart w:id="363" w:name="_Toc184314465"/>
      <w:bookmarkEnd w:id="363"/>
      <w:bookmarkStart w:id="364" w:name="_Toc184314417"/>
      <w:bookmarkEnd w:id="364"/>
      <w:bookmarkStart w:id="365" w:name="_Toc184314433"/>
      <w:bookmarkEnd w:id="365"/>
      <w:bookmarkStart w:id="366" w:name="_Toc184313268"/>
      <w:bookmarkEnd w:id="366"/>
      <w:bookmarkStart w:id="367" w:name="_Toc184308052"/>
      <w:bookmarkEnd w:id="367"/>
      <w:bookmarkStart w:id="368" w:name="_Toc184312072"/>
      <w:bookmarkEnd w:id="368"/>
      <w:bookmarkStart w:id="369" w:name="_Toc184310338"/>
      <w:bookmarkEnd w:id="369"/>
      <w:bookmarkStart w:id="370" w:name="_Toc184313254"/>
      <w:bookmarkEnd w:id="370"/>
      <w:bookmarkStart w:id="371" w:name="_Toc184310299"/>
      <w:bookmarkEnd w:id="371"/>
      <w:bookmarkStart w:id="372" w:name="_Toc184310287"/>
      <w:bookmarkEnd w:id="372"/>
      <w:bookmarkStart w:id="373" w:name="_Toc184310277"/>
      <w:bookmarkEnd w:id="373"/>
      <w:bookmarkStart w:id="374" w:name="_Toc184310313"/>
      <w:bookmarkEnd w:id="374"/>
      <w:bookmarkStart w:id="375" w:name="_Toc184312106"/>
      <w:bookmarkEnd w:id="375"/>
      <w:bookmarkStart w:id="376" w:name="_Toc184314424"/>
      <w:bookmarkEnd w:id="376"/>
      <w:bookmarkStart w:id="377" w:name="_Toc184308103"/>
      <w:bookmarkEnd w:id="377"/>
      <w:bookmarkStart w:id="378" w:name="_Toc184313250"/>
      <w:bookmarkEnd w:id="378"/>
      <w:bookmarkStart w:id="379" w:name="_Toc184313301"/>
      <w:bookmarkEnd w:id="379"/>
      <w:bookmarkStart w:id="380" w:name="_Toc184310274"/>
      <w:bookmarkEnd w:id="380"/>
      <w:bookmarkStart w:id="381" w:name="_Toc184308049"/>
      <w:bookmarkEnd w:id="381"/>
      <w:bookmarkStart w:id="382" w:name="_Toc184313298"/>
      <w:bookmarkEnd w:id="382"/>
      <w:bookmarkStart w:id="383" w:name="_Toc184310298"/>
      <w:bookmarkEnd w:id="383"/>
      <w:bookmarkStart w:id="384" w:name="_Toc184312067"/>
      <w:bookmarkEnd w:id="384"/>
      <w:bookmarkStart w:id="385" w:name="_Toc184314457"/>
      <w:bookmarkEnd w:id="385"/>
      <w:bookmarkStart w:id="386" w:name="_Toc184314441"/>
      <w:bookmarkEnd w:id="386"/>
      <w:bookmarkStart w:id="387" w:name="_Toc184312105"/>
      <w:bookmarkEnd w:id="387"/>
      <w:bookmarkStart w:id="388" w:name="_Toc184313241"/>
      <w:bookmarkEnd w:id="388"/>
      <w:bookmarkStart w:id="389" w:name="_Toc184308073"/>
      <w:bookmarkEnd w:id="389"/>
      <w:bookmarkStart w:id="390" w:name="_Toc184314470"/>
      <w:bookmarkEnd w:id="390"/>
      <w:bookmarkStart w:id="391" w:name="_Toc184313263"/>
      <w:bookmarkEnd w:id="391"/>
      <w:bookmarkStart w:id="392" w:name="_Toc184314434"/>
      <w:bookmarkEnd w:id="392"/>
      <w:bookmarkStart w:id="393" w:name="_Toc184314454"/>
      <w:bookmarkEnd w:id="393"/>
      <w:bookmarkStart w:id="394" w:name="_Toc184312078"/>
      <w:bookmarkEnd w:id="394"/>
      <w:bookmarkStart w:id="395" w:name="_Toc184312111"/>
      <w:bookmarkEnd w:id="395"/>
      <w:bookmarkStart w:id="396" w:name="_Toc184308058"/>
      <w:bookmarkEnd w:id="396"/>
      <w:bookmarkStart w:id="397" w:name="_Toc184313297"/>
      <w:bookmarkEnd w:id="397"/>
      <w:bookmarkStart w:id="398" w:name="_Toc184310342"/>
      <w:bookmarkEnd w:id="398"/>
      <w:bookmarkStart w:id="399" w:name="_Toc184314438"/>
      <w:bookmarkEnd w:id="399"/>
      <w:bookmarkStart w:id="400" w:name="_Toc184308081"/>
      <w:bookmarkEnd w:id="400"/>
      <w:bookmarkStart w:id="401" w:name="_Toc184313303"/>
      <w:bookmarkEnd w:id="401"/>
      <w:bookmarkStart w:id="402" w:name="_Toc184308101"/>
      <w:bookmarkEnd w:id="402"/>
      <w:bookmarkStart w:id="403" w:name="_Toc184314430"/>
      <w:bookmarkEnd w:id="403"/>
      <w:bookmarkStart w:id="404" w:name="_Toc184308069"/>
      <w:bookmarkEnd w:id="404"/>
      <w:bookmarkStart w:id="405" w:name="_Toc184313265"/>
      <w:bookmarkEnd w:id="405"/>
      <w:bookmarkStart w:id="406" w:name="_Toc184313260"/>
      <w:bookmarkEnd w:id="406"/>
      <w:bookmarkStart w:id="407" w:name="_Toc184314472"/>
      <w:bookmarkEnd w:id="407"/>
      <w:bookmarkStart w:id="408" w:name="_Toc184312096"/>
      <w:bookmarkEnd w:id="408"/>
      <w:bookmarkStart w:id="409" w:name="_Toc184308082"/>
      <w:bookmarkEnd w:id="409"/>
      <w:bookmarkStart w:id="410" w:name="_Toc184308060"/>
      <w:bookmarkEnd w:id="410"/>
      <w:bookmarkStart w:id="411" w:name="_Toc184308085"/>
      <w:bookmarkEnd w:id="411"/>
      <w:bookmarkStart w:id="412" w:name="_Toc184310288"/>
      <w:bookmarkEnd w:id="412"/>
      <w:bookmarkStart w:id="413" w:name="_Toc184313285"/>
      <w:bookmarkEnd w:id="413"/>
      <w:bookmarkStart w:id="414" w:name="_Toc184310320"/>
      <w:bookmarkEnd w:id="414"/>
      <w:bookmarkStart w:id="415" w:name="_Toc184313244"/>
      <w:bookmarkEnd w:id="415"/>
      <w:bookmarkStart w:id="416" w:name="_Toc184308037"/>
      <w:bookmarkEnd w:id="416"/>
      <w:bookmarkStart w:id="417" w:name="_Toc184310280"/>
      <w:bookmarkEnd w:id="417"/>
      <w:bookmarkStart w:id="418" w:name="_Toc184310318"/>
      <w:bookmarkEnd w:id="418"/>
      <w:bookmarkStart w:id="419" w:name="_Toc184308046"/>
      <w:bookmarkEnd w:id="419"/>
      <w:bookmarkStart w:id="420" w:name="_Toc184313259"/>
      <w:bookmarkEnd w:id="420"/>
      <w:bookmarkStart w:id="421" w:name="_Toc184308084"/>
      <w:bookmarkEnd w:id="421"/>
      <w:bookmarkStart w:id="422" w:name="_Toc184310343"/>
      <w:bookmarkEnd w:id="422"/>
      <w:bookmarkStart w:id="423" w:name="_Toc184310293"/>
      <w:bookmarkEnd w:id="423"/>
      <w:bookmarkStart w:id="424" w:name="_Toc184314416"/>
      <w:bookmarkEnd w:id="424"/>
      <w:bookmarkStart w:id="425" w:name="_Toc184313271"/>
      <w:bookmarkEnd w:id="425"/>
      <w:bookmarkStart w:id="426" w:name="_Toc184313253"/>
      <w:bookmarkEnd w:id="426"/>
      <w:bookmarkStart w:id="427" w:name="_Toc184308065"/>
      <w:bookmarkEnd w:id="427"/>
      <w:bookmarkStart w:id="428" w:name="_Toc184313267"/>
      <w:bookmarkEnd w:id="428"/>
      <w:bookmarkStart w:id="429" w:name="_Toc184308054"/>
      <w:bookmarkEnd w:id="429"/>
      <w:bookmarkStart w:id="430" w:name="_Toc184308096"/>
      <w:bookmarkEnd w:id="430"/>
      <w:bookmarkStart w:id="431" w:name="_Toc184314432"/>
      <w:bookmarkEnd w:id="431"/>
      <w:bookmarkStart w:id="432" w:name="_Toc184312116"/>
      <w:bookmarkEnd w:id="432"/>
      <w:bookmarkStart w:id="433" w:name="_Toc184308062"/>
      <w:bookmarkEnd w:id="433"/>
      <w:bookmarkStart w:id="434" w:name="_Toc184310323"/>
      <w:bookmarkEnd w:id="434"/>
      <w:r>
        <w:rPr>
          <w:rFonts w:hint="eastAsia"/>
          <w:color w:val="auto"/>
          <w:highlight w:val="none"/>
        </w:rPr>
        <w:t>评标办法</w:t>
      </w:r>
      <w:bookmarkEnd w:id="64"/>
      <w:bookmarkEnd w:id="65"/>
      <w:bookmarkEnd w:id="69"/>
    </w:p>
    <w:p w14:paraId="6C4BF9C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998"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554"/>
        <w:gridCol w:w="5755"/>
        <w:gridCol w:w="675"/>
        <w:gridCol w:w="1201"/>
      </w:tblGrid>
      <w:tr w14:paraId="5CCE18B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24" w:hRule="atLeast"/>
          <w:tblHeader/>
          <w:jc w:val="center"/>
        </w:trPr>
        <w:tc>
          <w:tcPr>
            <w:tcW w:w="813" w:type="dxa"/>
            <w:vAlign w:val="center"/>
          </w:tcPr>
          <w:p w14:paraId="6AE3FB84">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7309" w:type="dxa"/>
            <w:gridSpan w:val="2"/>
            <w:vAlign w:val="center"/>
          </w:tcPr>
          <w:p w14:paraId="4E8152AE">
            <w:pPr>
              <w:widowControl/>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评标标准</w:t>
            </w:r>
          </w:p>
        </w:tc>
        <w:tc>
          <w:tcPr>
            <w:tcW w:w="675" w:type="dxa"/>
            <w:vAlign w:val="center"/>
          </w:tcPr>
          <w:p w14:paraId="0D87BAD5">
            <w:pPr>
              <w:widowControl/>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权重</w:t>
            </w:r>
          </w:p>
        </w:tc>
        <w:tc>
          <w:tcPr>
            <w:tcW w:w="1201" w:type="dxa"/>
            <w:vAlign w:val="center"/>
          </w:tcPr>
          <w:p w14:paraId="654785D3">
            <w:pPr>
              <w:widowControl/>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主观分/客观分属性</w:t>
            </w:r>
          </w:p>
        </w:tc>
      </w:tr>
      <w:tr w14:paraId="13238D0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998" w:type="dxa"/>
            <w:gridSpan w:val="5"/>
            <w:vAlign w:val="center"/>
          </w:tcPr>
          <w:p w14:paraId="345CD19E">
            <w:pPr>
              <w:widowControl/>
              <w:spacing w:line="40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一、商务技术分（70分）</w:t>
            </w:r>
          </w:p>
        </w:tc>
      </w:tr>
      <w:tr w14:paraId="4FC8424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813" w:type="dxa"/>
            <w:vAlign w:val="center"/>
          </w:tcPr>
          <w:p w14:paraId="1B7932DC">
            <w:pPr>
              <w:widowControl/>
              <w:spacing w:line="400" w:lineRule="exact"/>
              <w:jc w:val="center"/>
              <w:rPr>
                <w:rFonts w:ascii="宋体" w:hAnsi="宋体" w:cs="宋体"/>
                <w:color w:val="auto"/>
                <w:kern w:val="0"/>
                <w:szCs w:val="21"/>
                <w:highlight w:val="none"/>
              </w:rPr>
            </w:pPr>
            <w:r>
              <w:rPr>
                <w:rFonts w:hint="eastAsia" w:ascii="宋体" w:hAnsi="宋体" w:eastAsia="宋体" w:cs="宋体"/>
                <w:color w:val="auto"/>
                <w:kern w:val="0"/>
                <w:szCs w:val="21"/>
                <w:highlight w:val="none"/>
              </w:rPr>
              <w:t>1</w:t>
            </w:r>
          </w:p>
        </w:tc>
        <w:tc>
          <w:tcPr>
            <w:tcW w:w="1554" w:type="dxa"/>
            <w:vAlign w:val="center"/>
          </w:tcPr>
          <w:p w14:paraId="278ADCF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技术参数响应性</w:t>
            </w:r>
          </w:p>
          <w:p w14:paraId="5DBBEEBC">
            <w:pPr>
              <w:widowControl/>
              <w:spacing w:line="400" w:lineRule="exact"/>
              <w:jc w:val="center"/>
              <w:rPr>
                <w:rFonts w:ascii="宋体" w:hAnsi="宋体" w:cs="宋体"/>
                <w:color w:val="auto"/>
                <w:kern w:val="0"/>
                <w:szCs w:val="21"/>
                <w:highlight w:val="none"/>
              </w:rPr>
            </w:pPr>
          </w:p>
        </w:tc>
        <w:tc>
          <w:tcPr>
            <w:tcW w:w="5755" w:type="dxa"/>
            <w:vAlign w:val="center"/>
          </w:tcPr>
          <w:p w14:paraId="0C25E272">
            <w:pPr>
              <w:widowControl/>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根据投标人所投产品的技术参数响应情况进行评审：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1）完全符合采购文件“第三部分 采购需求”中“一、采购清单及技术参数”所有</w:t>
            </w:r>
            <w:r>
              <w:rPr>
                <w:rFonts w:hint="eastAsia" w:ascii="宋体" w:hAnsi="宋体" w:cs="宋体"/>
                <w:color w:val="auto"/>
                <w:kern w:val="0"/>
                <w:szCs w:val="21"/>
                <w:highlight w:val="none"/>
                <w:lang w:val="en-US" w:eastAsia="zh-CN"/>
              </w:rPr>
              <w:t>条款</w:t>
            </w:r>
            <w:r>
              <w:rPr>
                <w:rFonts w:hint="eastAsia" w:ascii="宋体" w:hAnsi="宋体" w:cs="宋体"/>
                <w:color w:val="auto"/>
                <w:kern w:val="0"/>
                <w:szCs w:val="21"/>
                <w:highlight w:val="none"/>
              </w:rPr>
              <w:t>的得</w:t>
            </w:r>
            <w:r>
              <w:rPr>
                <w:rFonts w:hint="eastAsia" w:ascii="宋体" w:hAnsi="宋体" w:cs="宋体"/>
                <w:color w:val="auto"/>
                <w:kern w:val="0"/>
                <w:szCs w:val="21"/>
                <w:highlight w:val="none"/>
                <w:lang w:val="en-US" w:eastAsia="zh-CN"/>
              </w:rPr>
              <w:t>22</w:t>
            </w:r>
            <w:r>
              <w:rPr>
                <w:rFonts w:hint="eastAsia" w:ascii="宋体" w:hAnsi="宋体" w:cs="宋体"/>
                <w:color w:val="auto"/>
                <w:kern w:val="0"/>
                <w:szCs w:val="21"/>
                <w:highlight w:val="none"/>
              </w:rPr>
              <w:t>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2）对于采购文件“第三部分 采购需求”中“一、采购清单及技术参数”中标注“▲”的技术参数，若存在负偏离的，其投标文件作无效标处理；</w:t>
            </w:r>
          </w:p>
          <w:p w14:paraId="44C4D854">
            <w:pPr>
              <w:widowControl/>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对于采购文件“第三部分 采购需求”中“一、采购清单及技术参数”中标注“★”的技术参数，若存在负偏离的，每负偏离一条扣</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）对于采购文件“第三部分 采购需求”中“一、采购清单及技术参数”中未标注“★”的技术参数，若存在负偏离的，每负偏离一条扣0.</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注：“一、采购清单及技术参数”中要求投标文件中提供佐证材料的，并在佐证材料上框出对应的参数</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不提供的视为负偏离。当投标人此项分值扣减至0分及以下时，其投标文件作无效标处理。</w:t>
            </w:r>
          </w:p>
        </w:tc>
        <w:tc>
          <w:tcPr>
            <w:tcW w:w="675" w:type="dxa"/>
            <w:vAlign w:val="center"/>
          </w:tcPr>
          <w:p w14:paraId="56BCC775">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22</w:t>
            </w:r>
          </w:p>
        </w:tc>
        <w:tc>
          <w:tcPr>
            <w:tcW w:w="1201" w:type="dxa"/>
            <w:vAlign w:val="center"/>
          </w:tcPr>
          <w:p w14:paraId="23A9DD48">
            <w:pPr>
              <w:widowControl/>
              <w:spacing w:line="400" w:lineRule="exact"/>
              <w:jc w:val="center"/>
              <w:rPr>
                <w:rFonts w:ascii="宋体" w:hAnsi="宋体" w:cs="宋体"/>
                <w:color w:val="auto"/>
                <w:kern w:val="0"/>
                <w:szCs w:val="21"/>
                <w:highlight w:val="none"/>
              </w:rPr>
            </w:pPr>
            <w:r>
              <w:rPr>
                <w:rFonts w:hint="eastAsia" w:ascii="宋体" w:hAnsi="宋体" w:eastAsia="宋体" w:cs="宋体"/>
                <w:color w:val="auto"/>
                <w:kern w:val="0"/>
                <w:szCs w:val="21"/>
                <w:highlight w:val="none"/>
              </w:rPr>
              <w:t>客观分</w:t>
            </w:r>
          </w:p>
        </w:tc>
      </w:tr>
      <w:tr w14:paraId="43797B3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13" w:type="dxa"/>
            <w:vAlign w:val="center"/>
          </w:tcPr>
          <w:p w14:paraId="228B3132">
            <w:pPr>
              <w:widowControl/>
              <w:spacing w:line="400" w:lineRule="exact"/>
              <w:jc w:val="center"/>
              <w:rPr>
                <w:rFonts w:ascii="宋体" w:hAnsi="宋体" w:cs="宋体"/>
                <w:color w:val="auto"/>
                <w:kern w:val="0"/>
                <w:szCs w:val="21"/>
                <w:highlight w:val="none"/>
              </w:rPr>
            </w:pPr>
            <w:r>
              <w:rPr>
                <w:rFonts w:hint="eastAsia" w:ascii="宋体" w:hAnsi="宋体" w:eastAsia="宋体" w:cs="宋体"/>
                <w:color w:val="auto"/>
                <w:kern w:val="0"/>
                <w:szCs w:val="21"/>
                <w:highlight w:val="none"/>
              </w:rPr>
              <w:t>2</w:t>
            </w:r>
          </w:p>
        </w:tc>
        <w:tc>
          <w:tcPr>
            <w:tcW w:w="1554" w:type="dxa"/>
            <w:vAlign w:val="center"/>
          </w:tcPr>
          <w:p w14:paraId="095C323B">
            <w:pPr>
              <w:widowControl/>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供货及配送方案</w:t>
            </w:r>
          </w:p>
        </w:tc>
        <w:tc>
          <w:tcPr>
            <w:tcW w:w="5755" w:type="dxa"/>
            <w:vAlign w:val="center"/>
          </w:tcPr>
          <w:p w14:paraId="3CD0CBB8">
            <w:pPr>
              <w:widowControl/>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根据投标人提供的供货及配送方案</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需包含但不限于以下要点：①供货期限是否满足招标文件要求；②交货方式是否切合实际；③供货保障流程是否合理；④供货流程要点是否明确；⑤供货实施步骤是否清晰进行评审：</w:t>
            </w:r>
          </w:p>
          <w:p w14:paraId="410DE585">
            <w:pPr>
              <w:widowControl/>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1）供货期完全满足招标文件要求，交货方式切合实际，供货流程合理且供货流程要点明确，供货实施步骤清晰的得5分；</w:t>
            </w:r>
          </w:p>
          <w:p w14:paraId="3EAFF6B0">
            <w:pPr>
              <w:widowControl/>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2）交货方式较为切合实际，供货流程较为合理，供货实施步骤较为清晰的得3分；</w:t>
            </w:r>
          </w:p>
          <w:p w14:paraId="7CCDC85D">
            <w:pPr>
              <w:widowControl/>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3）交货方式不够切合实际，供货流程不合理，供货实施步骤笼统的得1分；</w:t>
            </w:r>
          </w:p>
          <w:p w14:paraId="7CDFB481">
            <w:pPr>
              <w:widowControl/>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4）未提供相关内容的不得分。</w:t>
            </w:r>
          </w:p>
        </w:tc>
        <w:tc>
          <w:tcPr>
            <w:tcW w:w="675" w:type="dxa"/>
            <w:vAlign w:val="center"/>
          </w:tcPr>
          <w:p w14:paraId="74FB8ADA">
            <w:pPr>
              <w:spacing w:line="400" w:lineRule="exact"/>
              <w:jc w:val="center"/>
              <w:rPr>
                <w:rFonts w:ascii="宋体" w:hAnsi="宋体" w:cs="宋体"/>
                <w:color w:val="auto"/>
                <w:kern w:val="0"/>
                <w:szCs w:val="21"/>
                <w:highlight w:val="none"/>
              </w:rPr>
            </w:pPr>
            <w:r>
              <w:rPr>
                <w:rFonts w:hint="eastAsia" w:ascii="宋体" w:hAnsi="宋体" w:eastAsia="宋体" w:cs="宋体"/>
                <w:color w:val="auto"/>
                <w:szCs w:val="21"/>
                <w:highlight w:val="none"/>
              </w:rPr>
              <w:t>5</w:t>
            </w:r>
          </w:p>
        </w:tc>
        <w:tc>
          <w:tcPr>
            <w:tcW w:w="1201" w:type="dxa"/>
            <w:vAlign w:val="center"/>
          </w:tcPr>
          <w:p w14:paraId="251B7E25">
            <w:pPr>
              <w:spacing w:line="400" w:lineRule="exact"/>
              <w:jc w:val="center"/>
              <w:rPr>
                <w:rFonts w:ascii="宋体" w:hAnsi="宋体" w:cs="宋体"/>
                <w:color w:val="auto"/>
                <w:kern w:val="0"/>
                <w:szCs w:val="21"/>
                <w:highlight w:val="none"/>
              </w:rPr>
            </w:pPr>
            <w:r>
              <w:rPr>
                <w:rFonts w:hint="eastAsia" w:ascii="宋体" w:hAnsi="宋体" w:eastAsia="宋体" w:cs="宋体"/>
                <w:color w:val="auto"/>
                <w:kern w:val="0"/>
                <w:szCs w:val="21"/>
                <w:highlight w:val="none"/>
              </w:rPr>
              <w:t>主观分</w:t>
            </w:r>
          </w:p>
        </w:tc>
      </w:tr>
      <w:tr w14:paraId="5745FCC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13" w:type="dxa"/>
            <w:vAlign w:val="center"/>
          </w:tcPr>
          <w:p w14:paraId="62B02CE6">
            <w:pPr>
              <w:widowControl/>
              <w:spacing w:line="400" w:lineRule="exact"/>
              <w:jc w:val="center"/>
              <w:rPr>
                <w:rFonts w:ascii="宋体" w:hAnsi="宋体" w:cs="宋体"/>
                <w:color w:val="auto"/>
                <w:kern w:val="0"/>
                <w:szCs w:val="21"/>
                <w:highlight w:val="none"/>
              </w:rPr>
            </w:pPr>
            <w:r>
              <w:rPr>
                <w:rFonts w:hint="eastAsia" w:ascii="宋体" w:hAnsi="宋体" w:eastAsia="宋体" w:cs="宋体"/>
                <w:color w:val="auto"/>
                <w:kern w:val="0"/>
                <w:szCs w:val="21"/>
                <w:highlight w:val="none"/>
              </w:rPr>
              <w:t>3</w:t>
            </w:r>
          </w:p>
        </w:tc>
        <w:tc>
          <w:tcPr>
            <w:tcW w:w="1554" w:type="dxa"/>
            <w:vAlign w:val="center"/>
          </w:tcPr>
          <w:p w14:paraId="266A0778">
            <w:pPr>
              <w:widowControl/>
              <w:spacing w:line="400" w:lineRule="exact"/>
              <w:jc w:val="center"/>
              <w:rPr>
                <w:rFonts w:ascii="宋体" w:hAnsi="宋体" w:cs="宋体"/>
                <w:color w:val="auto"/>
                <w:kern w:val="0"/>
                <w:szCs w:val="21"/>
                <w:highlight w:val="none"/>
              </w:rPr>
            </w:pPr>
            <w:r>
              <w:rPr>
                <w:rFonts w:hint="eastAsia" w:ascii="宋体" w:hAnsi="宋体" w:cs="宋体"/>
                <w:bCs/>
                <w:color w:val="auto"/>
                <w:szCs w:val="21"/>
                <w:highlight w:val="none"/>
                <w:lang w:bidi="ar"/>
              </w:rPr>
              <w:t>验收方案</w:t>
            </w:r>
          </w:p>
        </w:tc>
        <w:tc>
          <w:tcPr>
            <w:tcW w:w="5755" w:type="dxa"/>
            <w:vAlign w:val="center"/>
          </w:tcPr>
          <w:p w14:paraId="3371DDB2">
            <w:pPr>
              <w:tabs>
                <w:tab w:val="left" w:pos="4469"/>
              </w:tabs>
              <w:spacing w:line="400" w:lineRule="exact"/>
              <w:rPr>
                <w:rFonts w:ascii="宋体" w:hAnsi="宋体" w:cs="宋体"/>
                <w:bCs/>
                <w:color w:val="auto"/>
                <w:szCs w:val="21"/>
                <w:highlight w:val="none"/>
                <w:lang w:bidi="ar"/>
              </w:rPr>
            </w:pPr>
            <w:r>
              <w:rPr>
                <w:rFonts w:hint="eastAsia" w:ascii="宋体" w:hAnsi="宋体" w:cs="宋体"/>
                <w:bCs/>
                <w:color w:val="auto"/>
                <w:szCs w:val="21"/>
                <w:highlight w:val="none"/>
                <w:lang w:bidi="ar"/>
              </w:rPr>
              <w:t>根据投标人提供的验收方案</w:t>
            </w:r>
            <w:r>
              <w:rPr>
                <w:rFonts w:hint="eastAsia" w:ascii="宋体" w:hAnsi="宋体" w:cs="宋体"/>
                <w:bCs/>
                <w:color w:val="auto"/>
                <w:szCs w:val="21"/>
                <w:highlight w:val="none"/>
                <w:lang w:eastAsia="zh-CN" w:bidi="ar"/>
              </w:rPr>
              <w:t>，</w:t>
            </w:r>
            <w:r>
              <w:rPr>
                <w:rFonts w:hint="eastAsia" w:ascii="宋体" w:hAnsi="宋体" w:cs="宋体"/>
                <w:color w:val="auto"/>
                <w:kern w:val="0"/>
                <w:szCs w:val="21"/>
                <w:highlight w:val="none"/>
              </w:rPr>
              <w:t>需包含但不限于以下要点：①验收人员配置；②验收</w:t>
            </w:r>
            <w:r>
              <w:rPr>
                <w:rFonts w:hint="eastAsia" w:ascii="宋体" w:hAnsi="宋体" w:cs="宋体"/>
                <w:color w:val="auto"/>
                <w:kern w:val="0"/>
                <w:szCs w:val="21"/>
                <w:highlight w:val="none"/>
                <w:lang w:val="en-US" w:eastAsia="zh-CN"/>
              </w:rPr>
              <w:t>时间；</w:t>
            </w:r>
            <w:r>
              <w:rPr>
                <w:rFonts w:hint="eastAsia" w:ascii="宋体" w:hAnsi="宋体" w:cs="宋体"/>
                <w:color w:val="auto"/>
                <w:kern w:val="0"/>
                <w:szCs w:val="21"/>
                <w:highlight w:val="none"/>
              </w:rPr>
              <w:t>③</w:t>
            </w:r>
            <w:r>
              <w:rPr>
                <w:rFonts w:hint="eastAsia" w:ascii="宋体" w:hAnsi="宋体" w:cs="宋体"/>
                <w:color w:val="auto"/>
                <w:kern w:val="0"/>
                <w:szCs w:val="21"/>
                <w:highlight w:val="none"/>
                <w:lang w:val="en-US" w:eastAsia="zh-CN"/>
              </w:rPr>
              <w:t>验收方式；④</w:t>
            </w:r>
            <w:r>
              <w:rPr>
                <w:rFonts w:hint="eastAsia" w:ascii="宋体" w:hAnsi="宋体" w:cs="宋体"/>
                <w:color w:val="auto"/>
                <w:kern w:val="0"/>
                <w:szCs w:val="21"/>
                <w:highlight w:val="none"/>
              </w:rPr>
              <w:t>验收标准；</w:t>
            </w:r>
            <w:r>
              <w:rPr>
                <w:rFonts w:hint="eastAsia" w:ascii="宋体" w:hAnsi="宋体" w:cs="宋体"/>
                <w:color w:val="auto"/>
                <w:kern w:val="0"/>
                <w:szCs w:val="21"/>
                <w:highlight w:val="none"/>
                <w:lang w:val="en-US" w:eastAsia="zh-CN"/>
              </w:rPr>
              <w:t>⑤</w:t>
            </w:r>
            <w:r>
              <w:rPr>
                <w:rFonts w:hint="eastAsia" w:ascii="宋体" w:hAnsi="宋体" w:cs="宋体"/>
                <w:color w:val="auto"/>
                <w:kern w:val="0"/>
                <w:szCs w:val="21"/>
                <w:highlight w:val="none"/>
              </w:rPr>
              <w:t>验收流程；</w:t>
            </w:r>
            <w:r>
              <w:rPr>
                <w:rFonts w:hint="eastAsia" w:ascii="宋体" w:hAnsi="宋体" w:cs="宋体"/>
                <w:bCs/>
                <w:color w:val="auto"/>
                <w:szCs w:val="21"/>
                <w:highlight w:val="none"/>
                <w:lang w:bidi="ar"/>
              </w:rPr>
              <w:t>进行评审：</w:t>
            </w:r>
          </w:p>
          <w:p w14:paraId="5770E139">
            <w:pPr>
              <w:tabs>
                <w:tab w:val="left" w:pos="4469"/>
              </w:tabs>
              <w:spacing w:line="400" w:lineRule="exact"/>
              <w:rPr>
                <w:rFonts w:ascii="宋体" w:hAnsi="宋体" w:cs="宋体"/>
                <w:bCs/>
                <w:color w:val="auto"/>
                <w:szCs w:val="21"/>
                <w:highlight w:val="none"/>
                <w:lang w:bidi="ar"/>
              </w:rPr>
            </w:pPr>
            <w:r>
              <w:rPr>
                <w:rFonts w:hint="eastAsia" w:ascii="宋体" w:hAnsi="宋体" w:cs="宋体"/>
                <w:bCs/>
                <w:color w:val="auto"/>
                <w:szCs w:val="21"/>
                <w:highlight w:val="none"/>
                <w:lang w:bidi="ar"/>
              </w:rPr>
              <w:t>1）验收方案详细合理，</w:t>
            </w:r>
            <w:r>
              <w:rPr>
                <w:rFonts w:hint="eastAsia" w:ascii="宋体" w:hAnsi="宋体" w:cs="宋体"/>
                <w:bCs/>
                <w:color w:val="auto"/>
                <w:szCs w:val="21"/>
                <w:highlight w:val="none"/>
                <w:lang w:val="en-US" w:eastAsia="zh-CN" w:bidi="ar"/>
              </w:rPr>
              <w:t>完全</w:t>
            </w:r>
            <w:r>
              <w:rPr>
                <w:rFonts w:hint="eastAsia" w:ascii="宋体" w:hAnsi="宋体" w:cs="宋体"/>
                <w:color w:val="auto"/>
                <w:kern w:val="0"/>
                <w:szCs w:val="21"/>
                <w:highlight w:val="none"/>
              </w:rPr>
              <w:t>满足招标文件要求</w:t>
            </w:r>
            <w:r>
              <w:rPr>
                <w:rFonts w:hint="eastAsia" w:ascii="宋体" w:hAnsi="宋体" w:cs="宋体"/>
                <w:color w:val="auto"/>
                <w:kern w:val="0"/>
                <w:szCs w:val="21"/>
                <w:highlight w:val="none"/>
                <w:lang w:eastAsia="zh-CN"/>
              </w:rPr>
              <w:t>，</w:t>
            </w:r>
            <w:r>
              <w:rPr>
                <w:rFonts w:hint="eastAsia" w:ascii="宋体" w:hAnsi="宋体" w:cs="宋体"/>
                <w:bCs/>
                <w:color w:val="auto"/>
                <w:szCs w:val="21"/>
                <w:highlight w:val="none"/>
                <w:lang w:bidi="ar"/>
              </w:rPr>
              <w:t>货到现场能无条件配合采购人验收的得5分；</w:t>
            </w:r>
          </w:p>
          <w:p w14:paraId="2B612357">
            <w:pPr>
              <w:tabs>
                <w:tab w:val="left" w:pos="4469"/>
              </w:tabs>
              <w:spacing w:line="400" w:lineRule="exact"/>
              <w:rPr>
                <w:rFonts w:ascii="宋体" w:hAnsi="宋体" w:cs="宋体"/>
                <w:bCs/>
                <w:color w:val="auto"/>
                <w:szCs w:val="21"/>
                <w:highlight w:val="none"/>
                <w:lang w:bidi="ar"/>
              </w:rPr>
            </w:pPr>
            <w:r>
              <w:rPr>
                <w:rFonts w:hint="eastAsia" w:ascii="宋体" w:hAnsi="宋体" w:cs="宋体"/>
                <w:bCs/>
                <w:color w:val="auto"/>
                <w:szCs w:val="21"/>
                <w:highlight w:val="none"/>
                <w:lang w:bidi="ar"/>
              </w:rPr>
              <w:t>2）验收方案较为详细合理，货到现场能基本能配合采购人验收的得3分；</w:t>
            </w:r>
          </w:p>
          <w:p w14:paraId="6747F3DC">
            <w:pPr>
              <w:tabs>
                <w:tab w:val="left" w:pos="4469"/>
              </w:tabs>
              <w:spacing w:line="400" w:lineRule="exact"/>
              <w:rPr>
                <w:rFonts w:ascii="宋体" w:hAnsi="宋体" w:cs="宋体"/>
                <w:bCs/>
                <w:color w:val="auto"/>
                <w:szCs w:val="21"/>
                <w:highlight w:val="none"/>
                <w:lang w:bidi="ar"/>
              </w:rPr>
            </w:pPr>
            <w:r>
              <w:rPr>
                <w:rFonts w:hint="eastAsia" w:ascii="宋体" w:hAnsi="宋体" w:cs="宋体"/>
                <w:bCs/>
                <w:color w:val="auto"/>
                <w:szCs w:val="21"/>
                <w:highlight w:val="none"/>
                <w:lang w:bidi="ar"/>
              </w:rPr>
              <w:t>3）验收方案笼统，货到现场无法配合采购人验收的得1分；</w:t>
            </w:r>
          </w:p>
          <w:p w14:paraId="036E71A1">
            <w:pPr>
              <w:widowControl/>
              <w:spacing w:line="400" w:lineRule="exact"/>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4）未提供相关内容的不得分。</w:t>
            </w:r>
          </w:p>
        </w:tc>
        <w:tc>
          <w:tcPr>
            <w:tcW w:w="675" w:type="dxa"/>
            <w:vAlign w:val="center"/>
          </w:tcPr>
          <w:p w14:paraId="7FC9CA9E">
            <w:pPr>
              <w:spacing w:line="400" w:lineRule="exact"/>
              <w:jc w:val="center"/>
              <w:rPr>
                <w:rFonts w:ascii="宋体" w:hAnsi="宋体" w:cs="宋体"/>
                <w:color w:val="auto"/>
                <w:szCs w:val="21"/>
                <w:highlight w:val="none"/>
              </w:rPr>
            </w:pPr>
            <w:r>
              <w:rPr>
                <w:rFonts w:hint="eastAsia" w:ascii="宋体" w:hAnsi="宋体" w:eastAsia="宋体" w:cs="宋体"/>
                <w:color w:val="auto"/>
                <w:szCs w:val="21"/>
                <w:highlight w:val="none"/>
              </w:rPr>
              <w:t>5</w:t>
            </w:r>
          </w:p>
        </w:tc>
        <w:tc>
          <w:tcPr>
            <w:tcW w:w="1201" w:type="dxa"/>
            <w:vAlign w:val="center"/>
          </w:tcPr>
          <w:p w14:paraId="4CF857A0">
            <w:pPr>
              <w:spacing w:line="400" w:lineRule="exact"/>
              <w:jc w:val="center"/>
              <w:rPr>
                <w:rFonts w:ascii="宋体" w:hAnsi="宋体" w:cs="宋体"/>
                <w:color w:val="auto"/>
                <w:kern w:val="0"/>
                <w:szCs w:val="21"/>
                <w:highlight w:val="none"/>
              </w:rPr>
            </w:pPr>
            <w:r>
              <w:rPr>
                <w:rFonts w:hint="eastAsia" w:ascii="宋体" w:hAnsi="宋体" w:eastAsia="宋体" w:cs="宋体"/>
                <w:color w:val="auto"/>
                <w:kern w:val="0"/>
                <w:szCs w:val="21"/>
                <w:highlight w:val="none"/>
              </w:rPr>
              <w:t>主观分</w:t>
            </w:r>
          </w:p>
        </w:tc>
      </w:tr>
      <w:tr w14:paraId="28FAC68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13" w:type="dxa"/>
            <w:vAlign w:val="center"/>
          </w:tcPr>
          <w:p w14:paraId="5D6FF81C">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4</w:t>
            </w:r>
            <w:r>
              <w:rPr>
                <w:rFonts w:hint="eastAsia" w:ascii="宋体" w:hAnsi="宋体" w:cs="宋体"/>
                <w:color w:val="auto"/>
                <w:kern w:val="0"/>
                <w:szCs w:val="21"/>
                <w:highlight w:val="none"/>
                <w:lang w:val="en-US" w:eastAsia="zh-CN"/>
              </w:rPr>
              <w:t>.1</w:t>
            </w:r>
          </w:p>
        </w:tc>
        <w:tc>
          <w:tcPr>
            <w:tcW w:w="1554" w:type="dxa"/>
            <w:vMerge w:val="restart"/>
            <w:vAlign w:val="center"/>
          </w:tcPr>
          <w:p w14:paraId="74683568">
            <w:pPr>
              <w:widowControl/>
              <w:spacing w:line="400" w:lineRule="exact"/>
              <w:jc w:val="center"/>
              <w:rPr>
                <w:rFonts w:ascii="宋体" w:hAnsi="宋体" w:cs="宋体"/>
                <w:bCs/>
                <w:color w:val="auto"/>
                <w:szCs w:val="21"/>
                <w:highlight w:val="none"/>
                <w:lang w:bidi="ar"/>
              </w:rPr>
            </w:pPr>
            <w:r>
              <w:rPr>
                <w:rFonts w:hint="eastAsia" w:ascii="宋体" w:hAnsi="宋体" w:cs="宋体"/>
                <w:color w:val="auto"/>
                <w:kern w:val="0"/>
                <w:szCs w:val="21"/>
                <w:highlight w:val="none"/>
              </w:rPr>
              <w:t>售后服务</w:t>
            </w:r>
          </w:p>
        </w:tc>
        <w:tc>
          <w:tcPr>
            <w:tcW w:w="5755" w:type="dxa"/>
            <w:vAlign w:val="center"/>
          </w:tcPr>
          <w:p w14:paraId="117AAC52">
            <w:pPr>
              <w:tabs>
                <w:tab w:val="left" w:pos="4469"/>
              </w:tabs>
              <w:spacing w:line="400" w:lineRule="exact"/>
              <w:rPr>
                <w:rFonts w:ascii="宋体" w:hAnsi="宋体" w:cs="宋体"/>
                <w:bCs/>
                <w:color w:val="auto"/>
                <w:szCs w:val="21"/>
                <w:highlight w:val="none"/>
                <w:lang w:bidi="ar"/>
              </w:rPr>
            </w:pPr>
            <w:r>
              <w:rPr>
                <w:rFonts w:hint="eastAsia" w:ascii="宋体" w:hAnsi="宋体" w:cs="宋体"/>
                <w:bCs/>
                <w:color w:val="auto"/>
                <w:szCs w:val="21"/>
                <w:highlight w:val="none"/>
                <w:lang w:bidi="ar"/>
              </w:rPr>
              <w:t>根据投标人提供的退换货品处理方案</w:t>
            </w:r>
            <w:r>
              <w:rPr>
                <w:rFonts w:hint="eastAsia" w:ascii="宋体" w:hAnsi="宋体" w:cs="宋体"/>
                <w:bCs/>
                <w:color w:val="auto"/>
                <w:szCs w:val="21"/>
                <w:highlight w:val="none"/>
                <w:lang w:eastAsia="zh-CN" w:bidi="ar"/>
              </w:rPr>
              <w:t>，</w:t>
            </w:r>
            <w:r>
              <w:rPr>
                <w:rFonts w:hint="eastAsia" w:ascii="宋体" w:hAnsi="宋体" w:cs="宋体"/>
                <w:color w:val="auto"/>
                <w:kern w:val="0"/>
                <w:szCs w:val="21"/>
                <w:highlight w:val="none"/>
              </w:rPr>
              <w:t>需包含但不限于以下要点：①</w:t>
            </w:r>
            <w:r>
              <w:rPr>
                <w:rFonts w:hint="eastAsia" w:ascii="宋体" w:hAnsi="宋体" w:cs="宋体"/>
                <w:color w:val="auto"/>
                <w:kern w:val="0"/>
                <w:szCs w:val="21"/>
                <w:highlight w:val="none"/>
                <w:lang w:val="en-US" w:eastAsia="zh-CN"/>
              </w:rPr>
              <w:t>退换货品时间</w:t>
            </w:r>
            <w:r>
              <w:rPr>
                <w:rFonts w:hint="eastAsia" w:ascii="宋体" w:hAnsi="宋体" w:cs="宋体"/>
                <w:color w:val="auto"/>
                <w:kern w:val="0"/>
                <w:szCs w:val="21"/>
                <w:highlight w:val="none"/>
              </w:rPr>
              <w:t>；②</w:t>
            </w:r>
            <w:r>
              <w:rPr>
                <w:rFonts w:hint="eastAsia" w:ascii="宋体" w:hAnsi="宋体" w:cs="宋体"/>
                <w:color w:val="auto"/>
                <w:szCs w:val="21"/>
                <w:highlight w:val="none"/>
                <w:lang w:val="en-US" w:eastAsia="zh-CN"/>
              </w:rPr>
              <w:t>退换货范围</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③</w:t>
            </w:r>
            <w:r>
              <w:rPr>
                <w:rFonts w:hint="eastAsia" w:ascii="宋体" w:hAnsi="宋体" w:cs="宋体"/>
                <w:color w:val="auto"/>
                <w:szCs w:val="21"/>
                <w:highlight w:val="none"/>
                <w:lang w:val="en-US" w:eastAsia="zh-CN"/>
              </w:rPr>
              <w:t>退换货操作流程</w:t>
            </w:r>
            <w:r>
              <w:rPr>
                <w:rFonts w:hint="eastAsia" w:ascii="宋体" w:hAnsi="宋体" w:cs="宋体"/>
                <w:color w:val="auto"/>
                <w:kern w:val="0"/>
                <w:szCs w:val="21"/>
                <w:highlight w:val="none"/>
                <w:lang w:val="en-US" w:eastAsia="zh-CN"/>
              </w:rPr>
              <w:t>；④</w:t>
            </w:r>
            <w:r>
              <w:rPr>
                <w:rFonts w:hint="eastAsia" w:ascii="宋体" w:hAnsi="宋体" w:cs="宋体"/>
                <w:color w:val="auto"/>
                <w:szCs w:val="21"/>
                <w:highlight w:val="none"/>
                <w:lang w:val="en-US" w:eastAsia="zh-CN"/>
              </w:rPr>
              <w:t>退换货处理人员</w:t>
            </w:r>
            <w:r>
              <w:rPr>
                <w:rFonts w:hint="eastAsia" w:ascii="宋体" w:hAnsi="宋体" w:cs="宋体"/>
                <w:bCs/>
                <w:color w:val="auto"/>
                <w:szCs w:val="21"/>
                <w:highlight w:val="none"/>
                <w:lang w:bidi="ar"/>
              </w:rPr>
              <w:t>进行评审：</w:t>
            </w:r>
          </w:p>
          <w:p w14:paraId="40FA6D5E">
            <w:pPr>
              <w:tabs>
                <w:tab w:val="left" w:pos="4469"/>
              </w:tabs>
              <w:spacing w:line="400" w:lineRule="exact"/>
              <w:rPr>
                <w:rFonts w:ascii="宋体" w:hAnsi="宋体" w:cs="宋体"/>
                <w:bCs/>
                <w:color w:val="auto"/>
                <w:szCs w:val="21"/>
                <w:highlight w:val="none"/>
                <w:lang w:bidi="ar"/>
              </w:rPr>
            </w:pPr>
            <w:r>
              <w:rPr>
                <w:rFonts w:hint="eastAsia" w:ascii="宋体" w:hAnsi="宋体" w:cs="宋体"/>
                <w:bCs/>
                <w:color w:val="auto"/>
                <w:szCs w:val="21"/>
                <w:highlight w:val="none"/>
                <w:lang w:bidi="ar"/>
              </w:rPr>
              <w:t>1）</w:t>
            </w:r>
            <w:r>
              <w:rPr>
                <w:rFonts w:hint="eastAsia" w:ascii="宋体" w:hAnsi="宋体" w:cs="宋体"/>
                <w:color w:val="auto"/>
                <w:kern w:val="0"/>
                <w:szCs w:val="21"/>
                <w:highlight w:val="none"/>
                <w:lang w:val="en-US" w:eastAsia="zh-CN"/>
              </w:rPr>
              <w:t>退换货品时间</w:t>
            </w:r>
            <w:r>
              <w:rPr>
                <w:rFonts w:hint="eastAsia" w:ascii="宋体" w:hAnsi="宋体" w:cs="宋体"/>
                <w:bCs/>
                <w:color w:val="auto"/>
                <w:szCs w:val="21"/>
                <w:highlight w:val="none"/>
                <w:lang w:val="en-US" w:eastAsia="zh-CN" w:bidi="ar"/>
              </w:rPr>
              <w:t>能完全满足</w:t>
            </w:r>
            <w:r>
              <w:rPr>
                <w:rFonts w:hint="eastAsia" w:ascii="宋体" w:hAnsi="宋体" w:cs="宋体"/>
                <w:color w:val="auto"/>
                <w:kern w:val="0"/>
                <w:szCs w:val="21"/>
                <w:highlight w:val="none"/>
              </w:rPr>
              <w:t>招标文件要求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退换货操作流程简便，</w:t>
            </w:r>
            <w:r>
              <w:rPr>
                <w:rFonts w:hint="eastAsia" w:ascii="宋体" w:hAnsi="宋体" w:cs="宋体"/>
                <w:bCs/>
                <w:color w:val="auto"/>
                <w:szCs w:val="21"/>
                <w:highlight w:val="none"/>
                <w:lang w:val="en-US" w:eastAsia="zh-CN" w:bidi="ar"/>
              </w:rPr>
              <w:t>退换货范围广</w:t>
            </w:r>
            <w:r>
              <w:rPr>
                <w:rFonts w:hint="eastAsia" w:ascii="宋体" w:hAnsi="宋体" w:cs="宋体"/>
                <w:bCs/>
                <w:color w:val="auto"/>
                <w:szCs w:val="21"/>
                <w:highlight w:val="none"/>
                <w:lang w:bidi="ar"/>
              </w:rPr>
              <w:t>的得5分；</w:t>
            </w:r>
          </w:p>
          <w:p w14:paraId="3C87E166">
            <w:pPr>
              <w:tabs>
                <w:tab w:val="left" w:pos="4469"/>
              </w:tabs>
              <w:spacing w:line="400" w:lineRule="exact"/>
              <w:rPr>
                <w:rFonts w:ascii="宋体" w:hAnsi="宋体" w:cs="宋体"/>
                <w:bCs/>
                <w:color w:val="auto"/>
                <w:szCs w:val="21"/>
                <w:highlight w:val="none"/>
                <w:lang w:bidi="ar"/>
              </w:rPr>
            </w:pPr>
            <w:r>
              <w:rPr>
                <w:rFonts w:hint="eastAsia" w:ascii="宋体" w:hAnsi="宋体" w:cs="宋体"/>
                <w:bCs/>
                <w:color w:val="auto"/>
                <w:szCs w:val="21"/>
                <w:highlight w:val="none"/>
                <w:lang w:bidi="ar"/>
              </w:rPr>
              <w:t>2）</w:t>
            </w:r>
            <w:r>
              <w:rPr>
                <w:rFonts w:hint="eastAsia" w:ascii="宋体" w:hAnsi="宋体" w:cs="宋体"/>
                <w:color w:val="auto"/>
                <w:szCs w:val="21"/>
                <w:highlight w:val="none"/>
                <w:lang w:val="en-US" w:eastAsia="zh-CN"/>
              </w:rPr>
              <w:t>退换货操作流程较为简便，</w:t>
            </w:r>
            <w:r>
              <w:rPr>
                <w:rFonts w:hint="eastAsia" w:ascii="宋体" w:hAnsi="宋体" w:cs="宋体"/>
                <w:bCs/>
                <w:color w:val="auto"/>
                <w:szCs w:val="21"/>
                <w:highlight w:val="none"/>
                <w:lang w:val="en-US" w:eastAsia="zh-CN" w:bidi="ar"/>
              </w:rPr>
              <w:t>退换货范围较广的</w:t>
            </w:r>
            <w:r>
              <w:rPr>
                <w:rFonts w:hint="eastAsia" w:ascii="宋体" w:hAnsi="宋体" w:cs="宋体"/>
                <w:bCs/>
                <w:color w:val="auto"/>
                <w:szCs w:val="21"/>
                <w:highlight w:val="none"/>
                <w:lang w:bidi="ar"/>
              </w:rPr>
              <w:t>得3分；</w:t>
            </w:r>
          </w:p>
          <w:p w14:paraId="6B3FB3EE">
            <w:pPr>
              <w:tabs>
                <w:tab w:val="left" w:pos="4469"/>
              </w:tabs>
              <w:spacing w:line="400" w:lineRule="exact"/>
              <w:rPr>
                <w:rFonts w:ascii="宋体" w:hAnsi="宋体" w:cs="宋体"/>
                <w:bCs/>
                <w:color w:val="auto"/>
                <w:szCs w:val="21"/>
                <w:highlight w:val="none"/>
                <w:lang w:bidi="ar"/>
              </w:rPr>
            </w:pPr>
            <w:r>
              <w:rPr>
                <w:rFonts w:hint="eastAsia" w:ascii="宋体" w:hAnsi="宋体" w:cs="宋体"/>
                <w:bCs/>
                <w:color w:val="auto"/>
                <w:szCs w:val="21"/>
                <w:highlight w:val="none"/>
                <w:lang w:bidi="ar"/>
              </w:rPr>
              <w:t>3）</w:t>
            </w:r>
            <w:r>
              <w:rPr>
                <w:rFonts w:hint="eastAsia" w:ascii="宋体" w:hAnsi="宋体" w:cs="宋体"/>
                <w:color w:val="auto"/>
                <w:szCs w:val="21"/>
                <w:highlight w:val="none"/>
                <w:lang w:val="en-US" w:eastAsia="zh-CN"/>
              </w:rPr>
              <w:t>退换货操作流程繁琐</w:t>
            </w:r>
            <w:r>
              <w:rPr>
                <w:rFonts w:hint="eastAsia" w:ascii="宋体" w:hAnsi="宋体" w:cs="宋体"/>
                <w:bCs/>
                <w:color w:val="auto"/>
                <w:szCs w:val="21"/>
                <w:highlight w:val="none"/>
                <w:lang w:bidi="ar"/>
              </w:rPr>
              <w:t>的得1分。</w:t>
            </w:r>
          </w:p>
          <w:p w14:paraId="403CC200">
            <w:pPr>
              <w:tabs>
                <w:tab w:val="left" w:pos="4469"/>
              </w:tabs>
              <w:spacing w:line="400" w:lineRule="exact"/>
              <w:rPr>
                <w:rFonts w:ascii="宋体" w:hAnsi="宋体" w:cs="宋体"/>
                <w:bCs/>
                <w:color w:val="auto"/>
                <w:szCs w:val="21"/>
                <w:highlight w:val="none"/>
                <w:lang w:bidi="ar"/>
              </w:rPr>
            </w:pPr>
            <w:r>
              <w:rPr>
                <w:rFonts w:hint="eastAsia" w:ascii="宋体" w:hAnsi="宋体" w:cs="宋体"/>
                <w:bCs/>
                <w:color w:val="auto"/>
                <w:szCs w:val="21"/>
                <w:highlight w:val="none"/>
                <w:lang w:bidi="ar"/>
              </w:rPr>
              <w:t>4）未提供相关内容的不得分。</w:t>
            </w:r>
          </w:p>
        </w:tc>
        <w:tc>
          <w:tcPr>
            <w:tcW w:w="675" w:type="dxa"/>
            <w:vAlign w:val="center"/>
          </w:tcPr>
          <w:p w14:paraId="0C544B4D">
            <w:pPr>
              <w:spacing w:line="400" w:lineRule="exact"/>
              <w:jc w:val="center"/>
              <w:rPr>
                <w:rFonts w:ascii="宋体" w:hAnsi="宋体" w:cs="宋体"/>
                <w:color w:val="auto"/>
                <w:szCs w:val="21"/>
                <w:highlight w:val="none"/>
              </w:rPr>
            </w:pPr>
            <w:r>
              <w:rPr>
                <w:rFonts w:hint="eastAsia" w:ascii="宋体" w:hAnsi="宋体" w:eastAsia="宋体" w:cs="宋体"/>
                <w:color w:val="auto"/>
                <w:szCs w:val="21"/>
                <w:highlight w:val="none"/>
              </w:rPr>
              <w:t>5</w:t>
            </w:r>
          </w:p>
        </w:tc>
        <w:tc>
          <w:tcPr>
            <w:tcW w:w="1201" w:type="dxa"/>
            <w:vAlign w:val="center"/>
          </w:tcPr>
          <w:p w14:paraId="6DB7ACDD">
            <w:pPr>
              <w:spacing w:line="400" w:lineRule="exact"/>
              <w:jc w:val="center"/>
              <w:rPr>
                <w:rFonts w:ascii="宋体" w:hAnsi="宋体" w:cs="宋体"/>
                <w:color w:val="auto"/>
                <w:kern w:val="0"/>
                <w:szCs w:val="21"/>
                <w:highlight w:val="none"/>
              </w:rPr>
            </w:pPr>
            <w:r>
              <w:rPr>
                <w:rFonts w:hint="eastAsia" w:ascii="宋体" w:hAnsi="宋体" w:eastAsia="宋体" w:cs="宋体"/>
                <w:color w:val="auto"/>
                <w:kern w:val="0"/>
                <w:szCs w:val="21"/>
                <w:highlight w:val="none"/>
              </w:rPr>
              <w:t>主观分</w:t>
            </w:r>
          </w:p>
        </w:tc>
      </w:tr>
      <w:tr w14:paraId="2485BAE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13" w:type="dxa"/>
            <w:vAlign w:val="center"/>
          </w:tcPr>
          <w:p w14:paraId="1B6F4178">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4.2</w:t>
            </w:r>
          </w:p>
        </w:tc>
        <w:tc>
          <w:tcPr>
            <w:tcW w:w="1554" w:type="dxa"/>
            <w:vMerge w:val="continue"/>
            <w:vAlign w:val="center"/>
          </w:tcPr>
          <w:p w14:paraId="4A732AB3">
            <w:pPr>
              <w:widowControl/>
              <w:spacing w:line="400" w:lineRule="exact"/>
              <w:jc w:val="center"/>
              <w:rPr>
                <w:rFonts w:ascii="宋体" w:hAnsi="宋体" w:cs="宋体"/>
                <w:color w:val="auto"/>
                <w:kern w:val="0"/>
                <w:szCs w:val="21"/>
                <w:highlight w:val="none"/>
              </w:rPr>
            </w:pPr>
          </w:p>
        </w:tc>
        <w:tc>
          <w:tcPr>
            <w:tcW w:w="5755" w:type="dxa"/>
            <w:vAlign w:val="center"/>
          </w:tcPr>
          <w:p w14:paraId="691F12F6">
            <w:pPr>
              <w:tabs>
                <w:tab w:val="left" w:pos="4469"/>
              </w:tabs>
              <w:spacing w:line="400" w:lineRule="exact"/>
              <w:rPr>
                <w:rFonts w:ascii="宋体" w:hAnsi="宋体" w:cs="宋体"/>
                <w:bCs/>
                <w:color w:val="auto"/>
                <w:szCs w:val="21"/>
                <w:highlight w:val="none"/>
                <w:lang w:bidi="ar"/>
              </w:rPr>
            </w:pPr>
            <w:r>
              <w:rPr>
                <w:rFonts w:hint="eastAsia" w:ascii="宋体" w:hAnsi="宋体" w:cs="宋体"/>
                <w:bCs/>
                <w:color w:val="auto"/>
                <w:szCs w:val="21"/>
                <w:highlight w:val="none"/>
                <w:lang w:bidi="ar"/>
              </w:rPr>
              <w:t>根据投标人提供的故障处理方案</w:t>
            </w:r>
            <w:r>
              <w:rPr>
                <w:rFonts w:hint="eastAsia" w:ascii="宋体" w:hAnsi="宋体" w:cs="宋体"/>
                <w:bCs/>
                <w:color w:val="auto"/>
                <w:szCs w:val="21"/>
                <w:highlight w:val="none"/>
                <w:lang w:eastAsia="zh-CN" w:bidi="ar"/>
              </w:rPr>
              <w:t>，</w:t>
            </w:r>
            <w:r>
              <w:rPr>
                <w:rFonts w:hint="eastAsia" w:ascii="宋体" w:hAnsi="宋体" w:cs="宋体"/>
                <w:color w:val="auto"/>
                <w:kern w:val="0"/>
                <w:szCs w:val="21"/>
                <w:highlight w:val="none"/>
              </w:rPr>
              <w:t>需包含但不限于以下要点：①</w:t>
            </w:r>
            <w:r>
              <w:rPr>
                <w:rFonts w:hint="eastAsia" w:ascii="宋体" w:hAnsi="宋体" w:cs="宋体"/>
                <w:color w:val="auto"/>
                <w:kern w:val="0"/>
                <w:szCs w:val="21"/>
                <w:highlight w:val="none"/>
                <w:lang w:val="en-US" w:eastAsia="zh-CN"/>
              </w:rPr>
              <w:t>故障维修响应时间</w:t>
            </w:r>
            <w:r>
              <w:rPr>
                <w:rFonts w:hint="eastAsia" w:ascii="宋体" w:hAnsi="宋体" w:cs="宋体"/>
                <w:color w:val="auto"/>
                <w:kern w:val="0"/>
                <w:szCs w:val="21"/>
                <w:highlight w:val="none"/>
              </w:rPr>
              <w:t>；②</w:t>
            </w:r>
            <w:r>
              <w:rPr>
                <w:rFonts w:hint="eastAsia" w:ascii="宋体" w:hAnsi="宋体" w:cs="宋体"/>
                <w:color w:val="auto"/>
                <w:szCs w:val="21"/>
                <w:highlight w:val="none"/>
                <w:lang w:val="en-US" w:eastAsia="zh-CN"/>
              </w:rPr>
              <w:t>故障维修处理流程</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③</w:t>
            </w:r>
            <w:r>
              <w:rPr>
                <w:rFonts w:hint="eastAsia" w:ascii="宋体" w:hAnsi="宋体" w:cs="宋体"/>
                <w:color w:val="auto"/>
                <w:szCs w:val="21"/>
                <w:highlight w:val="none"/>
                <w:lang w:val="en-US" w:eastAsia="zh-CN"/>
              </w:rPr>
              <w:t>故障处理人员</w:t>
            </w:r>
            <w:r>
              <w:rPr>
                <w:rFonts w:hint="eastAsia" w:ascii="宋体" w:hAnsi="宋体" w:cs="宋体"/>
                <w:bCs/>
                <w:color w:val="auto"/>
                <w:szCs w:val="21"/>
                <w:highlight w:val="none"/>
                <w:lang w:bidi="ar"/>
              </w:rPr>
              <w:t>进行评审：</w:t>
            </w:r>
          </w:p>
          <w:p w14:paraId="482E035A">
            <w:pPr>
              <w:tabs>
                <w:tab w:val="left" w:pos="4469"/>
              </w:tabs>
              <w:spacing w:line="400" w:lineRule="exact"/>
              <w:rPr>
                <w:rFonts w:ascii="宋体" w:hAnsi="宋体" w:cs="宋体"/>
                <w:bCs/>
                <w:color w:val="auto"/>
                <w:szCs w:val="21"/>
                <w:highlight w:val="none"/>
                <w:lang w:bidi="ar"/>
              </w:rPr>
            </w:pPr>
            <w:r>
              <w:rPr>
                <w:rFonts w:hint="eastAsia" w:ascii="宋体" w:hAnsi="宋体" w:cs="宋体"/>
                <w:bCs/>
                <w:color w:val="auto"/>
                <w:szCs w:val="21"/>
                <w:highlight w:val="none"/>
                <w:lang w:bidi="ar"/>
              </w:rPr>
              <w:t>1）服务响应时间</w:t>
            </w:r>
            <w:r>
              <w:rPr>
                <w:rFonts w:hint="eastAsia" w:ascii="宋体" w:hAnsi="宋体" w:cs="宋体"/>
                <w:bCs/>
                <w:color w:val="auto"/>
                <w:szCs w:val="21"/>
                <w:highlight w:val="none"/>
                <w:lang w:val="en-US" w:eastAsia="zh-CN" w:bidi="ar"/>
              </w:rPr>
              <w:t>能完全满足</w:t>
            </w:r>
            <w:r>
              <w:rPr>
                <w:rFonts w:hint="eastAsia" w:ascii="宋体" w:hAnsi="宋体" w:cs="宋体"/>
                <w:color w:val="auto"/>
                <w:kern w:val="0"/>
                <w:szCs w:val="21"/>
                <w:highlight w:val="none"/>
              </w:rPr>
              <w:t>招标文件要求</w:t>
            </w:r>
            <w:r>
              <w:rPr>
                <w:rFonts w:hint="eastAsia" w:ascii="宋体" w:hAnsi="宋体" w:cs="宋体"/>
                <w:color w:val="auto"/>
                <w:szCs w:val="21"/>
                <w:highlight w:val="none"/>
                <w:lang w:eastAsia="zh-CN"/>
              </w:rPr>
              <w:t>，</w:t>
            </w:r>
            <w:r>
              <w:rPr>
                <w:rFonts w:hint="eastAsia" w:ascii="宋体" w:hAnsi="宋体" w:cs="宋体"/>
                <w:bCs/>
                <w:color w:val="auto"/>
                <w:szCs w:val="21"/>
                <w:highlight w:val="none"/>
                <w:lang w:bidi="ar"/>
              </w:rPr>
              <w:t>故障处理方案合理明确，故障处理人员配备充足的得5分；</w:t>
            </w:r>
          </w:p>
          <w:p w14:paraId="160CC4AA">
            <w:pPr>
              <w:tabs>
                <w:tab w:val="left" w:pos="4469"/>
              </w:tabs>
              <w:spacing w:line="400" w:lineRule="exact"/>
              <w:rPr>
                <w:rFonts w:ascii="宋体" w:hAnsi="宋体" w:cs="宋体"/>
                <w:bCs/>
                <w:color w:val="auto"/>
                <w:szCs w:val="21"/>
                <w:highlight w:val="none"/>
                <w:lang w:bidi="ar"/>
              </w:rPr>
            </w:pPr>
            <w:r>
              <w:rPr>
                <w:rFonts w:hint="eastAsia" w:ascii="宋体" w:hAnsi="宋体" w:cs="宋体"/>
                <w:bCs/>
                <w:color w:val="auto"/>
                <w:szCs w:val="21"/>
                <w:highlight w:val="none"/>
                <w:lang w:bidi="ar"/>
              </w:rPr>
              <w:t>2）故障处理方案较合理明确，故障处理人员配备较为充足的得3分；</w:t>
            </w:r>
          </w:p>
          <w:p w14:paraId="793E6FE7">
            <w:pPr>
              <w:tabs>
                <w:tab w:val="left" w:pos="4469"/>
              </w:tabs>
              <w:spacing w:line="400" w:lineRule="exact"/>
              <w:rPr>
                <w:rFonts w:ascii="宋体" w:hAnsi="宋体" w:cs="宋体"/>
                <w:bCs/>
                <w:color w:val="auto"/>
                <w:szCs w:val="21"/>
                <w:highlight w:val="none"/>
                <w:lang w:bidi="ar"/>
              </w:rPr>
            </w:pPr>
            <w:r>
              <w:rPr>
                <w:rFonts w:hint="eastAsia" w:ascii="宋体" w:hAnsi="宋体" w:cs="宋体"/>
                <w:bCs/>
                <w:color w:val="auto"/>
                <w:szCs w:val="21"/>
                <w:highlight w:val="none"/>
                <w:lang w:bidi="ar"/>
              </w:rPr>
              <w:t>3）故障处理方案欠缺，故障处理人员配备不足的得1分。</w:t>
            </w:r>
          </w:p>
          <w:p w14:paraId="108080C2">
            <w:pPr>
              <w:tabs>
                <w:tab w:val="left" w:pos="4469"/>
              </w:tabs>
              <w:spacing w:line="400" w:lineRule="exact"/>
              <w:rPr>
                <w:rFonts w:ascii="宋体" w:hAnsi="宋体" w:cs="宋体"/>
                <w:bCs/>
                <w:color w:val="auto"/>
                <w:szCs w:val="21"/>
                <w:highlight w:val="none"/>
                <w:lang w:bidi="ar"/>
              </w:rPr>
            </w:pPr>
            <w:r>
              <w:rPr>
                <w:rFonts w:hint="eastAsia" w:ascii="宋体" w:hAnsi="宋体" w:cs="宋体"/>
                <w:bCs/>
                <w:color w:val="auto"/>
                <w:szCs w:val="21"/>
                <w:highlight w:val="none"/>
                <w:lang w:bidi="ar"/>
              </w:rPr>
              <w:t>4）未提供相关内容的不得分。</w:t>
            </w:r>
          </w:p>
        </w:tc>
        <w:tc>
          <w:tcPr>
            <w:tcW w:w="675" w:type="dxa"/>
            <w:vAlign w:val="center"/>
          </w:tcPr>
          <w:p w14:paraId="30BFC235">
            <w:pPr>
              <w:spacing w:line="400" w:lineRule="exact"/>
              <w:jc w:val="center"/>
              <w:rPr>
                <w:rFonts w:ascii="宋体" w:hAnsi="宋体" w:cs="宋体"/>
                <w:color w:val="auto"/>
                <w:szCs w:val="21"/>
                <w:highlight w:val="none"/>
              </w:rPr>
            </w:pPr>
            <w:r>
              <w:rPr>
                <w:rFonts w:hint="eastAsia" w:ascii="宋体" w:hAnsi="宋体" w:eastAsia="宋体" w:cs="宋体"/>
                <w:color w:val="auto"/>
                <w:szCs w:val="21"/>
                <w:highlight w:val="none"/>
              </w:rPr>
              <w:t>5</w:t>
            </w:r>
          </w:p>
        </w:tc>
        <w:tc>
          <w:tcPr>
            <w:tcW w:w="1201" w:type="dxa"/>
            <w:vAlign w:val="center"/>
          </w:tcPr>
          <w:p w14:paraId="4C5C0D74">
            <w:pPr>
              <w:spacing w:line="400" w:lineRule="exact"/>
              <w:jc w:val="center"/>
              <w:rPr>
                <w:rFonts w:ascii="宋体" w:hAnsi="宋体" w:cs="宋体"/>
                <w:color w:val="auto"/>
                <w:kern w:val="0"/>
                <w:szCs w:val="21"/>
                <w:highlight w:val="none"/>
              </w:rPr>
            </w:pPr>
            <w:r>
              <w:rPr>
                <w:rFonts w:hint="eastAsia" w:ascii="宋体" w:hAnsi="宋体" w:eastAsia="宋体" w:cs="宋体"/>
                <w:color w:val="auto"/>
                <w:kern w:val="0"/>
                <w:szCs w:val="21"/>
                <w:highlight w:val="none"/>
              </w:rPr>
              <w:t>主观分</w:t>
            </w:r>
          </w:p>
        </w:tc>
      </w:tr>
      <w:tr w14:paraId="0BFD64C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13" w:type="dxa"/>
            <w:vAlign w:val="center"/>
          </w:tcPr>
          <w:p w14:paraId="05BEC330">
            <w:pPr>
              <w:widowControl/>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1554" w:type="dxa"/>
            <w:vAlign w:val="center"/>
          </w:tcPr>
          <w:p w14:paraId="43D4D9BB">
            <w:pPr>
              <w:widowControl/>
              <w:spacing w:line="400" w:lineRule="exact"/>
              <w:jc w:val="center"/>
              <w:rPr>
                <w:rFonts w:ascii="宋体" w:hAnsi="宋体" w:cs="宋体"/>
                <w:bCs/>
                <w:color w:val="auto"/>
                <w:szCs w:val="21"/>
                <w:highlight w:val="none"/>
                <w:lang w:bidi="ar"/>
              </w:rPr>
            </w:pPr>
            <w:r>
              <w:rPr>
                <w:rFonts w:hint="eastAsia" w:ascii="宋体" w:hAnsi="宋体" w:cs="宋体"/>
                <w:bCs/>
                <w:color w:val="auto"/>
                <w:szCs w:val="21"/>
                <w:highlight w:val="none"/>
                <w:lang w:bidi="ar"/>
              </w:rPr>
              <w:t>服务质量保障措施及承诺</w:t>
            </w:r>
          </w:p>
        </w:tc>
        <w:tc>
          <w:tcPr>
            <w:tcW w:w="5755" w:type="dxa"/>
            <w:vAlign w:val="center"/>
          </w:tcPr>
          <w:p w14:paraId="63D64D8F">
            <w:pPr>
              <w:tabs>
                <w:tab w:val="left" w:pos="4469"/>
              </w:tabs>
              <w:spacing w:line="400" w:lineRule="exact"/>
              <w:rPr>
                <w:rFonts w:ascii="宋体" w:hAnsi="宋体" w:cs="宋体"/>
                <w:bCs/>
                <w:color w:val="auto"/>
                <w:szCs w:val="21"/>
                <w:highlight w:val="none"/>
                <w:lang w:bidi="ar"/>
              </w:rPr>
            </w:pPr>
            <w:r>
              <w:rPr>
                <w:rFonts w:hint="eastAsia" w:ascii="宋体" w:hAnsi="宋体" w:cs="宋体"/>
                <w:bCs/>
                <w:color w:val="auto"/>
                <w:szCs w:val="21"/>
                <w:highlight w:val="none"/>
                <w:lang w:bidi="ar"/>
              </w:rPr>
              <w:t>投标人需结合项目实际货物提供服务质量保障措施及承诺</w:t>
            </w:r>
            <w:r>
              <w:rPr>
                <w:rFonts w:hint="eastAsia" w:ascii="宋体" w:hAnsi="宋体" w:cs="宋体"/>
                <w:bCs/>
                <w:color w:val="auto"/>
                <w:szCs w:val="21"/>
                <w:highlight w:val="none"/>
                <w:lang w:val="en-US" w:eastAsia="zh-CN" w:bidi="ar"/>
              </w:rPr>
              <w:t>，</w:t>
            </w:r>
            <w:r>
              <w:rPr>
                <w:rFonts w:hint="eastAsia" w:ascii="宋体" w:hAnsi="宋体" w:cs="宋体"/>
                <w:color w:val="auto"/>
                <w:kern w:val="0"/>
                <w:szCs w:val="21"/>
                <w:highlight w:val="none"/>
              </w:rPr>
              <w:t>需包含但不限于以下要点：</w:t>
            </w:r>
            <w:r>
              <w:rPr>
                <w:rFonts w:hint="eastAsia" w:ascii="宋体" w:hAnsi="宋体" w:cs="宋体"/>
                <w:bCs/>
                <w:color w:val="auto"/>
                <w:szCs w:val="21"/>
                <w:highlight w:val="none"/>
                <w:lang w:val="en-US" w:eastAsia="zh-CN" w:bidi="ar"/>
              </w:rPr>
              <w:t>①</w:t>
            </w:r>
            <w:r>
              <w:rPr>
                <w:rFonts w:hint="eastAsia" w:ascii="宋体" w:hAnsi="宋体" w:cs="宋体"/>
                <w:color w:val="auto"/>
                <w:szCs w:val="21"/>
                <w:highlight w:val="none"/>
                <w:lang w:val="en-US" w:eastAsia="zh-CN"/>
              </w:rPr>
              <w:t>服务质量保障措施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②服务质量保障承诺；③</w:t>
            </w:r>
            <w:r>
              <w:rPr>
                <w:rFonts w:hint="eastAsia" w:ascii="宋体" w:hAnsi="宋体" w:cs="宋体"/>
                <w:color w:val="auto"/>
                <w:szCs w:val="21"/>
                <w:highlight w:val="none"/>
              </w:rPr>
              <w:t>质量控制要点和步骤进行评审</w:t>
            </w:r>
            <w:r>
              <w:rPr>
                <w:rFonts w:hint="eastAsia" w:ascii="宋体" w:hAnsi="宋体" w:cs="宋体"/>
                <w:bCs/>
                <w:color w:val="auto"/>
                <w:szCs w:val="21"/>
                <w:highlight w:val="none"/>
                <w:lang w:bidi="ar"/>
              </w:rPr>
              <w:t>：</w:t>
            </w:r>
          </w:p>
          <w:p w14:paraId="7617E551">
            <w:pPr>
              <w:tabs>
                <w:tab w:val="left" w:pos="4469"/>
              </w:tabs>
              <w:spacing w:line="400" w:lineRule="exact"/>
              <w:rPr>
                <w:rFonts w:hint="eastAsia" w:ascii="宋体" w:hAnsi="宋体" w:eastAsia="宋体" w:cs="宋体"/>
                <w:bCs/>
                <w:color w:val="auto"/>
                <w:szCs w:val="21"/>
                <w:highlight w:val="none"/>
                <w:lang w:bidi="ar"/>
              </w:rPr>
            </w:pPr>
            <w:r>
              <w:rPr>
                <w:rFonts w:hint="eastAsia" w:ascii="宋体" w:hAnsi="宋体" w:cs="宋体"/>
                <w:bCs/>
                <w:color w:val="auto"/>
                <w:szCs w:val="21"/>
                <w:highlight w:val="none"/>
                <w:lang w:bidi="ar"/>
              </w:rPr>
              <w:t>1）各项服务承诺能与采购人实际相结合，能提供实质性承诺及保障措施，能有效保证货物正常</w:t>
            </w:r>
            <w:r>
              <w:rPr>
                <w:rFonts w:hint="eastAsia" w:ascii="宋体" w:hAnsi="宋体" w:eastAsia="宋体" w:cs="宋体"/>
                <w:bCs/>
                <w:color w:val="auto"/>
                <w:szCs w:val="21"/>
                <w:highlight w:val="none"/>
                <w:lang w:bidi="ar"/>
              </w:rPr>
              <w:t>使用的得5分；</w:t>
            </w:r>
          </w:p>
          <w:p w14:paraId="1775F7EB">
            <w:pPr>
              <w:tabs>
                <w:tab w:val="left" w:pos="4469"/>
              </w:tabs>
              <w:spacing w:line="400" w:lineRule="exac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2）各项服务承诺能与采购人实际相结合，承诺及保障基本符合货物实际使用情况的得3分；</w:t>
            </w:r>
          </w:p>
          <w:p w14:paraId="346C62BF">
            <w:pPr>
              <w:tabs>
                <w:tab w:val="left" w:pos="4469"/>
              </w:tabs>
              <w:spacing w:line="400" w:lineRule="exac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3）服务承诺和保障措施与采购人实际需求存在巨大偏差，会严重影响货物正常使用的得1分。</w:t>
            </w:r>
          </w:p>
          <w:p w14:paraId="6A655B9F">
            <w:pPr>
              <w:tabs>
                <w:tab w:val="left" w:pos="4469"/>
              </w:tabs>
              <w:spacing w:line="400" w:lineRule="exact"/>
              <w:rPr>
                <w:rFonts w:ascii="宋体" w:hAnsi="宋体" w:cs="宋体"/>
                <w:bCs/>
                <w:color w:val="auto"/>
                <w:szCs w:val="21"/>
                <w:highlight w:val="none"/>
                <w:lang w:bidi="ar"/>
              </w:rPr>
            </w:pPr>
            <w:r>
              <w:rPr>
                <w:rFonts w:hint="eastAsia" w:ascii="宋体" w:hAnsi="宋体" w:eastAsia="宋体" w:cs="宋体"/>
                <w:bCs/>
                <w:color w:val="auto"/>
                <w:szCs w:val="21"/>
                <w:highlight w:val="none"/>
                <w:lang w:bidi="ar"/>
              </w:rPr>
              <w:t>4）未提供相关内容的不得分。</w:t>
            </w:r>
          </w:p>
        </w:tc>
        <w:tc>
          <w:tcPr>
            <w:tcW w:w="675" w:type="dxa"/>
            <w:vAlign w:val="center"/>
          </w:tcPr>
          <w:p w14:paraId="40E40086">
            <w:pPr>
              <w:spacing w:line="400" w:lineRule="exact"/>
              <w:jc w:val="center"/>
              <w:rPr>
                <w:rFonts w:ascii="宋体" w:hAnsi="宋体" w:cs="宋体"/>
                <w:color w:val="auto"/>
                <w:szCs w:val="21"/>
                <w:highlight w:val="none"/>
              </w:rPr>
            </w:pPr>
            <w:r>
              <w:rPr>
                <w:rFonts w:hint="eastAsia" w:ascii="宋体" w:hAnsi="宋体" w:eastAsia="宋体" w:cs="宋体"/>
                <w:color w:val="auto"/>
                <w:szCs w:val="21"/>
                <w:highlight w:val="none"/>
              </w:rPr>
              <w:t>5</w:t>
            </w:r>
          </w:p>
        </w:tc>
        <w:tc>
          <w:tcPr>
            <w:tcW w:w="1201" w:type="dxa"/>
            <w:vAlign w:val="center"/>
          </w:tcPr>
          <w:p w14:paraId="3A428DC0">
            <w:pPr>
              <w:spacing w:line="400" w:lineRule="exact"/>
              <w:jc w:val="center"/>
              <w:rPr>
                <w:rFonts w:ascii="宋体" w:hAnsi="宋体" w:cs="宋体"/>
                <w:color w:val="auto"/>
                <w:kern w:val="0"/>
                <w:szCs w:val="21"/>
                <w:highlight w:val="none"/>
              </w:rPr>
            </w:pPr>
            <w:r>
              <w:rPr>
                <w:rFonts w:hint="eastAsia" w:ascii="宋体" w:hAnsi="宋体" w:eastAsia="宋体" w:cs="宋体"/>
                <w:color w:val="auto"/>
                <w:kern w:val="0"/>
                <w:szCs w:val="21"/>
                <w:highlight w:val="none"/>
              </w:rPr>
              <w:t>主观分</w:t>
            </w:r>
          </w:p>
        </w:tc>
      </w:tr>
      <w:tr w14:paraId="3CCD818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13" w:type="dxa"/>
            <w:vAlign w:val="center"/>
          </w:tcPr>
          <w:p w14:paraId="664CD41C">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6.1</w:t>
            </w:r>
          </w:p>
        </w:tc>
        <w:tc>
          <w:tcPr>
            <w:tcW w:w="1554" w:type="dxa"/>
            <w:vMerge w:val="restart"/>
            <w:vAlign w:val="center"/>
          </w:tcPr>
          <w:p w14:paraId="4D2A6529">
            <w:pPr>
              <w:widowControl/>
              <w:spacing w:line="400" w:lineRule="exact"/>
              <w:jc w:val="center"/>
              <w:rPr>
                <w:rFonts w:ascii="宋体" w:hAnsi="宋体" w:cs="宋体"/>
                <w:bCs/>
                <w:color w:val="auto"/>
                <w:szCs w:val="21"/>
                <w:highlight w:val="none"/>
                <w:lang w:bidi="ar"/>
              </w:rPr>
            </w:pPr>
            <w:r>
              <w:rPr>
                <w:rFonts w:hint="eastAsia" w:ascii="宋体" w:hAnsi="宋体" w:cs="宋体"/>
                <w:color w:val="auto"/>
                <w:szCs w:val="21"/>
                <w:highlight w:val="none"/>
              </w:rPr>
              <w:t>培训方案</w:t>
            </w:r>
          </w:p>
        </w:tc>
        <w:tc>
          <w:tcPr>
            <w:tcW w:w="5755" w:type="dxa"/>
            <w:vAlign w:val="center"/>
          </w:tcPr>
          <w:p w14:paraId="56C90593">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bCs/>
                <w:color w:val="auto"/>
                <w:szCs w:val="21"/>
                <w:highlight w:val="none"/>
                <w:lang w:bidi="ar"/>
              </w:rPr>
              <w:t>需结合项目实际货物提供</w:t>
            </w:r>
            <w:r>
              <w:rPr>
                <w:rFonts w:hint="eastAsia" w:ascii="宋体" w:hAnsi="宋体" w:cs="宋体"/>
                <w:bCs/>
                <w:color w:val="auto"/>
                <w:szCs w:val="21"/>
                <w:highlight w:val="none"/>
                <w:lang w:val="en-US" w:eastAsia="zh-CN" w:bidi="ar"/>
              </w:rPr>
              <w:t>的培训安排，</w:t>
            </w:r>
            <w:r>
              <w:rPr>
                <w:rFonts w:hint="eastAsia" w:ascii="宋体" w:hAnsi="宋体" w:cs="宋体"/>
                <w:color w:val="auto"/>
                <w:kern w:val="0"/>
                <w:szCs w:val="21"/>
                <w:highlight w:val="none"/>
              </w:rPr>
              <w:t>需包含但不限于以下要点：</w:t>
            </w:r>
            <w:r>
              <w:rPr>
                <w:rFonts w:hint="eastAsia" w:ascii="宋体" w:hAnsi="宋体" w:cs="宋体"/>
                <w:bCs/>
                <w:color w:val="auto"/>
                <w:szCs w:val="21"/>
                <w:highlight w:val="none"/>
                <w:lang w:val="en-US" w:eastAsia="zh-CN" w:bidi="ar"/>
              </w:rPr>
              <w:t>①</w:t>
            </w:r>
            <w:r>
              <w:rPr>
                <w:rFonts w:hint="eastAsia" w:ascii="宋体" w:hAnsi="宋体" w:cs="宋体"/>
                <w:color w:val="auto"/>
                <w:szCs w:val="21"/>
                <w:highlight w:val="none"/>
              </w:rPr>
              <w:t>培训</w:t>
            </w:r>
            <w:r>
              <w:rPr>
                <w:rFonts w:hint="eastAsia" w:ascii="宋体" w:hAnsi="宋体" w:cs="宋体"/>
                <w:color w:val="auto"/>
                <w:szCs w:val="21"/>
                <w:highlight w:val="none"/>
                <w:lang w:val="en-US" w:eastAsia="zh-CN"/>
              </w:rPr>
              <w:t>时间计划安排</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②培训场所计划安排；③</w:t>
            </w:r>
            <w:r>
              <w:rPr>
                <w:rFonts w:hint="eastAsia" w:ascii="宋体" w:hAnsi="宋体" w:cs="宋体"/>
                <w:color w:val="auto"/>
                <w:szCs w:val="21"/>
                <w:highlight w:val="none"/>
              </w:rPr>
              <w:t>培训次数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④培训方式</w:t>
            </w:r>
            <w:r>
              <w:rPr>
                <w:rFonts w:hint="eastAsia" w:ascii="宋体" w:hAnsi="宋体" w:cs="宋体"/>
                <w:color w:val="auto"/>
                <w:szCs w:val="21"/>
                <w:highlight w:val="none"/>
              </w:rPr>
              <w:t>进行评审：</w:t>
            </w:r>
          </w:p>
          <w:p w14:paraId="787F240E">
            <w:pPr>
              <w:adjustRightInd/>
              <w:spacing w:line="360" w:lineRule="auto"/>
              <w:rPr>
                <w:rFonts w:hint="eastAsia" w:ascii="宋体" w:hAnsi="宋体" w:cs="宋体"/>
                <w:color w:val="auto"/>
                <w:szCs w:val="21"/>
                <w:highlight w:val="none"/>
              </w:rPr>
            </w:pPr>
            <w:r>
              <w:rPr>
                <w:rFonts w:hint="eastAsia" w:ascii="宋体" w:hAnsi="宋体" w:cs="宋体"/>
                <w:color w:val="auto"/>
                <w:szCs w:val="21"/>
                <w:highlight w:val="none"/>
              </w:rPr>
              <w:t>1）培训时间安排合理，培训次数能确保用户技术人员熟练掌握设备的日常维护及操作使用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培训场所安排满足项目实际情况，</w:t>
            </w:r>
            <w:r>
              <w:rPr>
                <w:rFonts w:hint="eastAsia" w:ascii="宋体" w:hAnsi="宋体" w:cs="宋体"/>
                <w:color w:val="auto"/>
                <w:szCs w:val="21"/>
                <w:highlight w:val="none"/>
              </w:rPr>
              <w:t>培训方式切合项目实际的得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6946FB22">
            <w:pPr>
              <w:adjustRightInd/>
              <w:spacing w:line="360" w:lineRule="auto"/>
              <w:rPr>
                <w:rFonts w:hint="eastAsia" w:ascii="宋体" w:hAnsi="宋体" w:cs="宋体"/>
                <w:color w:val="auto"/>
                <w:szCs w:val="21"/>
                <w:highlight w:val="none"/>
              </w:rPr>
            </w:pPr>
            <w:r>
              <w:rPr>
                <w:rFonts w:hint="eastAsia" w:ascii="宋体" w:hAnsi="宋体" w:cs="宋体"/>
                <w:color w:val="auto"/>
                <w:szCs w:val="21"/>
                <w:highlight w:val="none"/>
              </w:rPr>
              <w:t>2）培训时间安排</w:t>
            </w:r>
            <w:r>
              <w:rPr>
                <w:rFonts w:hint="eastAsia" w:ascii="宋体" w:hAnsi="宋体" w:cs="宋体"/>
                <w:color w:val="auto"/>
                <w:szCs w:val="21"/>
                <w:highlight w:val="none"/>
                <w:lang w:val="en-US" w:eastAsia="zh-CN"/>
              </w:rPr>
              <w:t>基本</w:t>
            </w:r>
            <w:r>
              <w:rPr>
                <w:rFonts w:hint="eastAsia" w:ascii="宋体" w:hAnsi="宋体" w:cs="宋体"/>
                <w:color w:val="auto"/>
                <w:szCs w:val="21"/>
                <w:highlight w:val="none"/>
              </w:rPr>
              <w:t>合理，培训次数能</w:t>
            </w:r>
            <w:r>
              <w:rPr>
                <w:rFonts w:hint="eastAsia" w:ascii="宋体" w:hAnsi="宋体" w:cs="宋体"/>
                <w:color w:val="auto"/>
                <w:szCs w:val="21"/>
                <w:highlight w:val="none"/>
                <w:lang w:val="en-US" w:eastAsia="zh-CN"/>
              </w:rPr>
              <w:t>较好的</w:t>
            </w:r>
            <w:r>
              <w:rPr>
                <w:rFonts w:hint="eastAsia" w:ascii="宋体" w:hAnsi="宋体" w:cs="宋体"/>
                <w:color w:val="auto"/>
                <w:szCs w:val="21"/>
                <w:highlight w:val="none"/>
              </w:rPr>
              <w:t>确保设备使用人灵活使用</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w:t>
            </w:r>
            <w:r>
              <w:rPr>
                <w:rFonts w:hint="eastAsia" w:ascii="宋体" w:hAnsi="宋体" w:cs="宋体"/>
                <w:color w:val="auto"/>
                <w:szCs w:val="21"/>
                <w:highlight w:val="none"/>
                <w:lang w:val="en-US" w:eastAsia="zh-CN"/>
              </w:rPr>
              <w:t>场所和培训</w:t>
            </w:r>
            <w:r>
              <w:rPr>
                <w:rFonts w:hint="eastAsia" w:ascii="宋体" w:hAnsi="宋体" w:cs="宋体"/>
                <w:color w:val="auto"/>
                <w:szCs w:val="21"/>
                <w:highlight w:val="none"/>
              </w:rPr>
              <w:t>方式缺少针对性内容的得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64572CD1">
            <w:pPr>
              <w:adjustRightInd/>
              <w:spacing w:line="360" w:lineRule="auto"/>
              <w:rPr>
                <w:rFonts w:hint="eastAsia" w:ascii="宋体" w:hAnsi="宋体" w:cs="宋体"/>
                <w:color w:val="auto"/>
                <w:szCs w:val="21"/>
                <w:highlight w:val="none"/>
              </w:rPr>
            </w:pPr>
            <w:r>
              <w:rPr>
                <w:rFonts w:hint="eastAsia" w:ascii="宋体" w:hAnsi="宋体" w:cs="宋体"/>
                <w:color w:val="auto"/>
                <w:szCs w:val="21"/>
                <w:highlight w:val="none"/>
              </w:rPr>
              <w:t>3）培训时间安排</w:t>
            </w:r>
            <w:r>
              <w:rPr>
                <w:rFonts w:hint="eastAsia" w:ascii="宋体" w:hAnsi="宋体" w:cs="宋体"/>
                <w:color w:val="auto"/>
                <w:szCs w:val="21"/>
                <w:highlight w:val="none"/>
                <w:lang w:val="en-US" w:eastAsia="zh-CN"/>
              </w:rPr>
              <w:t>欠合理，培训次数少，</w:t>
            </w:r>
            <w:r>
              <w:rPr>
                <w:rFonts w:hint="eastAsia" w:ascii="宋体" w:hAnsi="宋体" w:cs="宋体"/>
                <w:color w:val="auto"/>
                <w:szCs w:val="21"/>
                <w:highlight w:val="none"/>
              </w:rPr>
              <w:t>培训</w:t>
            </w:r>
            <w:r>
              <w:rPr>
                <w:rFonts w:hint="eastAsia" w:ascii="宋体" w:hAnsi="宋体" w:cs="宋体"/>
                <w:color w:val="auto"/>
                <w:szCs w:val="21"/>
                <w:highlight w:val="none"/>
                <w:lang w:val="en-US" w:eastAsia="zh-CN"/>
              </w:rPr>
              <w:t>场所和培训</w:t>
            </w:r>
            <w:r>
              <w:rPr>
                <w:rFonts w:hint="eastAsia" w:ascii="宋体" w:hAnsi="宋体" w:cs="宋体"/>
                <w:color w:val="auto"/>
                <w:szCs w:val="21"/>
                <w:highlight w:val="none"/>
              </w:rPr>
              <w:t>方式</w:t>
            </w:r>
            <w:r>
              <w:rPr>
                <w:rFonts w:hint="eastAsia" w:ascii="宋体" w:hAnsi="宋体" w:cs="宋体"/>
                <w:color w:val="auto"/>
                <w:szCs w:val="21"/>
                <w:highlight w:val="none"/>
                <w:lang w:val="en-US" w:eastAsia="zh-CN"/>
              </w:rPr>
              <w:t>不切合实际</w:t>
            </w:r>
            <w:r>
              <w:rPr>
                <w:rFonts w:hint="eastAsia" w:ascii="宋体" w:hAnsi="宋体" w:cs="宋体"/>
                <w:color w:val="auto"/>
                <w:szCs w:val="21"/>
                <w:highlight w:val="none"/>
              </w:rPr>
              <w:t>的得1分；</w:t>
            </w:r>
          </w:p>
          <w:p w14:paraId="3A985230">
            <w:pPr>
              <w:adjustRightInd/>
              <w:spacing w:line="360" w:lineRule="auto"/>
              <w:rPr>
                <w:rFonts w:ascii="宋体" w:hAnsi="宋体" w:cs="宋体"/>
                <w:color w:val="auto"/>
                <w:szCs w:val="21"/>
                <w:highlight w:val="none"/>
              </w:rPr>
            </w:pPr>
            <w:r>
              <w:rPr>
                <w:rFonts w:hint="eastAsia" w:ascii="宋体" w:hAnsi="宋体" w:cs="宋体"/>
                <w:bCs/>
                <w:color w:val="auto"/>
                <w:szCs w:val="21"/>
                <w:highlight w:val="none"/>
                <w:lang w:bidi="ar"/>
              </w:rPr>
              <w:t>4）未提供相关内容的不得分。</w:t>
            </w:r>
          </w:p>
        </w:tc>
        <w:tc>
          <w:tcPr>
            <w:tcW w:w="675" w:type="dxa"/>
            <w:vAlign w:val="center"/>
          </w:tcPr>
          <w:p w14:paraId="2F36D4E1">
            <w:pPr>
              <w:widowControl/>
              <w:spacing w:line="40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3</w:t>
            </w:r>
          </w:p>
        </w:tc>
        <w:tc>
          <w:tcPr>
            <w:tcW w:w="1201" w:type="dxa"/>
            <w:vAlign w:val="center"/>
          </w:tcPr>
          <w:p w14:paraId="4B4CAAED">
            <w:pPr>
              <w:widowControl/>
              <w:spacing w:line="400" w:lineRule="exact"/>
              <w:jc w:val="center"/>
              <w:rPr>
                <w:rFonts w:ascii="宋体" w:hAnsi="宋体" w:cs="宋体"/>
                <w:color w:val="auto"/>
                <w:szCs w:val="21"/>
                <w:highlight w:val="none"/>
              </w:rPr>
            </w:pPr>
            <w:r>
              <w:rPr>
                <w:rFonts w:hint="eastAsia" w:ascii="宋体" w:hAnsi="宋体" w:eastAsia="宋体" w:cs="宋体"/>
                <w:color w:val="auto"/>
                <w:szCs w:val="21"/>
                <w:highlight w:val="none"/>
              </w:rPr>
              <w:t>主观分</w:t>
            </w:r>
          </w:p>
        </w:tc>
      </w:tr>
      <w:tr w14:paraId="7622267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13" w:type="dxa"/>
            <w:vAlign w:val="center"/>
          </w:tcPr>
          <w:p w14:paraId="57C85E13">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6.2</w:t>
            </w:r>
          </w:p>
        </w:tc>
        <w:tc>
          <w:tcPr>
            <w:tcW w:w="1554" w:type="dxa"/>
            <w:vMerge w:val="continue"/>
            <w:vAlign w:val="center"/>
          </w:tcPr>
          <w:p w14:paraId="7493C6BB">
            <w:pPr>
              <w:widowControl/>
              <w:spacing w:line="400" w:lineRule="exact"/>
              <w:jc w:val="center"/>
              <w:rPr>
                <w:rFonts w:ascii="宋体" w:hAnsi="宋体" w:cs="宋体"/>
                <w:color w:val="auto"/>
                <w:szCs w:val="21"/>
                <w:highlight w:val="none"/>
              </w:rPr>
            </w:pPr>
          </w:p>
        </w:tc>
        <w:tc>
          <w:tcPr>
            <w:tcW w:w="5755" w:type="dxa"/>
            <w:vAlign w:val="center"/>
          </w:tcPr>
          <w:p w14:paraId="5A3B59DF">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bCs/>
                <w:color w:val="auto"/>
                <w:szCs w:val="21"/>
                <w:highlight w:val="none"/>
                <w:lang w:bidi="ar"/>
              </w:rPr>
              <w:t>需结合项目实际货物提供</w:t>
            </w:r>
            <w:r>
              <w:rPr>
                <w:rFonts w:hint="eastAsia" w:ascii="宋体" w:hAnsi="宋体" w:cs="宋体"/>
                <w:color w:val="auto"/>
                <w:szCs w:val="21"/>
                <w:highlight w:val="none"/>
              </w:rPr>
              <w:t>的</w:t>
            </w:r>
            <w:r>
              <w:rPr>
                <w:rFonts w:hint="eastAsia" w:ascii="宋体" w:hAnsi="宋体" w:cs="宋体"/>
                <w:bCs/>
                <w:color w:val="auto"/>
                <w:szCs w:val="21"/>
                <w:highlight w:val="none"/>
                <w:lang w:val="en-US" w:eastAsia="zh-CN" w:bidi="ar"/>
              </w:rPr>
              <w:t>培训内容，</w:t>
            </w:r>
            <w:r>
              <w:rPr>
                <w:rFonts w:hint="eastAsia" w:ascii="宋体" w:hAnsi="宋体" w:cs="宋体"/>
                <w:color w:val="auto"/>
                <w:kern w:val="0"/>
                <w:szCs w:val="21"/>
                <w:highlight w:val="none"/>
              </w:rPr>
              <w:t>需包含但不限于以下要点：</w:t>
            </w:r>
            <w:r>
              <w:rPr>
                <w:rFonts w:hint="eastAsia" w:ascii="宋体" w:hAnsi="宋体" w:cs="宋体"/>
                <w:color w:val="auto"/>
                <w:kern w:val="0"/>
                <w:szCs w:val="21"/>
                <w:highlight w:val="none"/>
                <w:lang w:val="en-US" w:eastAsia="zh-CN"/>
              </w:rPr>
              <w:t>①</w:t>
            </w:r>
            <w:r>
              <w:rPr>
                <w:rFonts w:hint="eastAsia" w:ascii="宋体" w:hAnsi="宋体" w:cs="宋体"/>
                <w:color w:val="auto"/>
                <w:szCs w:val="21"/>
                <w:highlight w:val="none"/>
              </w:rPr>
              <w:t>培训范围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②</w:t>
            </w:r>
            <w:r>
              <w:rPr>
                <w:rFonts w:hint="eastAsia" w:ascii="宋体" w:hAnsi="宋体" w:cs="宋体"/>
                <w:color w:val="auto"/>
                <w:szCs w:val="21"/>
                <w:highlight w:val="none"/>
              </w:rPr>
              <w:t>培训内容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③</w:t>
            </w:r>
            <w:r>
              <w:rPr>
                <w:rFonts w:hint="eastAsia" w:ascii="宋体" w:hAnsi="宋体" w:cs="宋体"/>
                <w:bCs/>
                <w:color w:val="auto"/>
                <w:szCs w:val="21"/>
                <w:highlight w:val="none"/>
                <w:lang w:val="en-US" w:eastAsia="zh-CN" w:bidi="ar"/>
              </w:rPr>
              <w:t>培训师资力量</w:t>
            </w:r>
            <w:r>
              <w:rPr>
                <w:rFonts w:hint="eastAsia" w:ascii="宋体" w:hAnsi="宋体" w:cs="宋体"/>
                <w:color w:val="auto"/>
                <w:szCs w:val="21"/>
                <w:highlight w:val="none"/>
              </w:rPr>
              <w:t>进行评审：</w:t>
            </w:r>
          </w:p>
          <w:p w14:paraId="6F8025F2">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1）培训范围</w:t>
            </w:r>
            <w:r>
              <w:rPr>
                <w:rFonts w:hint="eastAsia" w:ascii="宋体" w:hAnsi="宋体" w:cs="宋体"/>
                <w:color w:val="auto"/>
                <w:szCs w:val="21"/>
                <w:highlight w:val="none"/>
                <w:lang w:val="en-US" w:eastAsia="zh-CN"/>
              </w:rPr>
              <w:t>涵盖所有货物范围，</w:t>
            </w:r>
            <w:r>
              <w:rPr>
                <w:rFonts w:hint="eastAsia" w:ascii="宋体" w:hAnsi="宋体" w:cs="宋体"/>
                <w:color w:val="auto"/>
                <w:szCs w:val="21"/>
                <w:highlight w:val="none"/>
              </w:rPr>
              <w:t>培训内容符合货物使用要求，培训师资力量充足</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能完全满足各区县市同时开展培训</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03E7F815">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2）培训范围</w:t>
            </w:r>
            <w:r>
              <w:rPr>
                <w:rFonts w:hint="eastAsia" w:ascii="宋体" w:hAnsi="宋体" w:cs="宋体"/>
                <w:color w:val="auto"/>
                <w:szCs w:val="21"/>
                <w:highlight w:val="none"/>
                <w:lang w:val="en-US" w:eastAsia="zh-CN"/>
              </w:rPr>
              <w:t>基本涵盖所有货物范围，</w:t>
            </w:r>
            <w:r>
              <w:rPr>
                <w:rFonts w:hint="eastAsia" w:ascii="宋体" w:hAnsi="宋体" w:cs="宋体"/>
                <w:color w:val="auto"/>
                <w:szCs w:val="21"/>
                <w:highlight w:val="none"/>
              </w:rPr>
              <w:t>培训内容不够符合采购需求，缺少针对性内容</w:t>
            </w:r>
            <w:r>
              <w:rPr>
                <w:rFonts w:hint="eastAsia" w:ascii="宋体" w:hAnsi="宋体" w:cs="宋体"/>
                <w:color w:val="auto"/>
                <w:szCs w:val="21"/>
                <w:highlight w:val="none"/>
                <w:lang w:eastAsia="zh-CN"/>
              </w:rPr>
              <w:t>，培训师资力量较充足，</w:t>
            </w:r>
            <w:r>
              <w:rPr>
                <w:rFonts w:hint="eastAsia" w:ascii="宋体" w:hAnsi="宋体" w:cs="宋体"/>
                <w:color w:val="auto"/>
                <w:szCs w:val="21"/>
                <w:highlight w:val="none"/>
                <w:lang w:val="en-US" w:eastAsia="zh-CN"/>
              </w:rPr>
              <w:t>基本满足各区县市同时开展培训</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5907ADD1">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3）培训范围</w:t>
            </w:r>
            <w:r>
              <w:rPr>
                <w:rFonts w:hint="eastAsia" w:ascii="宋体" w:hAnsi="宋体" w:cs="宋体"/>
                <w:color w:val="auto"/>
                <w:szCs w:val="21"/>
                <w:highlight w:val="none"/>
                <w:lang w:val="en-US" w:eastAsia="zh-CN"/>
              </w:rPr>
              <w:t>及</w:t>
            </w:r>
            <w:r>
              <w:rPr>
                <w:rFonts w:hint="eastAsia" w:ascii="宋体" w:hAnsi="宋体" w:cs="宋体"/>
                <w:color w:val="auto"/>
                <w:szCs w:val="21"/>
                <w:highlight w:val="none"/>
              </w:rPr>
              <w:t>培训内容没有结合采购需求，</w:t>
            </w:r>
            <w:r>
              <w:rPr>
                <w:rFonts w:hint="eastAsia" w:ascii="宋体" w:hAnsi="宋体" w:cs="宋体"/>
                <w:bCs/>
                <w:color w:val="auto"/>
                <w:szCs w:val="21"/>
                <w:highlight w:val="none"/>
                <w:lang w:val="en-US" w:eastAsia="zh-CN" w:bidi="ar"/>
              </w:rPr>
              <w:t>培训师资力量安排</w:t>
            </w:r>
            <w:r>
              <w:rPr>
                <w:rFonts w:hint="eastAsia" w:ascii="宋体" w:hAnsi="宋体" w:cs="宋体"/>
                <w:color w:val="auto"/>
                <w:szCs w:val="21"/>
                <w:highlight w:val="none"/>
              </w:rPr>
              <w:t>敷衍的得1分；</w:t>
            </w:r>
          </w:p>
          <w:p w14:paraId="43E67A42">
            <w:pPr>
              <w:adjustRightInd/>
              <w:spacing w:line="360" w:lineRule="auto"/>
              <w:rPr>
                <w:rFonts w:ascii="宋体" w:hAnsi="宋体" w:cs="宋体"/>
                <w:color w:val="auto"/>
                <w:szCs w:val="21"/>
                <w:highlight w:val="none"/>
              </w:rPr>
            </w:pPr>
            <w:r>
              <w:rPr>
                <w:rFonts w:hint="eastAsia" w:ascii="宋体" w:hAnsi="宋体" w:cs="宋体"/>
                <w:bCs/>
                <w:color w:val="auto"/>
                <w:szCs w:val="21"/>
                <w:highlight w:val="none"/>
                <w:lang w:bidi="ar"/>
              </w:rPr>
              <w:t>4）未提供相关内容的不得分。</w:t>
            </w:r>
          </w:p>
        </w:tc>
        <w:tc>
          <w:tcPr>
            <w:tcW w:w="675" w:type="dxa"/>
            <w:vAlign w:val="center"/>
          </w:tcPr>
          <w:p w14:paraId="0D538A98">
            <w:pPr>
              <w:widowControl/>
              <w:spacing w:line="40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3</w:t>
            </w:r>
          </w:p>
        </w:tc>
        <w:tc>
          <w:tcPr>
            <w:tcW w:w="1201" w:type="dxa"/>
            <w:vAlign w:val="center"/>
          </w:tcPr>
          <w:p w14:paraId="37EE2699">
            <w:pPr>
              <w:widowControl/>
              <w:spacing w:line="400" w:lineRule="exact"/>
              <w:jc w:val="center"/>
              <w:rPr>
                <w:rFonts w:ascii="宋体" w:hAnsi="宋体" w:cs="宋体"/>
                <w:color w:val="auto"/>
                <w:szCs w:val="21"/>
                <w:highlight w:val="none"/>
              </w:rPr>
            </w:pPr>
            <w:r>
              <w:rPr>
                <w:rFonts w:hint="eastAsia" w:ascii="宋体" w:hAnsi="宋体" w:eastAsia="宋体" w:cs="宋体"/>
                <w:color w:val="auto"/>
                <w:szCs w:val="21"/>
                <w:highlight w:val="none"/>
              </w:rPr>
              <w:t>主观分</w:t>
            </w:r>
          </w:p>
        </w:tc>
      </w:tr>
      <w:tr w14:paraId="56629AC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vAlign w:val="center"/>
          </w:tcPr>
          <w:p w14:paraId="05D243D1">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1554" w:type="dxa"/>
            <w:vAlign w:val="center"/>
          </w:tcPr>
          <w:p w14:paraId="1ECDB69F">
            <w:pPr>
              <w:widowControl/>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认证证书</w:t>
            </w:r>
          </w:p>
        </w:tc>
        <w:tc>
          <w:tcPr>
            <w:tcW w:w="5755" w:type="dxa"/>
            <w:vAlign w:val="center"/>
          </w:tcPr>
          <w:p w14:paraId="11F941F4">
            <w:pPr>
              <w:tabs>
                <w:tab w:val="left" w:pos="4469"/>
              </w:tabs>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投标人具有有效的质量管理体系认证证书得1分；</w:t>
            </w:r>
          </w:p>
          <w:p w14:paraId="303546FA">
            <w:pPr>
              <w:tabs>
                <w:tab w:val="left" w:pos="4469"/>
              </w:tabs>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投标人具有有效的信息技术服务管理体系认证证书得1分；</w:t>
            </w:r>
          </w:p>
          <w:p w14:paraId="27D9D465">
            <w:pPr>
              <w:tabs>
                <w:tab w:val="left" w:pos="4469"/>
              </w:tabs>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投标人具有有效的信息安全管理体系认证证书得1分。</w:t>
            </w:r>
          </w:p>
          <w:p w14:paraId="35BEB666">
            <w:pPr>
              <w:tabs>
                <w:tab w:val="left" w:pos="4469"/>
              </w:tabs>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rPr>
              <w:t>投标文件中提供</w:t>
            </w:r>
            <w:r>
              <w:rPr>
                <w:rFonts w:hint="eastAsia" w:ascii="宋体" w:hAnsi="宋体" w:cs="宋体"/>
                <w:color w:val="auto"/>
                <w:szCs w:val="21"/>
                <w:highlight w:val="none"/>
                <w:lang w:val="en-US" w:eastAsia="zh-CN"/>
              </w:rPr>
              <w:t>有效期内的认证证书扫描件及“全国认证认可信息公共服务平台http：//cx.cnca.cn”查询截图并加投标人公章，不提供不得分。若为联合体投标的，联合体任意一方提供均可。</w:t>
            </w:r>
          </w:p>
        </w:tc>
        <w:tc>
          <w:tcPr>
            <w:tcW w:w="675" w:type="dxa"/>
            <w:vAlign w:val="center"/>
          </w:tcPr>
          <w:p w14:paraId="7C9A6014">
            <w:pPr>
              <w:widowControl/>
              <w:spacing w:line="40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p>
        </w:tc>
        <w:tc>
          <w:tcPr>
            <w:tcW w:w="1201" w:type="dxa"/>
            <w:vAlign w:val="center"/>
          </w:tcPr>
          <w:p w14:paraId="244D60AF">
            <w:pPr>
              <w:widowControl/>
              <w:spacing w:line="40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rPr>
              <w:t>客观分</w:t>
            </w:r>
          </w:p>
        </w:tc>
      </w:tr>
      <w:tr w14:paraId="3A77B19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13" w:type="dxa"/>
            <w:vAlign w:val="center"/>
          </w:tcPr>
          <w:p w14:paraId="7CCC6249">
            <w:pPr>
              <w:widowControl/>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8</w:t>
            </w:r>
          </w:p>
        </w:tc>
        <w:tc>
          <w:tcPr>
            <w:tcW w:w="1554" w:type="dxa"/>
            <w:vAlign w:val="center"/>
          </w:tcPr>
          <w:p w14:paraId="3162E1E8">
            <w:pPr>
              <w:widowControl/>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业绩分</w:t>
            </w:r>
          </w:p>
        </w:tc>
        <w:tc>
          <w:tcPr>
            <w:tcW w:w="5755" w:type="dxa"/>
            <w:vAlign w:val="center"/>
          </w:tcPr>
          <w:p w14:paraId="5FCB3FA4">
            <w:pPr>
              <w:tabs>
                <w:tab w:val="left" w:pos="4469"/>
              </w:tabs>
              <w:spacing w:line="400" w:lineRule="exact"/>
              <w:rPr>
                <w:rFonts w:hint="eastAsia" w:ascii="宋体" w:hAnsi="宋体" w:cs="宋体"/>
                <w:color w:val="auto"/>
                <w:szCs w:val="21"/>
                <w:highlight w:val="none"/>
              </w:rPr>
            </w:pPr>
            <w:r>
              <w:rPr>
                <w:rFonts w:hint="eastAsia" w:ascii="宋体" w:hAnsi="宋体" w:cs="宋体"/>
                <w:color w:val="auto"/>
                <w:szCs w:val="21"/>
                <w:highlight w:val="none"/>
              </w:rPr>
              <w:t>投标人自202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年1月1日（以合同签订日期为准）以来具有同类案例，每提供一个案例得1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分，最多得3分。</w:t>
            </w:r>
          </w:p>
          <w:p w14:paraId="20484611">
            <w:pPr>
              <w:tabs>
                <w:tab w:val="left" w:pos="4469"/>
              </w:tabs>
              <w:spacing w:line="400" w:lineRule="exact"/>
              <w:rPr>
                <w:rFonts w:ascii="宋体" w:hAnsi="宋体" w:cs="宋体"/>
                <w:color w:val="auto"/>
                <w:szCs w:val="21"/>
                <w:highlight w:val="none"/>
              </w:rPr>
            </w:pPr>
            <w:r>
              <w:rPr>
                <w:rFonts w:hint="eastAsia" w:ascii="宋体" w:hAnsi="宋体" w:cs="宋体"/>
                <w:color w:val="auto"/>
                <w:szCs w:val="21"/>
                <w:highlight w:val="none"/>
              </w:rPr>
              <w:t>投标文件中提供合同（合同中附清单，体现采购内容，未体现的提供合同中甲方证明）的扫描件加盖公章。</w:t>
            </w:r>
            <w:r>
              <w:rPr>
                <w:rFonts w:hint="eastAsia" w:ascii="宋体" w:hAnsi="宋体" w:cs="宋体"/>
                <w:color w:val="auto"/>
                <w:szCs w:val="21"/>
                <w:highlight w:val="none"/>
                <w:lang w:val="en-US" w:eastAsia="zh-CN"/>
              </w:rPr>
              <w:t>若为联合体投标的，联合体任意一方提供均可。</w:t>
            </w:r>
          </w:p>
        </w:tc>
        <w:tc>
          <w:tcPr>
            <w:tcW w:w="675" w:type="dxa"/>
            <w:vAlign w:val="center"/>
          </w:tcPr>
          <w:p w14:paraId="26F06C14">
            <w:pPr>
              <w:widowControl/>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201" w:type="dxa"/>
            <w:vAlign w:val="center"/>
          </w:tcPr>
          <w:p w14:paraId="04B8239A">
            <w:pPr>
              <w:widowControl/>
              <w:spacing w:line="400" w:lineRule="exact"/>
              <w:jc w:val="center"/>
              <w:rPr>
                <w:rFonts w:ascii="宋体" w:hAnsi="宋体" w:cs="宋体"/>
                <w:color w:val="auto"/>
                <w:highlight w:val="none"/>
              </w:rPr>
            </w:pPr>
            <w:r>
              <w:rPr>
                <w:rFonts w:hint="eastAsia" w:ascii="宋体" w:hAnsi="宋体" w:cs="宋体"/>
                <w:color w:val="auto"/>
                <w:szCs w:val="21"/>
                <w:highlight w:val="none"/>
              </w:rPr>
              <w:t>客观分</w:t>
            </w:r>
          </w:p>
        </w:tc>
      </w:tr>
      <w:tr w14:paraId="0DDBCCF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13" w:type="dxa"/>
            <w:vAlign w:val="center"/>
          </w:tcPr>
          <w:p w14:paraId="50575B1C">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1554" w:type="dxa"/>
            <w:vAlign w:val="center"/>
          </w:tcPr>
          <w:p w14:paraId="0A773A08">
            <w:pPr>
              <w:widowControl/>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视频演示</w:t>
            </w:r>
          </w:p>
        </w:tc>
        <w:tc>
          <w:tcPr>
            <w:tcW w:w="5755" w:type="dxa"/>
            <w:vAlign w:val="center"/>
          </w:tcPr>
          <w:p w14:paraId="6B412FE7">
            <w:pPr>
              <w:tabs>
                <w:tab w:val="left" w:pos="4469"/>
              </w:tabs>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针对投标人所投产品按照以下要求进行视频讲解演示进行综合评审，每满足一项要求的得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分，不满足的不得分：</w:t>
            </w:r>
          </w:p>
          <w:p w14:paraId="3B4E7FA0">
            <w:pPr>
              <w:tabs>
                <w:tab w:val="left" w:pos="4469"/>
              </w:tabs>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1、救援无人机（侦察无人机）</w:t>
            </w:r>
            <w:r>
              <w:rPr>
                <w:rFonts w:hint="eastAsia" w:ascii="宋体" w:hAnsi="宋体" w:eastAsia="宋体" w:cs="宋体"/>
                <w:color w:val="auto"/>
                <w:szCs w:val="21"/>
                <w:highlight w:val="none"/>
                <w:lang w:val="en-US" w:eastAsia="zh-CN"/>
              </w:rPr>
              <w:t>：</w:t>
            </w:r>
          </w:p>
          <w:p w14:paraId="335B4044">
            <w:pPr>
              <w:tabs>
                <w:tab w:val="left" w:pos="4469"/>
              </w:tabs>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（1）组网功能展示，1台遥控器可以控制2台及以上无人机；</w:t>
            </w:r>
          </w:p>
          <w:p w14:paraId="692B41BA">
            <w:pPr>
              <w:tabs>
                <w:tab w:val="left" w:pos="4469"/>
              </w:tabs>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（2）电池热替换，可不关闭飞行器的前提下，进行电池的替换；</w:t>
            </w:r>
          </w:p>
          <w:p w14:paraId="255B4658">
            <w:pPr>
              <w:tabs>
                <w:tab w:val="left" w:pos="4469"/>
              </w:tabs>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2、救援无人机（巡堤查险无人机）：</w:t>
            </w:r>
          </w:p>
          <w:p w14:paraId="58BF527D">
            <w:pPr>
              <w:tabs>
                <w:tab w:val="left" w:pos="4469"/>
              </w:tabs>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（1）快速响应展示，单人5分钟内将无人机从装箱状态组装成飞行状态；（录制演示视频时需旁边放置计时设备）</w:t>
            </w:r>
          </w:p>
          <w:p w14:paraId="58E5166B">
            <w:pPr>
              <w:tabs>
                <w:tab w:val="left" w:pos="4469"/>
              </w:tabs>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（2）挂载拆卸，10s内可完成云台挂载拆卸； （录制演示视频时需旁边放置计时设备） </w:t>
            </w:r>
          </w:p>
          <w:p w14:paraId="4278CFF8">
            <w:pPr>
              <w:tabs>
                <w:tab w:val="left" w:pos="4469"/>
              </w:tabs>
              <w:spacing w:line="400" w:lineRule="exact"/>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（3）目标锁定跟踪，可在遥控器上框选目标，无人机进行云台锁定并自主跟踪。</w:t>
            </w:r>
          </w:p>
        </w:tc>
        <w:tc>
          <w:tcPr>
            <w:tcW w:w="675" w:type="dxa"/>
            <w:vAlign w:val="center"/>
          </w:tcPr>
          <w:p w14:paraId="104E9FF0">
            <w:pPr>
              <w:widowControl/>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1201" w:type="dxa"/>
            <w:vAlign w:val="center"/>
          </w:tcPr>
          <w:p w14:paraId="25C23339">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14:paraId="6197B46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13" w:type="dxa"/>
            <w:vAlign w:val="center"/>
          </w:tcPr>
          <w:p w14:paraId="1A266ED8">
            <w:pPr>
              <w:widowControl/>
              <w:snapToGri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7309" w:type="dxa"/>
            <w:gridSpan w:val="2"/>
            <w:vAlign w:val="center"/>
          </w:tcPr>
          <w:p w14:paraId="00158983">
            <w:pPr>
              <w:tabs>
                <w:tab w:val="left" w:pos="0"/>
              </w:tabs>
              <w:spacing w:line="400" w:lineRule="exact"/>
              <w:rPr>
                <w:rFonts w:ascii="宋体" w:hAnsi="宋体" w:cs="宋体"/>
                <w:b/>
                <w:bCs/>
                <w:color w:val="auto"/>
                <w:szCs w:val="21"/>
                <w:highlight w:val="none"/>
              </w:rPr>
            </w:pPr>
            <w:r>
              <w:rPr>
                <w:rFonts w:hint="eastAsia" w:ascii="宋体" w:hAnsi="宋体" w:cs="宋体"/>
                <w:b/>
                <w:color w:val="auto"/>
                <w:szCs w:val="21"/>
                <w:highlight w:val="none"/>
              </w:rPr>
              <w:t>政策性加分：</w:t>
            </w:r>
            <w:r>
              <w:rPr>
                <w:rFonts w:hint="eastAsia" w:ascii="宋体" w:hAnsi="宋体" w:cs="宋体"/>
                <w:b/>
                <w:bCs/>
                <w:color w:val="auto"/>
                <w:szCs w:val="21"/>
                <w:highlight w:val="none"/>
              </w:rPr>
              <w:t>节能产品、环境标志产品1分</w:t>
            </w:r>
          </w:p>
          <w:p w14:paraId="2A250DA8">
            <w:pPr>
              <w:tabs>
                <w:tab w:val="left" w:pos="4469"/>
              </w:tabs>
              <w:spacing w:line="400" w:lineRule="exact"/>
              <w:rPr>
                <w:rFonts w:ascii="宋体" w:hAnsi="宋体" w:cs="宋体"/>
                <w:color w:val="auto"/>
                <w:szCs w:val="21"/>
                <w:highlight w:val="none"/>
              </w:rPr>
            </w:pPr>
            <w:r>
              <w:rPr>
                <w:rFonts w:hint="eastAsia" w:ascii="宋体" w:hAnsi="宋体" w:cs="宋体"/>
                <w:color w:val="auto"/>
                <w:szCs w:val="21"/>
                <w:highlight w:val="none"/>
              </w:rPr>
              <w:t>投标产品属于《节能产品政府采购品目清单》范围的且具有国家确定的认证机构出具的、处于有效期之内的节能产品认证证书的得0.5分；</w:t>
            </w:r>
          </w:p>
          <w:p w14:paraId="38FEC1DB">
            <w:pPr>
              <w:tabs>
                <w:tab w:val="left" w:pos="4469"/>
              </w:tabs>
              <w:spacing w:line="400" w:lineRule="exact"/>
              <w:rPr>
                <w:rFonts w:ascii="宋体" w:hAnsi="宋体" w:cs="宋体"/>
                <w:color w:val="auto"/>
                <w:szCs w:val="21"/>
                <w:highlight w:val="none"/>
              </w:rPr>
            </w:pPr>
            <w:r>
              <w:rPr>
                <w:rFonts w:hint="eastAsia" w:ascii="宋体" w:hAnsi="宋体" w:cs="宋体"/>
                <w:color w:val="auto"/>
                <w:szCs w:val="21"/>
                <w:highlight w:val="none"/>
              </w:rPr>
              <w:t>投标产品属于《环境标志产品政府采购品目清单》范围的且具有国家确定的认证机构出具的、处于有效期之内的环境标志产品认证证书的得0.5分。</w:t>
            </w:r>
          </w:p>
          <w:p w14:paraId="0BFC576D">
            <w:pPr>
              <w:tabs>
                <w:tab w:val="left" w:pos="4469"/>
              </w:tabs>
              <w:spacing w:line="400" w:lineRule="exact"/>
              <w:rPr>
                <w:rFonts w:ascii="宋体" w:hAnsi="宋体" w:cs="宋体"/>
                <w:color w:val="auto"/>
                <w:szCs w:val="21"/>
                <w:highlight w:val="none"/>
              </w:rPr>
            </w:pPr>
            <w:r>
              <w:rPr>
                <w:rFonts w:hint="eastAsia" w:ascii="宋体" w:hAnsi="宋体" w:cs="宋体"/>
                <w:color w:val="auto"/>
                <w:szCs w:val="21"/>
                <w:highlight w:val="none"/>
              </w:rPr>
              <w:t>注：投标文件中必须同时提供以下资料：</w:t>
            </w:r>
          </w:p>
          <w:p w14:paraId="51460F9F">
            <w:pPr>
              <w:tabs>
                <w:tab w:val="left" w:pos="4469"/>
              </w:tabs>
              <w:spacing w:line="400" w:lineRule="exact"/>
              <w:rPr>
                <w:rFonts w:ascii="宋体" w:hAnsi="宋体" w:cs="宋体"/>
                <w:color w:val="auto"/>
                <w:szCs w:val="21"/>
                <w:highlight w:val="none"/>
              </w:rPr>
            </w:pPr>
            <w:r>
              <w:rPr>
                <w:rFonts w:hint="eastAsia" w:ascii="宋体" w:hAnsi="宋体" w:cs="宋体"/>
                <w:color w:val="auto"/>
                <w:szCs w:val="21"/>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6983ABA7">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（2）《市场监管总局关于发布参与实施政府采购节能产品、环境标志产品认证机构名录的公告》中的认证机构出具的、处于有效期之内的节能产品/环境标志产品认证证书扫描件并加盖公章。</w:t>
            </w:r>
          </w:p>
        </w:tc>
        <w:tc>
          <w:tcPr>
            <w:tcW w:w="675" w:type="dxa"/>
            <w:vAlign w:val="center"/>
          </w:tcPr>
          <w:p w14:paraId="716843F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201" w:type="dxa"/>
            <w:vAlign w:val="center"/>
          </w:tcPr>
          <w:p w14:paraId="063FBC5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客观分</w:t>
            </w:r>
          </w:p>
        </w:tc>
      </w:tr>
      <w:tr w14:paraId="4A5DA04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8" w:type="dxa"/>
            <w:gridSpan w:val="5"/>
            <w:vAlign w:val="center"/>
          </w:tcPr>
          <w:p w14:paraId="60E0CDEA">
            <w:pPr>
              <w:widowControl/>
              <w:tabs>
                <w:tab w:val="left" w:pos="0"/>
              </w:tabs>
              <w:spacing w:line="40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二、报价分（30分）</w:t>
            </w:r>
          </w:p>
        </w:tc>
      </w:tr>
      <w:tr w14:paraId="14A5B69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813" w:type="dxa"/>
            <w:vAlign w:val="center"/>
          </w:tcPr>
          <w:p w14:paraId="2110090F">
            <w:pPr>
              <w:tabs>
                <w:tab w:val="left" w:pos="4469"/>
              </w:tabs>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p>
        </w:tc>
        <w:tc>
          <w:tcPr>
            <w:tcW w:w="7309" w:type="dxa"/>
            <w:gridSpan w:val="2"/>
            <w:vAlign w:val="center"/>
          </w:tcPr>
          <w:p w14:paraId="184ADED2">
            <w:pPr>
              <w:tabs>
                <w:tab w:val="left" w:pos="4469"/>
              </w:tabs>
              <w:spacing w:line="400" w:lineRule="exact"/>
              <w:rPr>
                <w:rFonts w:ascii="宋体" w:hAnsi="宋体" w:cs="宋体"/>
                <w:color w:val="auto"/>
                <w:highlight w:val="none"/>
              </w:rPr>
            </w:pPr>
            <w:r>
              <w:rPr>
                <w:rFonts w:hint="eastAsia" w:ascii="宋体" w:hAnsi="宋体" w:cs="宋体"/>
                <w:color w:val="auto"/>
                <w:highlight w:val="none"/>
              </w:rPr>
              <w:t>评标基准价指的是满足采购文件要求且最低的参与评审的价格。</w:t>
            </w:r>
          </w:p>
          <w:p w14:paraId="79CED20F">
            <w:pPr>
              <w:tabs>
                <w:tab w:val="left" w:pos="4469"/>
              </w:tabs>
              <w:spacing w:line="400" w:lineRule="exact"/>
              <w:rPr>
                <w:rFonts w:ascii="宋体" w:hAnsi="宋体" w:cs="宋体"/>
                <w:color w:val="auto"/>
                <w:highlight w:val="none"/>
              </w:rPr>
            </w:pPr>
            <w:r>
              <w:rPr>
                <w:rFonts w:hint="eastAsia" w:ascii="宋体" w:hAnsi="宋体" w:cs="宋体"/>
                <w:color w:val="auto"/>
                <w:highlight w:val="none"/>
              </w:rPr>
              <w:t>参与评审的价格=投标报价-小微企业价格扣除优惠值（如有）。</w:t>
            </w:r>
          </w:p>
          <w:p w14:paraId="6AD44CEC">
            <w:pPr>
              <w:tabs>
                <w:tab w:val="left" w:pos="4469"/>
              </w:tabs>
              <w:spacing w:line="400" w:lineRule="exact"/>
              <w:rPr>
                <w:rFonts w:ascii="宋体" w:hAnsi="宋体" w:cs="宋体"/>
                <w:color w:val="auto"/>
                <w:highlight w:val="none"/>
              </w:rPr>
            </w:pPr>
            <w:r>
              <w:rPr>
                <w:rFonts w:hint="eastAsia" w:ascii="宋体" w:hAnsi="宋体" w:cs="宋体"/>
                <w:color w:val="auto"/>
                <w:highlight w:val="none"/>
              </w:rPr>
              <w:t>参与评审的价格为评标基准价的其价格得分得满分30分。</w:t>
            </w:r>
          </w:p>
          <w:p w14:paraId="3F96E982">
            <w:pPr>
              <w:tabs>
                <w:tab w:val="left" w:pos="4469"/>
              </w:tabs>
              <w:spacing w:line="400" w:lineRule="exact"/>
              <w:rPr>
                <w:rFonts w:ascii="宋体" w:hAnsi="宋体" w:cs="宋体"/>
                <w:color w:val="auto"/>
                <w:highlight w:val="none"/>
              </w:rPr>
            </w:pPr>
            <w:r>
              <w:rPr>
                <w:rFonts w:hint="eastAsia" w:ascii="宋体" w:hAnsi="宋体" w:cs="宋体"/>
                <w:color w:val="auto"/>
                <w:highlight w:val="none"/>
              </w:rPr>
              <w:t>其他供应商价格得分按照下列公式计算：</w:t>
            </w:r>
          </w:p>
          <w:p w14:paraId="68390E7D">
            <w:pPr>
              <w:tabs>
                <w:tab w:val="left" w:pos="4469"/>
              </w:tabs>
              <w:spacing w:line="400" w:lineRule="exact"/>
              <w:rPr>
                <w:rFonts w:ascii="宋体" w:hAnsi="宋体" w:cs="宋体"/>
                <w:color w:val="auto"/>
                <w:szCs w:val="21"/>
                <w:highlight w:val="none"/>
                <w:lang w:val="zh-CN"/>
              </w:rPr>
            </w:pPr>
            <w:r>
              <w:rPr>
                <w:rFonts w:hint="eastAsia" w:ascii="宋体" w:hAnsi="宋体" w:cs="宋体"/>
                <w:color w:val="auto"/>
                <w:highlight w:val="none"/>
              </w:rPr>
              <w:t>价格得分=（评标基准价/参与评审的价格）×30%×100。</w:t>
            </w:r>
          </w:p>
        </w:tc>
        <w:tc>
          <w:tcPr>
            <w:tcW w:w="675" w:type="dxa"/>
            <w:vAlign w:val="center"/>
          </w:tcPr>
          <w:p w14:paraId="171A8A13">
            <w:pPr>
              <w:tabs>
                <w:tab w:val="left" w:pos="4469"/>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30</w:t>
            </w:r>
          </w:p>
        </w:tc>
        <w:tc>
          <w:tcPr>
            <w:tcW w:w="1201" w:type="dxa"/>
            <w:vAlign w:val="center"/>
          </w:tcPr>
          <w:p w14:paraId="74346E09">
            <w:pPr>
              <w:tabs>
                <w:tab w:val="left" w:pos="4469"/>
              </w:tabs>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客观分</w:t>
            </w:r>
          </w:p>
        </w:tc>
      </w:tr>
    </w:tbl>
    <w:p w14:paraId="0BA8B3A0">
      <w:pPr>
        <w:pStyle w:val="24"/>
        <w:rPr>
          <w:rFonts w:hAnsi="宋体" w:cs="宋体"/>
          <w:color w:val="auto"/>
          <w:szCs w:val="24"/>
          <w:highlight w:val="none"/>
        </w:rPr>
      </w:pPr>
    </w:p>
    <w:p w14:paraId="7F739C6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shd w:val="clear" w:color="auto" w:fill="FFFFFF"/>
        </w:rPr>
        <w:t> </w:t>
      </w:r>
      <w:r>
        <w:rPr>
          <w:rFonts w:hint="eastAsia" w:ascii="宋体" w:hAnsi="宋体" w:cs="宋体"/>
          <w:b/>
          <w:color w:val="auto"/>
          <w:szCs w:val="21"/>
          <w:highlight w:val="none"/>
        </w:rPr>
        <w:t>备注：</w:t>
      </w:r>
      <w:r>
        <w:rPr>
          <w:rFonts w:hint="eastAsia" w:ascii="宋体" w:hAnsi="宋体" w:cs="宋体"/>
          <w:bCs/>
          <w:color w:val="auto"/>
          <w:szCs w:val="21"/>
          <w:highlight w:val="none"/>
        </w:rPr>
        <w:t>（1）</w:t>
      </w:r>
      <w:r>
        <w:rPr>
          <w:rFonts w:hint="eastAsia" w:ascii="宋体" w:hAnsi="宋体" w:cs="宋体"/>
          <w:color w:val="auto"/>
          <w:szCs w:val="21"/>
          <w:highlight w:val="none"/>
        </w:rPr>
        <w:t>投标人编制投标文件（商务技术文件部分）时，建议按此目录（序号和内容）提供评标标准相应的商务技术资料。</w:t>
      </w:r>
    </w:p>
    <w:p w14:paraId="52F51E0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（2）评委在上表设定的分值范围内打分</w:t>
      </w:r>
      <w:r>
        <w:rPr>
          <w:rFonts w:hint="eastAsia" w:ascii="宋体" w:hAnsi="宋体" w:cs="宋体"/>
          <w:color w:val="auto"/>
          <w:szCs w:val="21"/>
          <w:highlight w:val="none"/>
          <w:lang w:eastAsia="zh-CN"/>
        </w:rPr>
        <w:t>（</w:t>
      </w:r>
      <w:r>
        <w:rPr>
          <w:rFonts w:hint="eastAsia" w:ascii="宋体" w:hAnsi="宋体" w:cs="宋体"/>
          <w:color w:val="auto"/>
          <w:szCs w:val="21"/>
          <w:highlight w:val="none"/>
        </w:rPr>
        <w:t>四舍五入保留两位小数</w:t>
      </w:r>
      <w:r>
        <w:rPr>
          <w:rFonts w:hint="eastAsia" w:ascii="宋体" w:hAnsi="宋体" w:cs="宋体"/>
          <w:color w:val="auto"/>
          <w:szCs w:val="21"/>
          <w:highlight w:val="none"/>
          <w:lang w:eastAsia="zh-CN"/>
        </w:rPr>
        <w:t>）</w:t>
      </w:r>
      <w:r>
        <w:rPr>
          <w:rFonts w:hint="eastAsia" w:ascii="宋体" w:hAnsi="宋体" w:cs="宋体"/>
          <w:color w:val="auto"/>
          <w:szCs w:val="21"/>
          <w:highlight w:val="none"/>
        </w:rPr>
        <w:t>，平均分值计算四舍五入保留两位小数点。  </w:t>
      </w:r>
    </w:p>
    <w:p w14:paraId="54FBCFE0">
      <w:pPr>
        <w:pStyle w:val="62"/>
        <w:ind w:firstLine="420"/>
        <w:rPr>
          <w:rFonts w:cs="宋体"/>
          <w:color w:val="auto"/>
          <w:szCs w:val="21"/>
          <w:highlight w:val="none"/>
        </w:rPr>
      </w:pPr>
    </w:p>
    <w:p w14:paraId="7F4FB72E">
      <w:pPr>
        <w:snapToGrid w:val="0"/>
        <w:spacing w:line="360" w:lineRule="auto"/>
        <w:outlineLvl w:val="1"/>
        <w:rPr>
          <w:rFonts w:ascii="宋体" w:hAnsi="宋体" w:cs="宋体"/>
          <w:b/>
          <w:color w:val="auto"/>
          <w:szCs w:val="21"/>
          <w:highlight w:val="none"/>
        </w:rPr>
      </w:pPr>
      <w:bookmarkStart w:id="435" w:name="_Toc22860"/>
      <w:r>
        <w:rPr>
          <w:rFonts w:hint="eastAsia" w:ascii="宋体" w:hAnsi="宋体" w:cs="宋体"/>
          <w:b/>
          <w:color w:val="auto"/>
          <w:szCs w:val="21"/>
          <w:highlight w:val="none"/>
        </w:rPr>
        <w:t>一、评标方法</w:t>
      </w:r>
      <w:bookmarkEnd w:id="435"/>
    </w:p>
    <w:p w14:paraId="71F6F677">
      <w:pPr>
        <w:adjustRightInd/>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1.本项目采用综合评分法。</w:t>
      </w:r>
      <w:r>
        <w:rPr>
          <w:rFonts w:hint="eastAsia" w:ascii="宋体" w:hAnsi="宋体" w:cs="宋体"/>
          <w:color w:val="auto"/>
          <w:kern w:val="0"/>
          <w:szCs w:val="21"/>
          <w:highlight w:val="none"/>
        </w:rPr>
        <w:t>综合评分法，是指投标文件满足招标文件全部实质性要求，且按照评审因素的量化指标评审得分最高的投标人为中标候选人的评标方法。</w:t>
      </w:r>
    </w:p>
    <w:p w14:paraId="15CCC0B3">
      <w:pPr>
        <w:adjustRightInd/>
        <w:spacing w:line="360" w:lineRule="auto"/>
        <w:outlineLvl w:val="1"/>
        <w:rPr>
          <w:rFonts w:ascii="宋体" w:hAnsi="宋体" w:cs="宋体"/>
          <w:color w:val="auto"/>
          <w:kern w:val="0"/>
          <w:szCs w:val="21"/>
          <w:highlight w:val="none"/>
        </w:rPr>
      </w:pPr>
      <w:bookmarkStart w:id="436" w:name="_Toc29389"/>
      <w:r>
        <w:rPr>
          <w:rFonts w:hint="eastAsia" w:ascii="宋体" w:hAnsi="宋体" w:cs="宋体"/>
          <w:b/>
          <w:color w:val="auto"/>
          <w:szCs w:val="21"/>
          <w:highlight w:val="none"/>
        </w:rPr>
        <w:t>二、评标标准</w:t>
      </w:r>
      <w:bookmarkEnd w:id="436"/>
    </w:p>
    <w:p w14:paraId="1669EDED">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2.评标标准：</w:t>
      </w:r>
      <w:r>
        <w:rPr>
          <w:rFonts w:hint="eastAsia" w:ascii="宋体" w:hAnsi="宋体" w:cs="宋体"/>
          <w:color w:val="auto"/>
          <w:kern w:val="0"/>
          <w:szCs w:val="21"/>
          <w:highlight w:val="none"/>
        </w:rPr>
        <w:t>见评标办法前附表。</w:t>
      </w:r>
    </w:p>
    <w:p w14:paraId="08D3384A">
      <w:pPr>
        <w:spacing w:line="360" w:lineRule="auto"/>
        <w:outlineLvl w:val="1"/>
        <w:rPr>
          <w:rFonts w:ascii="宋体" w:hAnsi="宋体" w:cs="宋体"/>
          <w:b/>
          <w:color w:val="auto"/>
          <w:szCs w:val="21"/>
          <w:highlight w:val="none"/>
        </w:rPr>
      </w:pPr>
      <w:bookmarkStart w:id="437" w:name="_Toc1306"/>
      <w:r>
        <w:rPr>
          <w:rFonts w:hint="eastAsia" w:ascii="宋体" w:hAnsi="宋体" w:cs="宋体"/>
          <w:b/>
          <w:color w:val="auto"/>
          <w:szCs w:val="21"/>
          <w:highlight w:val="none"/>
        </w:rPr>
        <w:t>三、评标程序</w:t>
      </w:r>
      <w:bookmarkEnd w:id="437"/>
    </w:p>
    <w:p w14:paraId="4E8DFE17">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3.1符合性审查。</w:t>
      </w:r>
      <w:r>
        <w:rPr>
          <w:rFonts w:hint="eastAsia" w:ascii="宋体" w:hAnsi="宋体" w:cs="宋体"/>
          <w:color w:val="auto"/>
          <w:kern w:val="0"/>
          <w:szCs w:val="21"/>
          <w:highlight w:val="none"/>
        </w:rPr>
        <w:t>评标委员会应当对符合资格的投标人的投标文件进行符合性审查，以确定其是否满足招标文件的实质性要求。不满足招标文件的实质性要求的，投标无效。</w:t>
      </w:r>
    </w:p>
    <w:p w14:paraId="6D1CDC83">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3.2比较与评价。</w:t>
      </w:r>
      <w:r>
        <w:rPr>
          <w:rFonts w:hint="eastAsia" w:ascii="宋体" w:hAnsi="宋体" w:cs="宋体"/>
          <w:color w:val="auto"/>
          <w:kern w:val="0"/>
          <w:szCs w:val="21"/>
          <w:highlight w:val="none"/>
        </w:rPr>
        <w:t>评标委员会应当按照招标文件中规定的评标方法和标准，对符合性审查合格的投标文件进行商务和技术评估，综合比较与评价。评标委员会成员个人主观打分偏离所有评标委员会成员主观打分平均值30%以上的，由评标委员会启动评分畸高、畸低行为认定程序。</w:t>
      </w:r>
    </w:p>
    <w:p w14:paraId="5DE2AFF6">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3.3汇总商务技术得分。</w:t>
      </w:r>
      <w:r>
        <w:rPr>
          <w:rFonts w:hint="eastAsia" w:ascii="宋体" w:hAnsi="宋体" w:cs="宋体"/>
          <w:color w:val="auto"/>
          <w:kern w:val="0"/>
          <w:szCs w:val="21"/>
          <w:highlight w:val="none"/>
        </w:rPr>
        <w:t>评标委员会各成员应当独立对每个投标人的商务和技术文件进行评价，并汇总商务技术得分情况。</w:t>
      </w:r>
    </w:p>
    <w:p w14:paraId="7FB01E27">
      <w:pPr>
        <w:spacing w:line="360" w:lineRule="auto"/>
        <w:ind w:firstLine="413" w:firstLineChars="196"/>
        <w:rPr>
          <w:rFonts w:ascii="宋体" w:hAnsi="宋体" w:cs="宋体"/>
          <w:b/>
          <w:color w:val="auto"/>
          <w:kern w:val="0"/>
          <w:szCs w:val="21"/>
          <w:highlight w:val="none"/>
        </w:rPr>
      </w:pPr>
      <w:r>
        <w:rPr>
          <w:rFonts w:hint="eastAsia" w:ascii="宋体" w:hAnsi="宋体" w:cs="宋体"/>
          <w:b/>
          <w:color w:val="auto"/>
          <w:kern w:val="0"/>
          <w:szCs w:val="21"/>
          <w:highlight w:val="none"/>
        </w:rPr>
        <w:t>3.4报价评审。</w:t>
      </w:r>
    </w:p>
    <w:p w14:paraId="4CB53FC7">
      <w:pPr>
        <w:pStyle w:val="135"/>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11419DDE">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3.4.1.1投标人在政府采购云平台填写的投标报价与投标文件报价文件中开标一览表（报价表）不一致的，以报价文件中开标一览表（报价表）为准；</w:t>
      </w:r>
    </w:p>
    <w:p w14:paraId="1C89DB48">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3.4.1.2投标文件中开标一览表（报价表）内容与投标文件中相应内容不一致的，以开标一览表（报价表）为准；</w:t>
      </w:r>
    </w:p>
    <w:p w14:paraId="40B2967D">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3.4.1.3大写金额和小写金额不一致的，以大写金额为准；</w:t>
      </w:r>
    </w:p>
    <w:p w14:paraId="5863EF48">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3.4.1.4单价金额小数点或者百分比有明显错位的，以开标一览表的总价为准，并修改单价；</w:t>
      </w:r>
    </w:p>
    <w:p w14:paraId="00E5DCF2">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3.4.1.5总价金额与按单价汇总金额不一致的，以单价金额计算结果为准。</w:t>
      </w:r>
    </w:p>
    <w:p w14:paraId="10110886">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3.4.1.6同时出现两种以上不一致的，按照3.4.1规定的顺序修正。修正后的报价按照财政部第87号令 《政府采购货物和服务招标投标管理办法》第五十一条第二款的规定经投标人确认后产生约束力。</w:t>
      </w:r>
    </w:p>
    <w:p w14:paraId="71B6120F">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3.4.2投标文件出现不是唯一的、有选择性投标报价的，投标无效。</w:t>
      </w:r>
    </w:p>
    <w:p w14:paraId="4BB09268">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3.4.3投标报价超过招标文件中规定的预算金额或者最高限价的，投标无效。</w:t>
      </w:r>
    </w:p>
    <w:p w14:paraId="4967413A">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A2946A0">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50DD5E6">
      <w:pPr>
        <w:spacing w:line="360" w:lineRule="auto"/>
        <w:ind w:firstLine="422" w:firstLineChars="200"/>
        <w:rPr>
          <w:rFonts w:ascii="宋体" w:hAnsi="宋体" w:cs="宋体"/>
          <w:color w:val="auto"/>
          <w:kern w:val="0"/>
          <w:szCs w:val="21"/>
          <w:highlight w:val="none"/>
        </w:rPr>
      </w:pPr>
      <w:r>
        <w:rPr>
          <w:rFonts w:hint="eastAsia" w:ascii="宋体" w:hAnsi="宋体" w:cs="宋体"/>
          <w:b/>
          <w:color w:val="auto"/>
          <w:kern w:val="0"/>
          <w:szCs w:val="21"/>
          <w:highlight w:val="none"/>
        </w:rPr>
        <w:t>3.5排序与推荐。</w:t>
      </w:r>
      <w:r>
        <w:rPr>
          <w:rFonts w:hint="eastAsia" w:ascii="宋体" w:hAnsi="宋体" w:cs="宋体"/>
          <w:color w:val="auto"/>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备注：有效投标供应商数量等于3家时，中标候选人数量为1家；有效投标供应商数量等于4家时，中标候选人数量为2家；有效投标供应商数量大于等于5家时，中标候选人数量为3家。</w:t>
      </w:r>
    </w:p>
    <w:p w14:paraId="5DA748DB">
      <w:pPr>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140C278">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3.6编写评标报告。</w:t>
      </w:r>
      <w:r>
        <w:rPr>
          <w:rFonts w:hint="eastAsia" w:ascii="宋体" w:hAnsi="宋体" w:cs="宋体"/>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611C480">
      <w:pPr>
        <w:spacing w:line="360" w:lineRule="auto"/>
        <w:outlineLvl w:val="1"/>
        <w:rPr>
          <w:rFonts w:ascii="宋体" w:hAnsi="宋体" w:cs="宋体"/>
          <w:b/>
          <w:color w:val="auto"/>
          <w:szCs w:val="21"/>
          <w:highlight w:val="none"/>
        </w:rPr>
      </w:pPr>
      <w:bookmarkStart w:id="438" w:name="_Toc29108"/>
      <w:r>
        <w:rPr>
          <w:rFonts w:hint="eastAsia" w:ascii="宋体" w:hAnsi="宋体" w:cs="宋体"/>
          <w:b/>
          <w:color w:val="auto"/>
          <w:szCs w:val="21"/>
          <w:highlight w:val="none"/>
        </w:rPr>
        <w:t>四、评标中的其他事项</w:t>
      </w:r>
      <w:bookmarkEnd w:id="438"/>
    </w:p>
    <w:p w14:paraId="26352C3E">
      <w:pPr>
        <w:pStyle w:val="135"/>
        <w:spacing w:before="0"/>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4.1投标人澄清、说明或者补正。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659A0BF">
      <w:pPr>
        <w:pStyle w:val="25"/>
        <w:spacing w:line="360" w:lineRule="auto"/>
        <w:ind w:left="954" w:leftChars="226" w:hanging="479" w:firstLineChars="0"/>
        <w:rPr>
          <w:rFonts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有下列情形之一的，投标无效：</w:t>
      </w:r>
    </w:p>
    <w:p w14:paraId="4CEE71F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4.2.1投标人不具备招标文件中规定的资格要求的（投标人未提供有效的资格文件的，视为投标人不具备招标文件中规定的资格要求）；</w:t>
      </w:r>
    </w:p>
    <w:p w14:paraId="1DEA3EA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4.2.2投标文件未按照招标文件要求签署、盖章的；</w:t>
      </w:r>
    </w:p>
    <w:p w14:paraId="0BF6B6E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4.2.3采购人拟采购的产品属于政府强制采购的节能产品品目清单范围的，投标人相应的投标产品未获得国家确定的认证机构出具的、处于有效期之内的节能产品认证证书的；</w:t>
      </w:r>
    </w:p>
    <w:p w14:paraId="32A722A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4.2.4投标文件含有采购人不能接受的附加条件的；当“</w:t>
      </w:r>
      <w:r>
        <w:rPr>
          <w:rFonts w:hint="eastAsia" w:ascii="宋体" w:hAnsi="宋体" w:cs="宋体"/>
          <w:b/>
          <w:color w:val="auto"/>
          <w:szCs w:val="21"/>
          <w:highlight w:val="none"/>
        </w:rPr>
        <w:t>技术条款的响应性</w:t>
      </w:r>
      <w:r>
        <w:rPr>
          <w:rFonts w:hint="eastAsia" w:ascii="宋体" w:hAnsi="宋体" w:cs="宋体"/>
          <w:color w:val="auto"/>
          <w:kern w:val="0"/>
          <w:szCs w:val="21"/>
          <w:highlight w:val="none"/>
        </w:rPr>
        <w:t>”评分项扣减至0分（</w:t>
      </w:r>
      <w:r>
        <w:rPr>
          <w:rFonts w:hint="eastAsia" w:ascii="宋体" w:hAnsi="宋体" w:cs="宋体"/>
          <w:color w:val="auto"/>
          <w:kern w:val="0"/>
          <w:szCs w:val="21"/>
          <w:highlight w:val="none"/>
          <w:lang w:val="en-US" w:eastAsia="zh-CN"/>
        </w:rPr>
        <w:t>及</w:t>
      </w:r>
      <w:r>
        <w:rPr>
          <w:rFonts w:hint="eastAsia" w:ascii="宋体" w:hAnsi="宋体" w:cs="宋体"/>
          <w:color w:val="auto"/>
          <w:kern w:val="0"/>
          <w:szCs w:val="21"/>
          <w:highlight w:val="none"/>
        </w:rPr>
        <w:t>以下）时，投标无效；</w:t>
      </w:r>
    </w:p>
    <w:p w14:paraId="029535D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4.2.5投标文件中承诺的投标有效期少于招标文件中载明的投标有效期的；</w:t>
      </w:r>
    </w:p>
    <w:p w14:paraId="2FE3C818">
      <w:pPr>
        <w:snapToGrid w:val="0"/>
        <w:spacing w:line="360" w:lineRule="auto"/>
        <w:ind w:firstLine="105" w:firstLineChars="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4.2.6投标文件出现不是唯一的、有选择性投标报价的；</w:t>
      </w:r>
    </w:p>
    <w:p w14:paraId="607C9EF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4.2.7投标报价超过招标文件中规定的预算金额或者最高限价的；</w:t>
      </w:r>
    </w:p>
    <w:p w14:paraId="64C38E5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4.2.8报价明显低于其他通过符合性审查投标人的报价，有可能影响产品质量或者不能诚信履约的，未能按要求提供书面说明或者提交相关证明材料，不能证明其报价合理性的；</w:t>
      </w:r>
    </w:p>
    <w:p w14:paraId="7EAAB32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4.2.9投标人对根据修正原则修正后的报价不确认的；</w:t>
      </w:r>
    </w:p>
    <w:p w14:paraId="46EC324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4.2.10投标人提供虚假材料投标的；</w:t>
      </w:r>
    </w:p>
    <w:p w14:paraId="056C51A3">
      <w:pPr>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 xml:space="preserve">  4.2.11投标人有恶意串通、妨碍其他投标人的竞争行为、损害采购人或者其他投标人的合法权益情形的；</w:t>
      </w:r>
    </w:p>
    <w:p w14:paraId="61CCC1B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4.2.12投标人仅提交备份投标文件，未在电子交易平台传输递交投标文件的，投标无效；</w:t>
      </w:r>
    </w:p>
    <w:p w14:paraId="62F5C0D2">
      <w:pPr>
        <w:pStyle w:val="4"/>
        <w:ind w:left="862" w:leftChars="205"/>
        <w:rPr>
          <w:rFonts w:ascii="宋体" w:hAnsi="宋体" w:eastAsia="宋体" w:cs="宋体"/>
          <w:b w:val="0"/>
          <w:bCs w:val="0"/>
          <w:color w:val="auto"/>
          <w:kern w:val="0"/>
          <w:sz w:val="21"/>
          <w:szCs w:val="21"/>
          <w:highlight w:val="none"/>
          <w:lang w:val="en-US"/>
        </w:rPr>
      </w:pPr>
      <w:bookmarkStart w:id="439" w:name="_Toc16784"/>
      <w:r>
        <w:rPr>
          <w:rFonts w:hint="eastAsia" w:ascii="宋体" w:hAnsi="宋体" w:eastAsia="宋体" w:cs="宋体"/>
          <w:b w:val="0"/>
          <w:bCs w:val="0"/>
          <w:color w:val="auto"/>
          <w:kern w:val="0"/>
          <w:sz w:val="21"/>
          <w:szCs w:val="21"/>
          <w:highlight w:val="none"/>
          <w:lang w:val="en-US"/>
        </w:rPr>
        <w:t>4.2.13 投标文件不满足招标文件的其它实质性要求的；</w:t>
      </w:r>
      <w:bookmarkEnd w:id="439"/>
    </w:p>
    <w:p w14:paraId="268F9AC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4.2.14法律、法规、规章（适用本市的）及省级以上规范性文件（适用本市的）规定的其他无效情形。</w:t>
      </w:r>
    </w:p>
    <w:p w14:paraId="66511B7E">
      <w:pPr>
        <w:pStyle w:val="25"/>
        <w:snapToGrid w:val="0"/>
        <w:spacing w:line="360" w:lineRule="auto"/>
        <w:ind w:firstLine="413" w:firstLineChars="196"/>
        <w:rPr>
          <w:rFonts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5446010A">
      <w:pPr>
        <w:pStyle w:val="25"/>
        <w:snapToGrid w:val="0"/>
        <w:spacing w:line="360" w:lineRule="auto"/>
        <w:ind w:firstLine="420"/>
        <w:rPr>
          <w:rFonts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73D62338">
      <w:pPr>
        <w:pStyle w:val="25"/>
        <w:snapToGrid w:val="0"/>
        <w:spacing w:line="360" w:lineRule="auto"/>
        <w:ind w:firstLine="420"/>
        <w:rPr>
          <w:rFonts w:cs="宋体"/>
          <w:color w:val="auto"/>
          <w:sz w:val="21"/>
          <w:szCs w:val="21"/>
          <w:highlight w:val="none"/>
        </w:rPr>
      </w:pPr>
      <w:r>
        <w:rPr>
          <w:rFonts w:hint="eastAsia" w:cs="宋体"/>
          <w:color w:val="auto"/>
          <w:sz w:val="21"/>
          <w:szCs w:val="21"/>
          <w:highlight w:val="none"/>
        </w:rPr>
        <w:t>5.2出现影响采购公正的违法、违规行为的；</w:t>
      </w:r>
    </w:p>
    <w:p w14:paraId="3FDE6E64">
      <w:pPr>
        <w:pStyle w:val="25"/>
        <w:snapToGrid w:val="0"/>
        <w:spacing w:line="360" w:lineRule="auto"/>
        <w:ind w:firstLine="420"/>
        <w:rPr>
          <w:rFonts w:cs="宋体"/>
          <w:color w:val="auto"/>
          <w:sz w:val="21"/>
          <w:szCs w:val="21"/>
          <w:highlight w:val="none"/>
        </w:rPr>
      </w:pPr>
      <w:r>
        <w:rPr>
          <w:rFonts w:hint="eastAsia" w:cs="宋体"/>
          <w:color w:val="auto"/>
          <w:sz w:val="21"/>
          <w:szCs w:val="21"/>
          <w:highlight w:val="none"/>
        </w:rPr>
        <w:t>5.3投标人的报价均超过了采购预算，采购人不能支付的；</w:t>
      </w:r>
    </w:p>
    <w:p w14:paraId="649D4A61">
      <w:pPr>
        <w:pStyle w:val="25"/>
        <w:snapToGrid w:val="0"/>
        <w:spacing w:line="360" w:lineRule="auto"/>
        <w:ind w:firstLine="420"/>
        <w:rPr>
          <w:rFonts w:cs="宋体"/>
          <w:color w:val="auto"/>
          <w:sz w:val="21"/>
          <w:szCs w:val="21"/>
          <w:highlight w:val="none"/>
        </w:rPr>
      </w:pPr>
      <w:r>
        <w:rPr>
          <w:rFonts w:hint="eastAsia" w:cs="宋体"/>
          <w:color w:val="auto"/>
          <w:sz w:val="21"/>
          <w:szCs w:val="21"/>
          <w:highlight w:val="none"/>
        </w:rPr>
        <w:t>5.4因重大变故，采购任务取消的。</w:t>
      </w:r>
    </w:p>
    <w:p w14:paraId="764D71AD">
      <w:pPr>
        <w:pStyle w:val="25"/>
        <w:snapToGrid w:val="0"/>
        <w:spacing w:line="360" w:lineRule="auto"/>
        <w:ind w:firstLine="420"/>
        <w:rPr>
          <w:rFonts w:cs="宋体"/>
          <w:color w:val="auto"/>
          <w:sz w:val="21"/>
          <w:szCs w:val="21"/>
          <w:highlight w:val="none"/>
        </w:rPr>
      </w:pPr>
      <w:r>
        <w:rPr>
          <w:rFonts w:hint="eastAsia" w:cs="宋体"/>
          <w:color w:val="auto"/>
          <w:sz w:val="21"/>
          <w:szCs w:val="21"/>
          <w:highlight w:val="none"/>
        </w:rPr>
        <w:t>废标后，采购代理机构应当将废标理由通知所有投标人。</w:t>
      </w:r>
    </w:p>
    <w:p w14:paraId="5D772545">
      <w:pPr>
        <w:pStyle w:val="25"/>
        <w:snapToGrid w:val="0"/>
        <w:spacing w:line="360" w:lineRule="auto"/>
        <w:ind w:firstLine="517" w:firstLineChars="245"/>
        <w:rPr>
          <w:rFonts w:cs="宋体"/>
          <w:color w:val="auto"/>
          <w:sz w:val="21"/>
          <w:szCs w:val="21"/>
          <w:highlight w:val="none"/>
        </w:rPr>
      </w:pPr>
      <w:r>
        <w:rPr>
          <w:rFonts w:hint="eastAsia" w:cs="宋体"/>
          <w:b/>
          <w:color w:val="auto"/>
          <w:sz w:val="21"/>
          <w:szCs w:val="21"/>
          <w:highlight w:val="none"/>
        </w:rPr>
        <w:t>6.修改招标文件，重新组织采购活动。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7DE10EF">
      <w:pPr>
        <w:pStyle w:val="25"/>
        <w:snapToGrid w:val="0"/>
        <w:spacing w:line="360" w:lineRule="auto"/>
        <w:ind w:firstLine="422"/>
        <w:rPr>
          <w:rFonts w:cs="宋体"/>
          <w:color w:val="auto"/>
          <w:sz w:val="21"/>
          <w:szCs w:val="21"/>
          <w:highlight w:val="none"/>
        </w:rPr>
      </w:pPr>
      <w:r>
        <w:rPr>
          <w:rFonts w:hint="eastAsia" w:cs="宋体"/>
          <w:b/>
          <w:color w:val="auto"/>
          <w:kern w:val="0"/>
          <w:sz w:val="21"/>
          <w:szCs w:val="21"/>
          <w:highlight w:val="none"/>
        </w:rPr>
        <w:t>7.重新开展采购。</w:t>
      </w:r>
      <w:r>
        <w:rPr>
          <w:rFonts w:hint="eastAsia" w:cs="宋体"/>
          <w:color w:val="auto"/>
          <w:sz w:val="21"/>
          <w:szCs w:val="21"/>
          <w:highlight w:val="none"/>
        </w:rPr>
        <w:t>有政府采购法第七十一条、第七十二条规定的违法行为之一，影响或者可能影响中标结果的，依照下列规定处理：</w:t>
      </w:r>
    </w:p>
    <w:p w14:paraId="59E78BE7">
      <w:pPr>
        <w:pStyle w:val="25"/>
        <w:snapToGrid w:val="0"/>
        <w:spacing w:line="360" w:lineRule="auto"/>
        <w:ind w:firstLine="420"/>
        <w:rPr>
          <w:rFonts w:cs="宋体"/>
          <w:color w:val="auto"/>
          <w:sz w:val="21"/>
          <w:szCs w:val="21"/>
          <w:highlight w:val="none"/>
        </w:rPr>
      </w:pPr>
      <w:r>
        <w:rPr>
          <w:rFonts w:hint="eastAsia" w:cs="宋体"/>
          <w:color w:val="auto"/>
          <w:sz w:val="21"/>
          <w:szCs w:val="21"/>
          <w:highlight w:val="none"/>
        </w:rPr>
        <w:t>7.1未确定中标供应商的，终止本次政府采购活动，重新开展政府采购活动。</w:t>
      </w:r>
    </w:p>
    <w:p w14:paraId="3E7CAC36">
      <w:pPr>
        <w:pStyle w:val="25"/>
        <w:snapToGrid w:val="0"/>
        <w:spacing w:line="360" w:lineRule="auto"/>
        <w:ind w:firstLine="420"/>
        <w:rPr>
          <w:rFonts w:cs="宋体"/>
          <w:color w:val="auto"/>
          <w:sz w:val="21"/>
          <w:szCs w:val="21"/>
          <w:highlight w:val="none"/>
        </w:rPr>
      </w:pPr>
      <w:r>
        <w:rPr>
          <w:rFonts w:hint="eastAsia"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24D2D416">
      <w:pPr>
        <w:pStyle w:val="25"/>
        <w:snapToGrid w:val="0"/>
        <w:spacing w:line="360" w:lineRule="auto"/>
        <w:ind w:firstLine="420"/>
        <w:rPr>
          <w:rFonts w:cs="宋体"/>
          <w:color w:val="auto"/>
          <w:sz w:val="21"/>
          <w:szCs w:val="21"/>
          <w:highlight w:val="none"/>
        </w:rPr>
      </w:pPr>
      <w:r>
        <w:rPr>
          <w:rFonts w:hint="eastAsia" w:cs="宋体"/>
          <w:color w:val="auto"/>
          <w:sz w:val="21"/>
          <w:szCs w:val="21"/>
          <w:highlight w:val="none"/>
        </w:rPr>
        <w:t>7.3政府采购合同已签订但尚未履行的，撤销合同，从合格的中标候选人中另行确定中标供应商；没有合格的中标候选人的，重新开展政府采购活动。</w:t>
      </w:r>
    </w:p>
    <w:p w14:paraId="57F4F35D">
      <w:pPr>
        <w:pStyle w:val="25"/>
        <w:snapToGrid w:val="0"/>
        <w:spacing w:line="360" w:lineRule="auto"/>
        <w:ind w:firstLine="420"/>
        <w:rPr>
          <w:rFonts w:cs="宋体"/>
          <w:color w:val="auto"/>
          <w:sz w:val="21"/>
          <w:szCs w:val="21"/>
          <w:highlight w:val="none"/>
        </w:rPr>
      </w:pPr>
      <w:r>
        <w:rPr>
          <w:rFonts w:hint="eastAsia" w:cs="宋体"/>
          <w:color w:val="auto"/>
          <w:sz w:val="21"/>
          <w:szCs w:val="21"/>
          <w:highlight w:val="none"/>
        </w:rPr>
        <w:t>7.4政府采购合同已经履行，给采购人、供应商造成损失的，由责任人承担赔偿责任。</w:t>
      </w:r>
    </w:p>
    <w:p w14:paraId="29AAE4AE">
      <w:pPr>
        <w:pStyle w:val="25"/>
        <w:snapToGrid w:val="0"/>
        <w:spacing w:line="360" w:lineRule="auto"/>
        <w:ind w:firstLine="420"/>
        <w:rPr>
          <w:rFonts w:cs="宋体"/>
          <w:color w:val="auto"/>
          <w:sz w:val="21"/>
          <w:szCs w:val="21"/>
          <w:highlight w:val="none"/>
        </w:rPr>
      </w:pPr>
      <w:r>
        <w:rPr>
          <w:rFonts w:hint="eastAsia"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3B9F840">
      <w:pPr>
        <w:pStyle w:val="26"/>
        <w:rPr>
          <w:rFonts w:ascii="宋体" w:hAnsi="宋体" w:cs="宋体"/>
          <w:color w:val="auto"/>
          <w:sz w:val="24"/>
          <w:highlight w:val="none"/>
        </w:rPr>
      </w:pPr>
    </w:p>
    <w:p w14:paraId="3C360F71">
      <w:pPr>
        <w:pStyle w:val="26"/>
        <w:rPr>
          <w:rFonts w:ascii="宋体" w:hAnsi="宋体" w:cs="宋体"/>
          <w:color w:val="auto"/>
          <w:sz w:val="24"/>
          <w:highlight w:val="none"/>
        </w:rPr>
      </w:pPr>
    </w:p>
    <w:p w14:paraId="55CA9448">
      <w:pPr>
        <w:pStyle w:val="26"/>
        <w:rPr>
          <w:rFonts w:ascii="宋体" w:hAnsi="宋体" w:cs="宋体"/>
          <w:color w:val="auto"/>
          <w:sz w:val="24"/>
          <w:highlight w:val="none"/>
        </w:rPr>
      </w:pPr>
    </w:p>
    <w:p w14:paraId="4273EEA8">
      <w:pPr>
        <w:pStyle w:val="26"/>
        <w:rPr>
          <w:rFonts w:ascii="宋体" w:hAnsi="宋体" w:cs="宋体"/>
          <w:color w:val="auto"/>
          <w:sz w:val="24"/>
          <w:highlight w:val="none"/>
        </w:rPr>
      </w:pPr>
    </w:p>
    <w:bookmarkEnd w:id="63"/>
    <w:p w14:paraId="3C074D27">
      <w:pPr>
        <w:spacing w:line="360" w:lineRule="auto"/>
        <w:ind w:left="720" w:leftChars="343" w:firstLine="1084" w:firstLineChars="300"/>
        <w:rPr>
          <w:rFonts w:ascii="宋体" w:hAnsi="宋体" w:cs="宋体"/>
          <w:b/>
          <w:color w:val="auto"/>
          <w:sz w:val="36"/>
          <w:szCs w:val="36"/>
          <w:highlight w:val="none"/>
        </w:rPr>
        <w:sectPr>
          <w:pgSz w:w="11906" w:h="16838"/>
          <w:pgMar w:top="1440" w:right="1440" w:bottom="1440" w:left="1440" w:header="851" w:footer="992" w:gutter="0"/>
          <w:cols w:space="0" w:num="1"/>
          <w:titlePg/>
          <w:docGrid w:linePitch="312" w:charSpace="0"/>
        </w:sectPr>
      </w:pPr>
      <w:bookmarkStart w:id="440" w:name="_Toc12957"/>
      <w:bookmarkStart w:id="441" w:name="_Toc20593"/>
      <w:bookmarkStart w:id="442" w:name="第五部分"/>
      <w:bookmarkStart w:id="443" w:name="_Toc86217003"/>
    </w:p>
    <w:p w14:paraId="58220407">
      <w:pPr>
        <w:pStyle w:val="3"/>
        <w:numPr>
          <w:ilvl w:val="0"/>
          <w:numId w:val="5"/>
        </w:numPr>
        <w:rPr>
          <w:color w:val="auto"/>
          <w:highlight w:val="none"/>
        </w:rPr>
      </w:pPr>
      <w:bookmarkStart w:id="444" w:name="_Toc10897"/>
      <w:r>
        <w:rPr>
          <w:rFonts w:hint="eastAsia"/>
          <w:color w:val="auto"/>
          <w:highlight w:val="none"/>
        </w:rPr>
        <w:t>拟签订的合同文本</w:t>
      </w:r>
      <w:bookmarkEnd w:id="440"/>
      <w:bookmarkEnd w:id="441"/>
      <w:bookmarkEnd w:id="444"/>
    </w:p>
    <w:p w14:paraId="19992942">
      <w:pPr>
        <w:rPr>
          <w:rFonts w:ascii="宋体" w:hAnsi="宋体" w:cs="宋体"/>
          <w:color w:val="auto"/>
          <w:sz w:val="24"/>
          <w:highlight w:val="none"/>
          <w:u w:val="single"/>
        </w:rPr>
      </w:pPr>
      <w:bookmarkStart w:id="445" w:name="_Toc12182"/>
      <w:bookmarkStart w:id="446" w:name="_Toc14949"/>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412F9A2">
      <w:pPr>
        <w:spacing w:line="480" w:lineRule="auto"/>
        <w:jc w:val="center"/>
        <w:rPr>
          <w:rFonts w:ascii="宋体" w:hAnsi="宋体" w:cs="宋体"/>
          <w:b/>
          <w:color w:val="auto"/>
          <w:sz w:val="28"/>
          <w:szCs w:val="28"/>
          <w:highlight w:val="none"/>
        </w:rPr>
      </w:pPr>
    </w:p>
    <w:p w14:paraId="3E03BC9E">
      <w:pPr>
        <w:spacing w:line="480" w:lineRule="auto"/>
        <w:jc w:val="center"/>
        <w:rPr>
          <w:rFonts w:ascii="宋体" w:hAnsi="宋体" w:cs="宋体"/>
          <w:b/>
          <w:color w:val="auto"/>
          <w:sz w:val="24"/>
          <w:highlight w:val="none"/>
        </w:rPr>
      </w:pPr>
    </w:p>
    <w:p w14:paraId="3AAA5E8F">
      <w:pPr>
        <w:spacing w:line="480" w:lineRule="auto"/>
        <w:jc w:val="center"/>
        <w:rPr>
          <w:rFonts w:ascii="宋体" w:hAnsi="宋体" w:cs="宋体"/>
          <w:b/>
          <w:color w:val="auto"/>
          <w:sz w:val="24"/>
          <w:highlight w:val="none"/>
        </w:rPr>
      </w:pPr>
    </w:p>
    <w:p w14:paraId="472CF76A">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lang w:eastAsia="zh-CN"/>
        </w:rPr>
        <w:t>宁波市自然灾害应急能力提升工程基层防灾项目无人机类（第二批）采购项目</w:t>
      </w:r>
      <w:r>
        <w:rPr>
          <w:rFonts w:hint="eastAsia" w:ascii="宋体" w:hAnsi="宋体" w:cs="宋体"/>
          <w:b/>
          <w:color w:val="auto"/>
          <w:sz w:val="36"/>
          <w:szCs w:val="36"/>
          <w:highlight w:val="none"/>
        </w:rPr>
        <w:t>合同</w:t>
      </w:r>
    </w:p>
    <w:p w14:paraId="5BE1BBF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4F9AE765">
      <w:pPr>
        <w:pStyle w:val="703"/>
        <w:rPr>
          <w:rFonts w:ascii="宋体" w:hAnsi="宋体" w:cs="宋体"/>
          <w:color w:val="auto"/>
          <w:szCs w:val="24"/>
          <w:highlight w:val="none"/>
        </w:rPr>
      </w:pPr>
    </w:p>
    <w:p w14:paraId="529992AB">
      <w:pPr>
        <w:pStyle w:val="703"/>
        <w:rPr>
          <w:rFonts w:ascii="宋体" w:hAnsi="宋体" w:cs="宋体"/>
          <w:color w:val="auto"/>
          <w:szCs w:val="24"/>
          <w:highlight w:val="none"/>
        </w:rPr>
      </w:pPr>
    </w:p>
    <w:p w14:paraId="7A1F0417">
      <w:pPr>
        <w:pStyle w:val="703"/>
        <w:jc w:val="center"/>
        <w:rPr>
          <w:rFonts w:ascii="宋体" w:hAnsi="宋体" w:cs="宋体"/>
          <w:color w:val="auto"/>
          <w:szCs w:val="24"/>
          <w:highlight w:val="none"/>
        </w:rPr>
      </w:pPr>
    </w:p>
    <w:p w14:paraId="30FE5C1C">
      <w:pPr>
        <w:pStyle w:val="703"/>
        <w:rPr>
          <w:rFonts w:ascii="宋体" w:hAnsi="宋体" w:cs="宋体"/>
          <w:color w:val="auto"/>
          <w:szCs w:val="24"/>
          <w:highlight w:val="none"/>
        </w:rPr>
      </w:pPr>
    </w:p>
    <w:p w14:paraId="4E86BE7E">
      <w:pPr>
        <w:pStyle w:val="601"/>
        <w:spacing w:before="120" w:line="22" w:lineRule="atLeast"/>
        <w:rPr>
          <w:rFonts w:ascii="宋体" w:hAnsi="宋体" w:eastAsia="宋体" w:cs="宋体"/>
          <w:color w:val="auto"/>
          <w:szCs w:val="24"/>
          <w:highlight w:val="none"/>
        </w:rPr>
      </w:pPr>
    </w:p>
    <w:p w14:paraId="3843000B">
      <w:pPr>
        <w:pStyle w:val="601"/>
        <w:spacing w:before="120" w:line="22" w:lineRule="atLeast"/>
        <w:rPr>
          <w:rFonts w:ascii="宋体" w:hAnsi="宋体" w:eastAsia="宋体" w:cs="宋体"/>
          <w:color w:val="auto"/>
          <w:szCs w:val="24"/>
          <w:highlight w:val="none"/>
        </w:rPr>
      </w:pPr>
    </w:p>
    <w:p w14:paraId="6B577990">
      <w:pPr>
        <w:rPr>
          <w:rFonts w:ascii="宋体" w:hAnsi="宋体" w:cs="宋体"/>
          <w:color w:val="auto"/>
          <w:sz w:val="24"/>
          <w:highlight w:val="none"/>
        </w:rPr>
      </w:pPr>
    </w:p>
    <w:p w14:paraId="48F1FD4C">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AD2509D">
      <w:pPr>
        <w:spacing w:before="120" w:line="22" w:lineRule="atLeast"/>
        <w:rPr>
          <w:rFonts w:ascii="宋体" w:hAnsi="宋体" w:cs="宋体"/>
          <w:color w:val="auto"/>
          <w:sz w:val="24"/>
          <w:highlight w:val="none"/>
        </w:rPr>
      </w:pPr>
    </w:p>
    <w:p w14:paraId="4B477E87">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4EB8E49">
      <w:pPr>
        <w:spacing w:before="120" w:line="22" w:lineRule="atLeast"/>
        <w:rPr>
          <w:rFonts w:ascii="宋体" w:hAnsi="宋体" w:cs="宋体"/>
          <w:color w:val="auto"/>
          <w:sz w:val="24"/>
          <w:highlight w:val="none"/>
        </w:rPr>
      </w:pPr>
    </w:p>
    <w:p w14:paraId="2C68A0B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65A33FB">
      <w:pPr>
        <w:spacing w:before="120" w:line="22" w:lineRule="atLeast"/>
        <w:rPr>
          <w:rFonts w:ascii="宋体" w:hAnsi="宋体" w:cs="宋体"/>
          <w:color w:val="auto"/>
          <w:sz w:val="24"/>
          <w:highlight w:val="none"/>
        </w:rPr>
      </w:pPr>
    </w:p>
    <w:p w14:paraId="6454E1E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AA0FCFF">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21F5B315">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年</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日</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宁波市应急管理局  </w:t>
      </w:r>
      <w:r>
        <w:rPr>
          <w:rFonts w:hint="eastAsia" w:ascii="宋体" w:hAnsi="宋体" w:cs="宋体"/>
          <w:color w:val="auto"/>
          <w:szCs w:val="21"/>
          <w:highlight w:val="none"/>
        </w:rPr>
        <w:t>以</w:t>
      </w:r>
      <w:r>
        <w:rPr>
          <w:rFonts w:hint="eastAsia" w:ascii="宋体" w:hAnsi="宋体" w:cs="宋体"/>
          <w:color w:val="auto"/>
          <w:szCs w:val="21"/>
          <w:highlight w:val="none"/>
          <w:u w:val="single"/>
        </w:rPr>
        <w:t xml:space="preserve">   公开招标  </w:t>
      </w:r>
      <w:r>
        <w:rPr>
          <w:rFonts w:hint="eastAsia" w:ascii="宋体" w:hAnsi="宋体" w:cs="宋体"/>
          <w:color w:val="auto"/>
          <w:szCs w:val="21"/>
          <w:highlight w:val="none"/>
        </w:rPr>
        <w:t>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宁波市自然灾害应急能力提升工程基层防灾项目无人机类（第二批）采购项目</w:t>
      </w:r>
      <w:r>
        <w:rPr>
          <w:rFonts w:hint="eastAsia" w:ascii="宋体" w:hAnsi="宋体" w:cs="宋体"/>
          <w:color w:val="auto"/>
          <w:szCs w:val="21"/>
          <w:highlight w:val="none"/>
          <w:u w:val="single"/>
        </w:rPr>
        <w:t xml:space="preserve">（项目编号：        ） </w:t>
      </w:r>
      <w:r>
        <w:rPr>
          <w:rFonts w:hint="eastAsia" w:ascii="宋体" w:hAnsi="宋体" w:cs="宋体"/>
          <w:color w:val="auto"/>
          <w:szCs w:val="21"/>
          <w:highlight w:val="none"/>
        </w:rPr>
        <w:t>进行了采购。经</w:t>
      </w:r>
      <w:r>
        <w:rPr>
          <w:rFonts w:hint="eastAsia" w:ascii="宋体" w:hAnsi="宋体" w:cs="宋体"/>
          <w:color w:val="auto"/>
          <w:szCs w:val="21"/>
          <w:highlight w:val="none"/>
          <w:u w:val="single"/>
        </w:rPr>
        <w:t xml:space="preserve">   评审小组   </w:t>
      </w:r>
      <w:r>
        <w:rPr>
          <w:rFonts w:hint="eastAsia" w:ascii="宋体" w:hAnsi="宋体" w:cs="宋体"/>
          <w:color w:val="auto"/>
          <w:szCs w:val="21"/>
          <w:highlight w:val="none"/>
        </w:rPr>
        <w:t>评定，</w:t>
      </w:r>
      <w:r>
        <w:rPr>
          <w:rFonts w:hint="eastAsia" w:ascii="宋体" w:hAnsi="宋体" w:cs="宋体"/>
          <w:color w:val="auto"/>
          <w:szCs w:val="21"/>
          <w:highlight w:val="none"/>
          <w:u w:val="single"/>
        </w:rPr>
        <w:t xml:space="preserve">   （中标或者成交供应商名称）</w:t>
      </w:r>
      <w:r>
        <w:rPr>
          <w:rFonts w:hint="eastAsia" w:ascii="宋体" w:hAnsi="宋体" w:cs="宋体"/>
          <w:color w:val="auto"/>
          <w:szCs w:val="21"/>
          <w:highlight w:val="none"/>
        </w:rPr>
        <w:t>为该项目中标或者成交供应商。现于中标或者成交通知书发出之日起</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日内，按照采购文件等确定的事项签订本合同。</w:t>
      </w:r>
    </w:p>
    <w:p w14:paraId="4DD16920">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Cs w:val="21"/>
          <w:highlight w:val="none"/>
          <w:u w:val="single"/>
        </w:rPr>
        <w:t xml:space="preserve">   （采购人）   </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lang w:val="zh-CN"/>
        </w:rPr>
        <w:t>以下简称：甲方）和</w:t>
      </w:r>
      <w:r>
        <w:rPr>
          <w:rFonts w:hint="eastAsia" w:ascii="宋体" w:hAnsi="宋体" w:cs="宋体"/>
          <w:color w:val="auto"/>
          <w:szCs w:val="21"/>
          <w:highlight w:val="none"/>
          <w:u w:val="single"/>
        </w:rPr>
        <w:t xml:space="preserve">   （中标或者成交供应商名称）   </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lang w:val="zh-CN"/>
        </w:rPr>
        <w:t>以下简称：乙方）协商一致，约定以下合同</w:t>
      </w:r>
      <w:r>
        <w:rPr>
          <w:rFonts w:hint="eastAsia" w:ascii="宋体" w:hAnsi="宋体" w:cs="宋体"/>
          <w:color w:val="auto"/>
          <w:szCs w:val="21"/>
          <w:highlight w:val="none"/>
        </w:rPr>
        <w:t>条款，以兹共同遵守、全面履行。</w:t>
      </w:r>
    </w:p>
    <w:p w14:paraId="763CC3C9">
      <w:pPr>
        <w:spacing w:line="360" w:lineRule="auto"/>
        <w:ind w:firstLine="422" w:firstLineChars="200"/>
        <w:outlineLvl w:val="0"/>
        <w:rPr>
          <w:rFonts w:ascii="宋体" w:hAnsi="宋体" w:cs="宋体"/>
          <w:b/>
          <w:color w:val="auto"/>
          <w:szCs w:val="21"/>
          <w:highlight w:val="none"/>
        </w:rPr>
      </w:pPr>
      <w:bookmarkStart w:id="447" w:name="_Toc20107"/>
      <w:bookmarkStart w:id="448" w:name="_Toc29761"/>
      <w:bookmarkStart w:id="449" w:name="_Toc24059"/>
      <w:bookmarkStart w:id="450" w:name="_Toc2232"/>
      <w:bookmarkStart w:id="451" w:name="_Toc3029"/>
      <w:r>
        <w:rPr>
          <w:rFonts w:hint="eastAsia" w:ascii="宋体" w:hAnsi="宋体" w:cs="宋体"/>
          <w:b/>
          <w:color w:val="auto"/>
          <w:szCs w:val="21"/>
          <w:highlight w:val="none"/>
        </w:rPr>
        <w:t>1 定义</w:t>
      </w:r>
      <w:bookmarkEnd w:id="447"/>
      <w:bookmarkEnd w:id="448"/>
    </w:p>
    <w:p w14:paraId="5D44B9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本合同中的下列词语应按以下内容进行解释：</w:t>
      </w:r>
    </w:p>
    <w:p w14:paraId="1BD009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 “合同”系指采购人和中标供应商签订的载明双方当事人所达成的协议，并包括所有的附件、附录和构成合同的其他文件。</w:t>
      </w:r>
    </w:p>
    <w:p w14:paraId="218178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 “合同价”系指根据合同约定，中标供应商在完全履行合同义务后，采购人应支付给中标供应商的价格。</w:t>
      </w:r>
    </w:p>
    <w:p w14:paraId="01A69B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 “货物”系指中标供应商根据合同约定应向采购人交付的一切各种形态和种类的物品，包括原材料、燃料、设备、机械、仪表、备件、计算机软件、产品等，并包括工具、手册等其他相关资料。</w:t>
      </w:r>
    </w:p>
    <w:p w14:paraId="326669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 “甲方”系指与中标供应商签署合同的采购人；采购人委托采购代理机构代表其与乙方签订合同的，采购人的授权委托书作为合同附件。</w:t>
      </w:r>
    </w:p>
    <w:p w14:paraId="6A1C85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C2C7126">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1.6 “现场”系指合同约定货物将要运至或者安装的地点。</w:t>
      </w:r>
    </w:p>
    <w:p w14:paraId="79FB7D70">
      <w:pPr>
        <w:spacing w:line="360" w:lineRule="auto"/>
        <w:ind w:firstLine="422" w:firstLineChars="200"/>
        <w:outlineLvl w:val="0"/>
        <w:rPr>
          <w:rFonts w:ascii="宋体" w:hAnsi="宋体" w:cs="宋体"/>
          <w:b/>
          <w:color w:val="auto"/>
          <w:szCs w:val="21"/>
          <w:highlight w:val="none"/>
        </w:rPr>
      </w:pPr>
      <w:bookmarkStart w:id="452" w:name="_Toc2372"/>
      <w:bookmarkStart w:id="453" w:name="_Toc3072"/>
      <w:r>
        <w:rPr>
          <w:rFonts w:hint="eastAsia" w:ascii="宋体" w:hAnsi="宋体" w:cs="宋体"/>
          <w:b/>
          <w:color w:val="auto"/>
          <w:szCs w:val="21"/>
          <w:highlight w:val="none"/>
        </w:rPr>
        <w:t>2 合同组成部分</w:t>
      </w:r>
      <w:bookmarkEnd w:id="449"/>
      <w:bookmarkEnd w:id="450"/>
      <w:bookmarkEnd w:id="451"/>
      <w:bookmarkEnd w:id="452"/>
      <w:bookmarkEnd w:id="453"/>
    </w:p>
    <w:p w14:paraId="06075F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1CA385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本合同及其补充合同、变更协议；</w:t>
      </w:r>
    </w:p>
    <w:p w14:paraId="0F2FE6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中标通知书；</w:t>
      </w:r>
    </w:p>
    <w:p w14:paraId="4D9B36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投标文件（含澄清或者说明文件）；</w:t>
      </w:r>
    </w:p>
    <w:p w14:paraId="3C1A09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 招标文件（含澄清或者修改文件）；</w:t>
      </w:r>
    </w:p>
    <w:p w14:paraId="486469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 其他相关采购文件。</w:t>
      </w:r>
    </w:p>
    <w:p w14:paraId="6C8B3473">
      <w:pPr>
        <w:spacing w:line="360" w:lineRule="auto"/>
        <w:ind w:firstLine="422" w:firstLineChars="200"/>
        <w:outlineLvl w:val="0"/>
        <w:rPr>
          <w:rFonts w:ascii="宋体" w:hAnsi="宋体" w:cs="宋体"/>
          <w:b/>
          <w:color w:val="auto"/>
          <w:szCs w:val="21"/>
          <w:highlight w:val="none"/>
        </w:rPr>
      </w:pPr>
      <w:bookmarkStart w:id="454" w:name="_Toc27126"/>
      <w:bookmarkStart w:id="455" w:name="_Toc24300"/>
      <w:bookmarkStart w:id="456" w:name="_Toc21295"/>
      <w:bookmarkStart w:id="457" w:name="_Toc30210"/>
      <w:bookmarkStart w:id="458" w:name="_Toc29800"/>
      <w:r>
        <w:rPr>
          <w:rFonts w:hint="eastAsia" w:ascii="宋体" w:hAnsi="宋体" w:cs="宋体"/>
          <w:b/>
          <w:color w:val="auto"/>
          <w:szCs w:val="21"/>
          <w:highlight w:val="none"/>
        </w:rPr>
        <w:t>3 货物</w:t>
      </w:r>
      <w:bookmarkEnd w:id="454"/>
      <w:bookmarkEnd w:id="455"/>
      <w:bookmarkEnd w:id="456"/>
      <w:bookmarkEnd w:id="457"/>
      <w:bookmarkEnd w:id="458"/>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20"/>
        <w:gridCol w:w="925"/>
        <w:gridCol w:w="1245"/>
        <w:gridCol w:w="3461"/>
        <w:gridCol w:w="1186"/>
      </w:tblGrid>
      <w:tr w14:paraId="0153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29CADDB">
            <w:pPr>
              <w:pStyle w:val="323"/>
              <w:spacing w:line="360" w:lineRule="auto"/>
              <w:jc w:val="center"/>
              <w:rPr>
                <w:rFonts w:hAnsi="宋体" w:cs="宋体"/>
                <w:color w:val="auto"/>
                <w:sz w:val="21"/>
                <w:szCs w:val="21"/>
                <w:highlight w:val="none"/>
              </w:rPr>
            </w:pPr>
            <w:r>
              <w:rPr>
                <w:rFonts w:hint="eastAsia" w:hAnsi="宋体" w:cs="宋体"/>
                <w:color w:val="auto"/>
                <w:sz w:val="21"/>
                <w:szCs w:val="21"/>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0F3749DE">
            <w:pPr>
              <w:pStyle w:val="323"/>
              <w:spacing w:line="360" w:lineRule="auto"/>
              <w:jc w:val="center"/>
              <w:rPr>
                <w:rFonts w:hAnsi="宋体" w:cs="宋体"/>
                <w:color w:val="auto"/>
                <w:sz w:val="21"/>
                <w:szCs w:val="21"/>
                <w:highlight w:val="none"/>
              </w:rPr>
            </w:pPr>
            <w:r>
              <w:rPr>
                <w:rFonts w:hint="eastAsia" w:hAnsi="宋体" w:cs="宋体"/>
                <w:color w:val="auto"/>
                <w:sz w:val="21"/>
                <w:szCs w:val="21"/>
                <w:highlight w:val="none"/>
              </w:rPr>
              <w:t>货物名称</w:t>
            </w:r>
          </w:p>
        </w:tc>
        <w:tc>
          <w:tcPr>
            <w:tcW w:w="925" w:type="dxa"/>
            <w:tcBorders>
              <w:top w:val="single" w:color="auto" w:sz="4" w:space="0"/>
              <w:left w:val="single" w:color="auto" w:sz="4" w:space="0"/>
              <w:bottom w:val="single" w:color="auto" w:sz="4" w:space="0"/>
              <w:right w:val="single" w:color="auto" w:sz="4" w:space="0"/>
            </w:tcBorders>
            <w:vAlign w:val="center"/>
          </w:tcPr>
          <w:p w14:paraId="11AF64B2">
            <w:pPr>
              <w:pStyle w:val="323"/>
              <w:spacing w:line="360" w:lineRule="auto"/>
              <w:jc w:val="center"/>
              <w:rPr>
                <w:rFonts w:hAnsi="宋体" w:cs="宋体"/>
                <w:color w:val="auto"/>
                <w:sz w:val="21"/>
                <w:szCs w:val="21"/>
                <w:highlight w:val="none"/>
              </w:rPr>
            </w:pPr>
            <w:r>
              <w:rPr>
                <w:rFonts w:hint="eastAsia" w:hAnsi="宋体" w:cs="宋体"/>
                <w:color w:val="auto"/>
                <w:sz w:val="21"/>
                <w:szCs w:val="21"/>
                <w:highlight w:val="none"/>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7A028C85">
            <w:pPr>
              <w:pStyle w:val="323"/>
              <w:spacing w:line="360" w:lineRule="auto"/>
              <w:jc w:val="center"/>
              <w:rPr>
                <w:rFonts w:hAnsi="宋体" w:cs="宋体"/>
                <w:color w:val="auto"/>
                <w:sz w:val="21"/>
                <w:szCs w:val="21"/>
                <w:highlight w:val="none"/>
              </w:rPr>
            </w:pPr>
            <w:r>
              <w:rPr>
                <w:rFonts w:hint="eastAsia" w:hAnsi="宋体" w:cs="宋体"/>
                <w:color w:val="auto"/>
                <w:sz w:val="21"/>
                <w:szCs w:val="21"/>
                <w:highlight w:val="none"/>
              </w:rPr>
              <w:t>品牌名称</w:t>
            </w:r>
          </w:p>
        </w:tc>
        <w:tc>
          <w:tcPr>
            <w:tcW w:w="3461" w:type="dxa"/>
            <w:tcBorders>
              <w:top w:val="single" w:color="auto" w:sz="4" w:space="0"/>
              <w:left w:val="single" w:color="auto" w:sz="4" w:space="0"/>
              <w:bottom w:val="single" w:color="auto" w:sz="4" w:space="0"/>
              <w:right w:val="single" w:color="auto" w:sz="4" w:space="0"/>
            </w:tcBorders>
            <w:vAlign w:val="center"/>
          </w:tcPr>
          <w:p w14:paraId="75F93E81">
            <w:pPr>
              <w:pStyle w:val="323"/>
              <w:spacing w:line="360" w:lineRule="auto"/>
              <w:rPr>
                <w:rFonts w:hAnsi="宋体" w:cs="宋体"/>
                <w:color w:val="auto"/>
                <w:sz w:val="21"/>
                <w:szCs w:val="21"/>
                <w:highlight w:val="none"/>
              </w:rPr>
            </w:pPr>
            <w:r>
              <w:rPr>
                <w:rFonts w:hint="eastAsia" w:hAnsi="宋体" w:cs="宋体"/>
                <w:color w:val="auto"/>
                <w:sz w:val="21"/>
                <w:szCs w:val="21"/>
                <w:highlight w:val="none"/>
              </w:rPr>
              <w:t>规格型号/技术要求/质量要求</w:t>
            </w:r>
          </w:p>
        </w:tc>
        <w:tc>
          <w:tcPr>
            <w:tcW w:w="1186" w:type="dxa"/>
            <w:tcBorders>
              <w:top w:val="single" w:color="auto" w:sz="4" w:space="0"/>
              <w:left w:val="single" w:color="auto" w:sz="4" w:space="0"/>
              <w:bottom w:val="single" w:color="auto" w:sz="4" w:space="0"/>
              <w:right w:val="single" w:color="auto" w:sz="4" w:space="0"/>
            </w:tcBorders>
            <w:vAlign w:val="center"/>
          </w:tcPr>
          <w:p w14:paraId="69B9F254">
            <w:pPr>
              <w:pStyle w:val="323"/>
              <w:spacing w:line="360" w:lineRule="auto"/>
              <w:jc w:val="center"/>
              <w:rPr>
                <w:rFonts w:hAnsi="宋体" w:cs="宋体"/>
                <w:color w:val="auto"/>
                <w:sz w:val="21"/>
                <w:szCs w:val="21"/>
                <w:highlight w:val="none"/>
              </w:rPr>
            </w:pPr>
            <w:r>
              <w:rPr>
                <w:rFonts w:hint="eastAsia" w:hAnsi="宋体" w:cs="宋体"/>
                <w:color w:val="auto"/>
                <w:sz w:val="21"/>
                <w:szCs w:val="21"/>
                <w:highlight w:val="none"/>
              </w:rPr>
              <w:t>原产地</w:t>
            </w:r>
          </w:p>
        </w:tc>
      </w:tr>
      <w:tr w14:paraId="1BFF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10A236D1">
            <w:pPr>
              <w:pStyle w:val="323"/>
              <w:spacing w:line="360" w:lineRule="auto"/>
              <w:ind w:firstLine="200"/>
              <w:jc w:val="center"/>
              <w:rPr>
                <w:rFonts w:hAnsi="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47ABF6D4">
            <w:pPr>
              <w:pStyle w:val="323"/>
              <w:spacing w:line="360" w:lineRule="auto"/>
              <w:ind w:firstLine="200"/>
              <w:jc w:val="center"/>
              <w:rPr>
                <w:rFonts w:hAnsi="宋体" w:cs="宋体"/>
                <w:color w:val="auto"/>
                <w:sz w:val="21"/>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128FCBA4">
            <w:pPr>
              <w:pStyle w:val="323"/>
              <w:spacing w:line="360" w:lineRule="auto"/>
              <w:ind w:firstLine="200"/>
              <w:jc w:val="center"/>
              <w:rPr>
                <w:rFonts w:hAnsi="宋体" w:cs="宋体"/>
                <w:color w:val="auto"/>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694E04AA">
            <w:pPr>
              <w:pStyle w:val="323"/>
              <w:spacing w:line="360" w:lineRule="auto"/>
              <w:ind w:firstLine="200"/>
              <w:jc w:val="center"/>
              <w:rPr>
                <w:rFonts w:hAnsi="宋体" w:cs="宋体"/>
                <w:color w:val="auto"/>
                <w:sz w:val="21"/>
                <w:szCs w:val="21"/>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41D1A098">
            <w:pPr>
              <w:pStyle w:val="323"/>
              <w:spacing w:line="360" w:lineRule="auto"/>
              <w:ind w:firstLine="200"/>
              <w:jc w:val="center"/>
              <w:rPr>
                <w:rFonts w:hAnsi="宋体" w:cs="宋体"/>
                <w:color w:val="auto"/>
                <w:sz w:val="21"/>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37346409">
            <w:pPr>
              <w:pStyle w:val="323"/>
              <w:spacing w:line="360" w:lineRule="auto"/>
              <w:ind w:firstLine="200"/>
              <w:jc w:val="center"/>
              <w:rPr>
                <w:rFonts w:hAnsi="宋体" w:cs="宋体"/>
                <w:color w:val="auto"/>
                <w:sz w:val="21"/>
                <w:szCs w:val="21"/>
                <w:highlight w:val="none"/>
              </w:rPr>
            </w:pPr>
          </w:p>
        </w:tc>
      </w:tr>
      <w:tr w14:paraId="58A2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79B338A">
            <w:pPr>
              <w:pStyle w:val="323"/>
              <w:spacing w:line="360" w:lineRule="auto"/>
              <w:ind w:firstLine="200"/>
              <w:jc w:val="center"/>
              <w:rPr>
                <w:rFonts w:hAnsi="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779589A7">
            <w:pPr>
              <w:pStyle w:val="323"/>
              <w:spacing w:line="360" w:lineRule="auto"/>
              <w:ind w:firstLine="200"/>
              <w:jc w:val="center"/>
              <w:rPr>
                <w:rFonts w:hAnsi="宋体" w:cs="宋体"/>
                <w:color w:val="auto"/>
                <w:sz w:val="21"/>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11E751F2">
            <w:pPr>
              <w:pStyle w:val="323"/>
              <w:spacing w:line="360" w:lineRule="auto"/>
              <w:ind w:firstLine="200"/>
              <w:jc w:val="center"/>
              <w:rPr>
                <w:rFonts w:hAnsi="宋体" w:cs="宋体"/>
                <w:color w:val="auto"/>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5B0F0F49">
            <w:pPr>
              <w:pStyle w:val="323"/>
              <w:spacing w:line="360" w:lineRule="auto"/>
              <w:ind w:firstLine="200"/>
              <w:jc w:val="center"/>
              <w:rPr>
                <w:rFonts w:hAnsi="宋体" w:cs="宋体"/>
                <w:color w:val="auto"/>
                <w:sz w:val="21"/>
                <w:szCs w:val="21"/>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370EC784">
            <w:pPr>
              <w:pStyle w:val="323"/>
              <w:spacing w:line="360" w:lineRule="auto"/>
              <w:ind w:firstLine="200"/>
              <w:jc w:val="center"/>
              <w:rPr>
                <w:rFonts w:hAnsi="宋体" w:cs="宋体"/>
                <w:color w:val="auto"/>
                <w:sz w:val="21"/>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77E1DCD6">
            <w:pPr>
              <w:pStyle w:val="323"/>
              <w:spacing w:line="360" w:lineRule="auto"/>
              <w:ind w:firstLine="200"/>
              <w:jc w:val="center"/>
              <w:rPr>
                <w:rFonts w:hAnsi="宋体" w:cs="宋体"/>
                <w:color w:val="auto"/>
                <w:sz w:val="21"/>
                <w:szCs w:val="21"/>
                <w:highlight w:val="none"/>
              </w:rPr>
            </w:pPr>
          </w:p>
        </w:tc>
      </w:tr>
    </w:tbl>
    <w:p w14:paraId="3D82BB58">
      <w:pPr>
        <w:pStyle w:val="523"/>
        <w:rPr>
          <w:rFonts w:ascii="宋体" w:hAnsi="宋体" w:eastAsia="宋体" w:cs="宋体"/>
          <w:color w:val="auto"/>
          <w:sz w:val="21"/>
          <w:szCs w:val="21"/>
          <w:highlight w:val="none"/>
        </w:rPr>
      </w:pPr>
    </w:p>
    <w:p w14:paraId="66D1C163">
      <w:pPr>
        <w:spacing w:line="360" w:lineRule="auto"/>
        <w:ind w:firstLine="422" w:firstLineChars="200"/>
        <w:outlineLvl w:val="0"/>
        <w:rPr>
          <w:rFonts w:ascii="宋体" w:hAnsi="宋体" w:cs="宋体"/>
          <w:b/>
          <w:color w:val="auto"/>
          <w:szCs w:val="21"/>
          <w:highlight w:val="none"/>
        </w:rPr>
      </w:pPr>
      <w:bookmarkStart w:id="459" w:name="_Toc16903"/>
      <w:bookmarkStart w:id="460" w:name="_Toc21631"/>
      <w:bookmarkStart w:id="461" w:name="_Toc21551"/>
      <w:bookmarkStart w:id="462" w:name="_Toc805"/>
      <w:bookmarkStart w:id="463" w:name="_Toc23292"/>
      <w:r>
        <w:rPr>
          <w:rFonts w:hint="eastAsia" w:ascii="宋体" w:hAnsi="宋体" w:cs="宋体"/>
          <w:b/>
          <w:color w:val="auto"/>
          <w:szCs w:val="21"/>
          <w:highlight w:val="none"/>
        </w:rPr>
        <w:t>4 价款</w:t>
      </w:r>
      <w:bookmarkEnd w:id="459"/>
      <w:bookmarkEnd w:id="460"/>
      <w:bookmarkEnd w:id="461"/>
      <w:bookmarkEnd w:id="462"/>
      <w:bookmarkEnd w:id="463"/>
    </w:p>
    <w:p w14:paraId="37985D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本合同总价为：￥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元人民币）。</w:t>
      </w:r>
    </w:p>
    <w:p w14:paraId="58F97447">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4336"/>
        <w:gridCol w:w="3253"/>
      </w:tblGrid>
      <w:tr w14:paraId="76E9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14:paraId="6164B21B">
            <w:pPr>
              <w:pStyle w:val="323"/>
              <w:spacing w:line="360" w:lineRule="auto"/>
              <w:jc w:val="center"/>
              <w:rPr>
                <w:rFonts w:hAnsi="宋体" w:cs="宋体"/>
                <w:color w:val="auto"/>
                <w:sz w:val="21"/>
                <w:szCs w:val="21"/>
                <w:highlight w:val="none"/>
              </w:rPr>
            </w:pPr>
            <w:r>
              <w:rPr>
                <w:rFonts w:hint="eastAsia" w:hAnsi="宋体" w:cs="宋体"/>
                <w:color w:val="auto"/>
                <w:sz w:val="21"/>
                <w:szCs w:val="21"/>
                <w:highlight w:val="none"/>
              </w:rPr>
              <w:t>序号</w:t>
            </w:r>
          </w:p>
        </w:tc>
        <w:tc>
          <w:tcPr>
            <w:tcW w:w="4336" w:type="dxa"/>
            <w:tcBorders>
              <w:top w:val="single" w:color="auto" w:sz="4" w:space="0"/>
              <w:left w:val="single" w:color="auto" w:sz="4" w:space="0"/>
              <w:bottom w:val="single" w:color="auto" w:sz="4" w:space="0"/>
              <w:right w:val="single" w:color="auto" w:sz="4" w:space="0"/>
            </w:tcBorders>
            <w:vAlign w:val="center"/>
          </w:tcPr>
          <w:p w14:paraId="50BEBB0A">
            <w:pPr>
              <w:pStyle w:val="323"/>
              <w:spacing w:line="360" w:lineRule="auto"/>
              <w:ind w:firstLine="200"/>
              <w:jc w:val="center"/>
              <w:rPr>
                <w:rFonts w:hAnsi="宋体" w:cs="宋体"/>
                <w:color w:val="auto"/>
                <w:sz w:val="21"/>
                <w:szCs w:val="21"/>
                <w:highlight w:val="none"/>
              </w:rPr>
            </w:pPr>
            <w:r>
              <w:rPr>
                <w:rFonts w:hint="eastAsia" w:hAnsi="宋体" w:cs="宋体"/>
                <w:color w:val="auto"/>
                <w:sz w:val="21"/>
                <w:szCs w:val="21"/>
                <w:highlight w:val="none"/>
              </w:rPr>
              <w:t>分项名称</w:t>
            </w:r>
          </w:p>
        </w:tc>
        <w:tc>
          <w:tcPr>
            <w:tcW w:w="3253" w:type="dxa"/>
            <w:tcBorders>
              <w:top w:val="single" w:color="auto" w:sz="4" w:space="0"/>
              <w:left w:val="single" w:color="auto" w:sz="4" w:space="0"/>
              <w:bottom w:val="single" w:color="auto" w:sz="4" w:space="0"/>
              <w:right w:val="single" w:color="auto" w:sz="4" w:space="0"/>
            </w:tcBorders>
            <w:vAlign w:val="center"/>
          </w:tcPr>
          <w:p w14:paraId="1005A1E1">
            <w:pPr>
              <w:pStyle w:val="323"/>
              <w:spacing w:line="360" w:lineRule="auto"/>
              <w:jc w:val="center"/>
              <w:rPr>
                <w:rFonts w:hAnsi="宋体" w:cs="宋体"/>
                <w:color w:val="auto"/>
                <w:sz w:val="21"/>
                <w:szCs w:val="21"/>
                <w:highlight w:val="none"/>
              </w:rPr>
            </w:pPr>
            <w:r>
              <w:rPr>
                <w:rFonts w:hint="eastAsia" w:hAnsi="宋体" w:cs="宋体"/>
                <w:color w:val="auto"/>
                <w:sz w:val="21"/>
                <w:szCs w:val="21"/>
                <w:highlight w:val="none"/>
              </w:rPr>
              <w:t>分项价格</w:t>
            </w:r>
          </w:p>
        </w:tc>
      </w:tr>
      <w:tr w14:paraId="371C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14:paraId="1BCAD84F">
            <w:pPr>
              <w:pStyle w:val="323"/>
              <w:spacing w:line="360" w:lineRule="auto"/>
              <w:ind w:firstLine="200"/>
              <w:jc w:val="center"/>
              <w:rPr>
                <w:rFonts w:hAnsi="宋体" w:cs="宋体"/>
                <w:color w:val="auto"/>
                <w:sz w:val="21"/>
                <w:szCs w:val="21"/>
                <w:highlight w:val="none"/>
              </w:rPr>
            </w:pPr>
          </w:p>
        </w:tc>
        <w:tc>
          <w:tcPr>
            <w:tcW w:w="4336" w:type="dxa"/>
            <w:tcBorders>
              <w:top w:val="single" w:color="auto" w:sz="4" w:space="0"/>
              <w:left w:val="single" w:color="auto" w:sz="4" w:space="0"/>
              <w:bottom w:val="single" w:color="auto" w:sz="4" w:space="0"/>
              <w:right w:val="single" w:color="auto" w:sz="4" w:space="0"/>
            </w:tcBorders>
            <w:vAlign w:val="center"/>
          </w:tcPr>
          <w:p w14:paraId="7FF315CE">
            <w:pPr>
              <w:pStyle w:val="323"/>
              <w:spacing w:line="360" w:lineRule="auto"/>
              <w:ind w:firstLine="200"/>
              <w:jc w:val="center"/>
              <w:rPr>
                <w:rFonts w:hAnsi="宋体" w:cs="宋体"/>
                <w:color w:val="auto"/>
                <w:sz w:val="21"/>
                <w:szCs w:val="21"/>
                <w:highlight w:val="none"/>
              </w:rPr>
            </w:pPr>
          </w:p>
        </w:tc>
        <w:tc>
          <w:tcPr>
            <w:tcW w:w="3253" w:type="dxa"/>
            <w:tcBorders>
              <w:top w:val="single" w:color="auto" w:sz="4" w:space="0"/>
              <w:left w:val="single" w:color="auto" w:sz="4" w:space="0"/>
              <w:bottom w:val="single" w:color="auto" w:sz="4" w:space="0"/>
              <w:right w:val="single" w:color="auto" w:sz="4" w:space="0"/>
            </w:tcBorders>
            <w:vAlign w:val="center"/>
          </w:tcPr>
          <w:p w14:paraId="7D02A289">
            <w:pPr>
              <w:pStyle w:val="323"/>
              <w:spacing w:line="360" w:lineRule="auto"/>
              <w:ind w:firstLine="200"/>
              <w:jc w:val="center"/>
              <w:rPr>
                <w:rFonts w:hAnsi="宋体" w:cs="宋体"/>
                <w:color w:val="auto"/>
                <w:sz w:val="21"/>
                <w:szCs w:val="21"/>
                <w:highlight w:val="none"/>
              </w:rPr>
            </w:pPr>
          </w:p>
        </w:tc>
      </w:tr>
      <w:tr w14:paraId="7FE39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14:paraId="0680BE5B">
            <w:pPr>
              <w:pStyle w:val="323"/>
              <w:spacing w:line="360" w:lineRule="auto"/>
              <w:ind w:firstLine="200"/>
              <w:jc w:val="center"/>
              <w:rPr>
                <w:rFonts w:hAnsi="宋体" w:cs="宋体"/>
                <w:color w:val="auto"/>
                <w:sz w:val="21"/>
                <w:szCs w:val="21"/>
                <w:highlight w:val="none"/>
              </w:rPr>
            </w:pPr>
          </w:p>
        </w:tc>
        <w:tc>
          <w:tcPr>
            <w:tcW w:w="4336" w:type="dxa"/>
            <w:tcBorders>
              <w:top w:val="single" w:color="auto" w:sz="4" w:space="0"/>
              <w:left w:val="single" w:color="auto" w:sz="4" w:space="0"/>
              <w:bottom w:val="single" w:color="auto" w:sz="4" w:space="0"/>
              <w:right w:val="single" w:color="auto" w:sz="4" w:space="0"/>
            </w:tcBorders>
            <w:vAlign w:val="center"/>
          </w:tcPr>
          <w:p w14:paraId="3691A648">
            <w:pPr>
              <w:pStyle w:val="323"/>
              <w:spacing w:line="360" w:lineRule="auto"/>
              <w:ind w:firstLine="200"/>
              <w:jc w:val="center"/>
              <w:rPr>
                <w:rFonts w:hAnsi="宋体" w:cs="宋体"/>
                <w:color w:val="auto"/>
                <w:sz w:val="21"/>
                <w:szCs w:val="21"/>
                <w:highlight w:val="none"/>
              </w:rPr>
            </w:pPr>
          </w:p>
        </w:tc>
        <w:tc>
          <w:tcPr>
            <w:tcW w:w="3253" w:type="dxa"/>
            <w:tcBorders>
              <w:top w:val="single" w:color="auto" w:sz="4" w:space="0"/>
              <w:left w:val="single" w:color="auto" w:sz="4" w:space="0"/>
              <w:bottom w:val="single" w:color="auto" w:sz="4" w:space="0"/>
              <w:right w:val="single" w:color="auto" w:sz="4" w:space="0"/>
            </w:tcBorders>
            <w:vAlign w:val="center"/>
          </w:tcPr>
          <w:p w14:paraId="78AB9DD5">
            <w:pPr>
              <w:pStyle w:val="323"/>
              <w:spacing w:line="360" w:lineRule="auto"/>
              <w:ind w:firstLine="200"/>
              <w:jc w:val="center"/>
              <w:rPr>
                <w:rFonts w:hAnsi="宋体" w:cs="宋体"/>
                <w:color w:val="auto"/>
                <w:sz w:val="21"/>
                <w:szCs w:val="21"/>
                <w:highlight w:val="none"/>
              </w:rPr>
            </w:pPr>
          </w:p>
        </w:tc>
      </w:tr>
      <w:tr w14:paraId="29BF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866" w:type="dxa"/>
            <w:gridSpan w:val="2"/>
            <w:tcBorders>
              <w:top w:val="single" w:color="auto" w:sz="4" w:space="0"/>
              <w:left w:val="single" w:color="auto" w:sz="4" w:space="0"/>
              <w:bottom w:val="single" w:color="auto" w:sz="4" w:space="0"/>
              <w:right w:val="single" w:color="auto" w:sz="4" w:space="0"/>
            </w:tcBorders>
            <w:vAlign w:val="center"/>
          </w:tcPr>
          <w:p w14:paraId="62A6021B">
            <w:pPr>
              <w:pStyle w:val="323"/>
              <w:spacing w:line="360" w:lineRule="auto"/>
              <w:ind w:firstLine="200"/>
              <w:jc w:val="center"/>
              <w:rPr>
                <w:rFonts w:hAnsi="宋体" w:cs="宋体"/>
                <w:color w:val="auto"/>
                <w:sz w:val="21"/>
                <w:szCs w:val="21"/>
                <w:highlight w:val="none"/>
              </w:rPr>
            </w:pPr>
            <w:r>
              <w:rPr>
                <w:rFonts w:hint="eastAsia" w:hAnsi="宋体" w:cs="宋体"/>
                <w:color w:val="auto"/>
                <w:sz w:val="21"/>
                <w:szCs w:val="21"/>
                <w:highlight w:val="none"/>
              </w:rPr>
              <w:t>总价</w:t>
            </w:r>
          </w:p>
        </w:tc>
        <w:tc>
          <w:tcPr>
            <w:tcW w:w="3253" w:type="dxa"/>
            <w:tcBorders>
              <w:top w:val="single" w:color="auto" w:sz="4" w:space="0"/>
              <w:left w:val="single" w:color="auto" w:sz="4" w:space="0"/>
              <w:bottom w:val="single" w:color="auto" w:sz="4" w:space="0"/>
              <w:right w:val="single" w:color="auto" w:sz="4" w:space="0"/>
            </w:tcBorders>
            <w:vAlign w:val="center"/>
          </w:tcPr>
          <w:p w14:paraId="61D0AC82">
            <w:pPr>
              <w:pStyle w:val="323"/>
              <w:spacing w:line="360" w:lineRule="auto"/>
              <w:ind w:firstLine="200"/>
              <w:jc w:val="center"/>
              <w:rPr>
                <w:rFonts w:hAnsi="宋体" w:cs="宋体"/>
                <w:color w:val="auto"/>
                <w:sz w:val="21"/>
                <w:szCs w:val="21"/>
                <w:highlight w:val="none"/>
              </w:rPr>
            </w:pPr>
          </w:p>
        </w:tc>
      </w:tr>
    </w:tbl>
    <w:p w14:paraId="79E06B59">
      <w:pPr>
        <w:spacing w:line="360" w:lineRule="auto"/>
        <w:ind w:firstLine="422" w:firstLineChars="200"/>
        <w:outlineLvl w:val="0"/>
        <w:rPr>
          <w:rFonts w:ascii="宋体" w:hAnsi="宋体" w:cs="宋体"/>
          <w:b/>
          <w:color w:val="auto"/>
          <w:szCs w:val="21"/>
          <w:highlight w:val="none"/>
        </w:rPr>
      </w:pPr>
      <w:bookmarkStart w:id="464" w:name="_Toc10340"/>
      <w:bookmarkStart w:id="465" w:name="_Toc1814"/>
      <w:bookmarkStart w:id="466" w:name="_Toc22618"/>
      <w:bookmarkStart w:id="467" w:name="_Toc7570"/>
      <w:bookmarkStart w:id="468" w:name="_Toc18710"/>
      <w:r>
        <w:rPr>
          <w:rFonts w:hint="eastAsia" w:ascii="宋体" w:hAnsi="宋体" w:cs="宋体"/>
          <w:b/>
          <w:color w:val="auto"/>
          <w:szCs w:val="21"/>
          <w:highlight w:val="none"/>
        </w:rPr>
        <w:t>5 付款</w:t>
      </w:r>
      <w:bookmarkEnd w:id="464"/>
      <w:bookmarkEnd w:id="465"/>
      <w:bookmarkEnd w:id="466"/>
      <w:r>
        <w:rPr>
          <w:rFonts w:hint="eastAsia" w:ascii="宋体" w:hAnsi="宋体" w:cs="宋体"/>
          <w:b/>
          <w:color w:val="auto"/>
          <w:szCs w:val="21"/>
          <w:highlight w:val="none"/>
        </w:rPr>
        <w:t>方式、时间和条件</w:t>
      </w:r>
      <w:bookmarkEnd w:id="467"/>
      <w:bookmarkEnd w:id="468"/>
    </w:p>
    <w:p w14:paraId="1325BE86">
      <w:pPr>
        <w:pStyle w:val="959"/>
        <w:spacing w:before="0" w:beforeAutospacing="0" w:after="0" w:afterAutospacing="0" w:line="360" w:lineRule="auto"/>
        <w:ind w:firstLine="480"/>
        <w:rPr>
          <w:b/>
          <w:bCs/>
          <w:i/>
          <w:iCs/>
          <w:color w:val="auto"/>
          <w:kern w:val="2"/>
          <w:sz w:val="21"/>
          <w:szCs w:val="21"/>
          <w:highlight w:val="none"/>
          <w:u w:val="single"/>
        </w:rPr>
      </w:pPr>
      <w:bookmarkStart w:id="469" w:name="_Toc32071"/>
      <w:bookmarkStart w:id="470" w:name="_Toc19304"/>
      <w:bookmarkStart w:id="471" w:name="_Toc2846"/>
      <w:r>
        <w:rPr>
          <w:rFonts w:hint="eastAsia"/>
          <w:color w:val="auto"/>
          <w:kern w:val="2"/>
          <w:sz w:val="21"/>
          <w:szCs w:val="21"/>
          <w:highlight w:val="none"/>
        </w:rPr>
        <w:t>5.1 资金支付的方式、时间和条件：</w:t>
      </w:r>
      <w:r>
        <w:rPr>
          <w:rFonts w:hint="eastAsia"/>
          <w:b/>
          <w:bCs/>
          <w:i/>
          <w:iCs/>
          <w:color w:val="auto"/>
          <w:kern w:val="2"/>
          <w:sz w:val="21"/>
          <w:szCs w:val="21"/>
          <w:highlight w:val="none"/>
          <w:u w:val="single"/>
        </w:rPr>
        <w:t xml:space="preserve">                       </w:t>
      </w:r>
    </w:p>
    <w:p w14:paraId="205642F6">
      <w:pPr>
        <w:pStyle w:val="959"/>
        <w:spacing w:before="0" w:beforeAutospacing="0" w:after="0" w:afterAutospacing="0" w:line="360" w:lineRule="auto"/>
        <w:ind w:firstLine="480"/>
        <w:rPr>
          <w:color w:val="auto"/>
          <w:kern w:val="2"/>
          <w:sz w:val="21"/>
          <w:szCs w:val="21"/>
          <w:highlight w:val="none"/>
        </w:rPr>
      </w:pPr>
      <w:r>
        <w:rPr>
          <w:rFonts w:hint="eastAsia"/>
          <w:color w:val="auto"/>
          <w:kern w:val="2"/>
          <w:sz w:val="21"/>
          <w:szCs w:val="21"/>
          <w:highlight w:val="none"/>
        </w:rPr>
        <w:t>5.2 乙方收款账户：</w:t>
      </w:r>
    </w:p>
    <w:p w14:paraId="7D885E34">
      <w:pPr>
        <w:autoSpaceDE w:val="0"/>
        <w:autoSpaceDN w:val="0"/>
        <w:spacing w:line="360" w:lineRule="auto"/>
        <w:ind w:left="1470" w:leftChars="700"/>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b/>
          <w:bCs/>
          <w:i/>
          <w:iCs/>
          <w:color w:val="auto"/>
          <w:szCs w:val="21"/>
          <w:highlight w:val="none"/>
          <w:u w:val="single"/>
        </w:rPr>
        <w:t xml:space="preserve">                          </w:t>
      </w:r>
      <w:r>
        <w:rPr>
          <w:rFonts w:hint="eastAsia" w:ascii="宋体" w:hAnsi="宋体" w:cs="宋体"/>
          <w:color w:val="auto"/>
          <w:szCs w:val="21"/>
          <w:highlight w:val="none"/>
        </w:rPr>
        <w:t xml:space="preserve">                          </w:t>
      </w:r>
    </w:p>
    <w:p w14:paraId="2C2B132D">
      <w:pPr>
        <w:autoSpaceDE w:val="0"/>
        <w:autoSpaceDN w:val="0"/>
        <w:spacing w:line="360" w:lineRule="auto"/>
        <w:ind w:left="1470" w:leftChars="700"/>
        <w:rPr>
          <w:rFonts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b/>
          <w:bCs/>
          <w:i/>
          <w:iCs/>
          <w:color w:val="auto"/>
          <w:szCs w:val="21"/>
          <w:highlight w:val="none"/>
          <w:u w:val="single"/>
        </w:rPr>
        <w:t xml:space="preserve">                          </w:t>
      </w:r>
      <w:r>
        <w:rPr>
          <w:rFonts w:hint="eastAsia" w:ascii="宋体" w:hAnsi="宋体" w:cs="宋体"/>
          <w:color w:val="auto"/>
          <w:szCs w:val="21"/>
          <w:highlight w:val="none"/>
        </w:rPr>
        <w:t xml:space="preserve">                             </w:t>
      </w:r>
    </w:p>
    <w:p w14:paraId="3ACC5306">
      <w:pPr>
        <w:autoSpaceDE w:val="0"/>
        <w:autoSpaceDN w:val="0"/>
        <w:spacing w:line="360" w:lineRule="auto"/>
        <w:ind w:left="1470" w:leftChars="700"/>
        <w:rPr>
          <w:rFonts w:ascii="宋体" w:hAnsi="宋体" w:cs="宋体"/>
          <w:color w:val="auto"/>
          <w:szCs w:val="21"/>
          <w:highlight w:val="none"/>
          <w:lang w:val="zh-CN"/>
        </w:rPr>
      </w:pPr>
      <w:r>
        <w:rPr>
          <w:rFonts w:hint="eastAsia" w:ascii="宋体" w:hAnsi="宋体" w:cs="宋体"/>
          <w:color w:val="auto"/>
          <w:szCs w:val="21"/>
          <w:highlight w:val="none"/>
        </w:rPr>
        <w:t>开户账号：</w:t>
      </w:r>
      <w:r>
        <w:rPr>
          <w:rFonts w:hint="eastAsia" w:ascii="宋体" w:hAnsi="宋体" w:cs="宋体"/>
          <w:b/>
          <w:bCs/>
          <w:i/>
          <w:iCs/>
          <w:color w:val="auto"/>
          <w:szCs w:val="21"/>
          <w:highlight w:val="none"/>
          <w:u w:val="single"/>
        </w:rPr>
        <w:t xml:space="preserve">                          </w:t>
      </w:r>
      <w:r>
        <w:rPr>
          <w:rFonts w:hint="eastAsia" w:ascii="宋体" w:hAnsi="宋体" w:cs="宋体"/>
          <w:color w:val="auto"/>
          <w:szCs w:val="21"/>
          <w:highlight w:val="none"/>
          <w:lang w:val="zh-CN"/>
        </w:rPr>
        <w:t xml:space="preserve">      </w:t>
      </w:r>
    </w:p>
    <w:p w14:paraId="16BC362D">
      <w:pPr>
        <w:spacing w:line="360" w:lineRule="auto"/>
        <w:ind w:firstLine="422" w:firstLineChars="200"/>
        <w:outlineLvl w:val="0"/>
        <w:rPr>
          <w:rFonts w:ascii="宋体" w:hAnsi="宋体" w:cs="宋体"/>
          <w:b/>
          <w:color w:val="auto"/>
          <w:szCs w:val="21"/>
          <w:highlight w:val="none"/>
        </w:rPr>
      </w:pPr>
      <w:bookmarkStart w:id="472" w:name="_Toc5373"/>
      <w:bookmarkStart w:id="473" w:name="_Toc5843"/>
      <w:r>
        <w:rPr>
          <w:rFonts w:hint="eastAsia" w:ascii="宋体" w:hAnsi="宋体" w:cs="宋体"/>
          <w:b/>
          <w:color w:val="auto"/>
          <w:szCs w:val="21"/>
          <w:highlight w:val="none"/>
        </w:rPr>
        <w:t>6 货物交付期限、地点和方式</w:t>
      </w:r>
      <w:bookmarkEnd w:id="469"/>
      <w:bookmarkEnd w:id="470"/>
      <w:bookmarkEnd w:id="471"/>
      <w:bookmarkEnd w:id="472"/>
      <w:bookmarkEnd w:id="473"/>
    </w:p>
    <w:p w14:paraId="6DA283DE">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6.1 交付期限：</w:t>
      </w:r>
      <w:r>
        <w:rPr>
          <w:rFonts w:hint="eastAsia" w:ascii="宋体" w:hAnsi="宋体" w:cs="宋体"/>
          <w:b/>
          <w:i/>
          <w:color w:val="auto"/>
          <w:szCs w:val="21"/>
          <w:highlight w:val="none"/>
          <w:u w:val="single"/>
        </w:rPr>
        <w:t xml:space="preserve">                   </w:t>
      </w:r>
    </w:p>
    <w:p w14:paraId="5594B1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 交付地点：</w:t>
      </w:r>
      <w:r>
        <w:rPr>
          <w:rFonts w:hint="eastAsia" w:ascii="宋体" w:hAnsi="宋体" w:cs="宋体"/>
          <w:b/>
          <w:i/>
          <w:color w:val="auto"/>
          <w:szCs w:val="21"/>
          <w:highlight w:val="none"/>
          <w:u w:val="single"/>
        </w:rPr>
        <w:t xml:space="preserve">                   </w:t>
      </w:r>
    </w:p>
    <w:p w14:paraId="0369FF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 交付方式：</w:t>
      </w:r>
      <w:r>
        <w:rPr>
          <w:rFonts w:hint="eastAsia" w:ascii="宋体" w:hAnsi="宋体" w:cs="宋体"/>
          <w:b/>
          <w:i/>
          <w:color w:val="auto"/>
          <w:szCs w:val="21"/>
          <w:highlight w:val="none"/>
          <w:u w:val="single"/>
        </w:rPr>
        <w:t xml:space="preserve">                   </w:t>
      </w:r>
    </w:p>
    <w:p w14:paraId="68F8BE89">
      <w:pPr>
        <w:spacing w:line="360" w:lineRule="auto"/>
        <w:ind w:firstLine="422" w:firstLineChars="200"/>
        <w:outlineLvl w:val="0"/>
        <w:rPr>
          <w:rFonts w:ascii="宋体" w:hAnsi="宋体" w:cs="宋体"/>
          <w:b/>
          <w:color w:val="auto"/>
          <w:szCs w:val="21"/>
          <w:highlight w:val="none"/>
        </w:rPr>
      </w:pPr>
      <w:bookmarkStart w:id="474" w:name="_Toc11473"/>
      <w:bookmarkStart w:id="475" w:name="_Toc30235"/>
      <w:r>
        <w:rPr>
          <w:rFonts w:hint="eastAsia" w:ascii="宋体" w:hAnsi="宋体" w:cs="宋体"/>
          <w:b/>
          <w:color w:val="auto"/>
          <w:szCs w:val="21"/>
          <w:highlight w:val="none"/>
        </w:rPr>
        <w:t>7 技术规范</w:t>
      </w:r>
      <w:bookmarkEnd w:id="474"/>
      <w:bookmarkEnd w:id="475"/>
    </w:p>
    <w:p w14:paraId="7B45F2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货物所应遵守的技术规范应与招标文件规定的技术规范和技术规范附件</w:t>
      </w:r>
      <w:r>
        <w:rPr>
          <w:rFonts w:hint="eastAsia" w:ascii="宋体" w:hAnsi="宋体" w:cs="宋体"/>
          <w:color w:val="auto"/>
          <w:szCs w:val="21"/>
          <w:highlight w:val="none"/>
          <w:lang w:eastAsia="zh-CN"/>
        </w:rPr>
        <w:t>（</w:t>
      </w:r>
      <w:r>
        <w:rPr>
          <w:rFonts w:hint="eastAsia" w:ascii="宋体" w:hAnsi="宋体" w:cs="宋体"/>
          <w:color w:val="auto"/>
          <w:szCs w:val="21"/>
          <w:highlight w:val="none"/>
        </w:rPr>
        <w:t>如果有的话</w:t>
      </w:r>
      <w:r>
        <w:rPr>
          <w:rFonts w:hint="eastAsia" w:ascii="宋体" w:hAnsi="宋体" w:cs="宋体"/>
          <w:color w:val="auto"/>
          <w:szCs w:val="21"/>
          <w:highlight w:val="none"/>
          <w:lang w:eastAsia="zh-CN"/>
        </w:rPr>
        <w:t>）</w:t>
      </w:r>
      <w:r>
        <w:rPr>
          <w:rFonts w:hint="eastAsia" w:ascii="宋体" w:hAnsi="宋体" w:cs="宋体"/>
          <w:color w:val="auto"/>
          <w:szCs w:val="21"/>
          <w:highlight w:val="none"/>
        </w:rPr>
        <w:t>及其技术规范偏差表</w:t>
      </w:r>
      <w:r>
        <w:rPr>
          <w:rFonts w:hint="eastAsia" w:ascii="宋体" w:hAnsi="宋体" w:cs="宋体"/>
          <w:color w:val="auto"/>
          <w:szCs w:val="21"/>
          <w:highlight w:val="none"/>
          <w:lang w:eastAsia="zh-CN"/>
        </w:rPr>
        <w:t>（</w:t>
      </w:r>
      <w:r>
        <w:rPr>
          <w:rFonts w:hint="eastAsia" w:ascii="宋体" w:hAnsi="宋体" w:cs="宋体"/>
          <w:color w:val="auto"/>
          <w:szCs w:val="21"/>
          <w:highlight w:val="none"/>
        </w:rPr>
        <w:t>如果被甲方接受的话</w:t>
      </w:r>
      <w:r>
        <w:rPr>
          <w:rFonts w:hint="eastAsia" w:ascii="宋体" w:hAnsi="宋体" w:cs="宋体"/>
          <w:color w:val="auto"/>
          <w:szCs w:val="21"/>
          <w:highlight w:val="none"/>
          <w:lang w:eastAsia="zh-CN"/>
        </w:rPr>
        <w:t>）</w:t>
      </w:r>
      <w:r>
        <w:rPr>
          <w:rFonts w:hint="eastAsia" w:ascii="宋体" w:hAnsi="宋体" w:cs="宋体"/>
          <w:color w:val="auto"/>
          <w:szCs w:val="21"/>
          <w:highlight w:val="none"/>
        </w:rPr>
        <w:t>相一致；如果招标文件中没有技术规范的相应说明，那么应以国家有关部门最新颁布的相应标准和规范为准。</w:t>
      </w:r>
    </w:p>
    <w:p w14:paraId="27EB720E">
      <w:pPr>
        <w:spacing w:line="360" w:lineRule="auto"/>
        <w:ind w:firstLine="422" w:firstLineChars="200"/>
        <w:outlineLvl w:val="0"/>
        <w:rPr>
          <w:rFonts w:ascii="宋体" w:hAnsi="宋体" w:cs="宋体"/>
          <w:b/>
          <w:color w:val="auto"/>
          <w:szCs w:val="21"/>
          <w:highlight w:val="none"/>
        </w:rPr>
      </w:pPr>
      <w:bookmarkStart w:id="476" w:name="_Toc13674"/>
      <w:bookmarkStart w:id="477" w:name="_Toc27217"/>
      <w:r>
        <w:rPr>
          <w:rFonts w:hint="eastAsia" w:ascii="宋体" w:hAnsi="宋体" w:cs="宋体"/>
          <w:b/>
          <w:color w:val="auto"/>
          <w:szCs w:val="21"/>
          <w:highlight w:val="none"/>
        </w:rPr>
        <w:t>8 知识产权</w:t>
      </w:r>
      <w:bookmarkEnd w:id="476"/>
      <w:bookmarkEnd w:id="477"/>
    </w:p>
    <w:p w14:paraId="13E743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3FDFFC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8.2具有知识产权的计算机软件等货物的知识产权归属，除合同另有规定外，归甲方所有。</w:t>
      </w:r>
    </w:p>
    <w:p w14:paraId="1C2BBE9B">
      <w:pPr>
        <w:spacing w:line="360" w:lineRule="auto"/>
        <w:ind w:firstLine="422" w:firstLineChars="200"/>
        <w:outlineLvl w:val="0"/>
        <w:rPr>
          <w:rFonts w:ascii="宋体" w:hAnsi="宋体" w:cs="宋体"/>
          <w:b/>
          <w:color w:val="auto"/>
          <w:szCs w:val="21"/>
          <w:highlight w:val="none"/>
        </w:rPr>
      </w:pPr>
      <w:bookmarkStart w:id="478" w:name="_Toc15852"/>
      <w:bookmarkStart w:id="479" w:name="_Toc9045"/>
      <w:r>
        <w:rPr>
          <w:rFonts w:hint="eastAsia" w:ascii="宋体" w:hAnsi="宋体" w:cs="宋体"/>
          <w:b/>
          <w:color w:val="auto"/>
          <w:szCs w:val="21"/>
          <w:highlight w:val="none"/>
        </w:rPr>
        <w:t>9 包装和装运</w:t>
      </w:r>
      <w:bookmarkEnd w:id="478"/>
      <w:bookmarkEnd w:id="479"/>
    </w:p>
    <w:p w14:paraId="0F07E9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C6DA1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7BACD47C">
      <w:pPr>
        <w:spacing w:line="360" w:lineRule="auto"/>
        <w:ind w:firstLine="422" w:firstLineChars="200"/>
        <w:outlineLvl w:val="0"/>
        <w:rPr>
          <w:rFonts w:ascii="宋体" w:hAnsi="宋体" w:cs="宋体"/>
          <w:b/>
          <w:color w:val="auto"/>
          <w:szCs w:val="21"/>
          <w:highlight w:val="none"/>
        </w:rPr>
      </w:pPr>
      <w:bookmarkStart w:id="480" w:name="_Toc19488"/>
      <w:bookmarkStart w:id="481" w:name="_Toc3476"/>
      <w:r>
        <w:rPr>
          <w:rFonts w:hint="eastAsia" w:ascii="宋体" w:hAnsi="宋体" w:cs="宋体"/>
          <w:b/>
          <w:color w:val="auto"/>
          <w:szCs w:val="21"/>
          <w:highlight w:val="none"/>
        </w:rPr>
        <w:t>10 履约保证金</w:t>
      </w:r>
      <w:bookmarkEnd w:id="480"/>
      <w:bookmarkEnd w:id="481"/>
    </w:p>
    <w:p w14:paraId="2CBFDA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本项目不收取履约保证金。</w:t>
      </w:r>
    </w:p>
    <w:p w14:paraId="5AD796D2">
      <w:pPr>
        <w:spacing w:line="360" w:lineRule="auto"/>
        <w:ind w:firstLine="422" w:firstLineChars="200"/>
        <w:outlineLvl w:val="0"/>
        <w:rPr>
          <w:rFonts w:ascii="宋体" w:hAnsi="宋体" w:cs="宋体"/>
          <w:b/>
          <w:color w:val="auto"/>
          <w:szCs w:val="21"/>
          <w:highlight w:val="none"/>
        </w:rPr>
      </w:pPr>
      <w:bookmarkStart w:id="482" w:name="_Toc7434"/>
      <w:bookmarkStart w:id="483" w:name="_Toc28067"/>
      <w:r>
        <w:rPr>
          <w:rFonts w:hint="eastAsia" w:ascii="宋体" w:hAnsi="宋体" w:cs="宋体"/>
          <w:b/>
          <w:color w:val="auto"/>
          <w:szCs w:val="21"/>
          <w:highlight w:val="none"/>
        </w:rPr>
        <w:t>11 履约检查和问题反馈</w:t>
      </w:r>
      <w:bookmarkEnd w:id="482"/>
      <w:bookmarkEnd w:id="483"/>
    </w:p>
    <w:p w14:paraId="5BA745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11.1甲方有权在其认为必要时，对乙方是否能够按照合同约定交付货物进行履约检查，以确保乙方所交付的货物能够依约满足甲方之项目需求，但不得因履约检查妨碍乙方的正常工作，乙方应予积极配合；</w:t>
      </w:r>
    </w:p>
    <w:p w14:paraId="2B63F4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 合同履行期间，甲方有权将履行过程中出现的问题反馈给乙方，双方当事人应以书面形式约定需要完善和改进的内容。</w:t>
      </w:r>
    </w:p>
    <w:p w14:paraId="5DBFF5F8">
      <w:pPr>
        <w:spacing w:line="360" w:lineRule="auto"/>
        <w:ind w:firstLine="422" w:firstLineChars="200"/>
        <w:outlineLvl w:val="0"/>
        <w:rPr>
          <w:rFonts w:ascii="宋体" w:hAnsi="宋体" w:cs="宋体"/>
          <w:b/>
          <w:color w:val="auto"/>
          <w:szCs w:val="21"/>
          <w:highlight w:val="none"/>
        </w:rPr>
      </w:pPr>
      <w:bookmarkStart w:id="484" w:name="_Toc8089"/>
      <w:bookmarkStart w:id="485" w:name="_Toc5396"/>
      <w:r>
        <w:rPr>
          <w:rFonts w:hint="eastAsia" w:ascii="宋体" w:hAnsi="宋体" w:cs="宋体"/>
          <w:b/>
          <w:color w:val="auto"/>
          <w:szCs w:val="21"/>
          <w:highlight w:val="none"/>
        </w:rPr>
        <w:t>12 检验和验收</w:t>
      </w:r>
      <w:bookmarkEnd w:id="484"/>
      <w:bookmarkEnd w:id="485"/>
    </w:p>
    <w:p w14:paraId="2ED38341">
      <w:pPr>
        <w:tabs>
          <w:tab w:val="left" w:pos="360"/>
          <w:tab w:val="left" w:pos="540"/>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12.1货物交付前，乙方应对货物的质量、数量等方面进行详细、全面的检验，并向甲方出具证明货物符合合同约定的文件；货物交付时，乙方在交付后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个工作日内组织验收，并可依法邀请相关方参加，验收应出具验收书。</w:t>
      </w:r>
    </w:p>
    <w:p w14:paraId="3D76329E">
      <w:pPr>
        <w:tabs>
          <w:tab w:val="left" w:pos="360"/>
          <w:tab w:val="left" w:pos="540"/>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8B767F5">
      <w:pPr>
        <w:pStyle w:val="24"/>
        <w:ind w:firstLine="420" w:firstLineChars="200"/>
        <w:rPr>
          <w:rFonts w:hAnsi="宋体" w:cs="宋体"/>
          <w:color w:val="auto"/>
          <w:sz w:val="21"/>
          <w:highlight w:val="none"/>
        </w:rPr>
      </w:pPr>
      <w:r>
        <w:rPr>
          <w:rFonts w:hint="eastAsia" w:hAnsi="宋体" w:cs="宋体"/>
          <w:color w:val="auto"/>
          <w:sz w:val="21"/>
          <w:highlight w:val="none"/>
        </w:rPr>
        <w:t>12.3最终验收不通过的，甲方可单方面解除合同，并扣除全额履约保证金，乙方须无条件退回已收取的全部货款，并承担由此给甲方造成的损失和责任。</w:t>
      </w:r>
    </w:p>
    <w:p w14:paraId="769870EE">
      <w:pPr>
        <w:spacing w:line="360" w:lineRule="auto"/>
        <w:ind w:firstLine="422" w:firstLineChars="200"/>
        <w:outlineLvl w:val="0"/>
        <w:rPr>
          <w:rFonts w:ascii="宋体" w:hAnsi="宋体" w:cs="宋体"/>
          <w:b/>
          <w:color w:val="auto"/>
          <w:szCs w:val="21"/>
          <w:highlight w:val="none"/>
        </w:rPr>
      </w:pPr>
      <w:bookmarkStart w:id="486" w:name="_Toc27090"/>
      <w:bookmarkStart w:id="487" w:name="_Toc29305"/>
      <w:r>
        <w:rPr>
          <w:rFonts w:hint="eastAsia" w:ascii="宋体" w:hAnsi="宋体" w:cs="宋体"/>
          <w:b/>
          <w:color w:val="auto"/>
          <w:szCs w:val="21"/>
          <w:highlight w:val="none"/>
        </w:rPr>
        <w:t>13 技术资料和保密义务</w:t>
      </w:r>
      <w:bookmarkEnd w:id="486"/>
      <w:bookmarkEnd w:id="487"/>
    </w:p>
    <w:p w14:paraId="66A773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乙方有权依据合同约定和项目需要，向甲方了解有关情况，调阅有关资料等，甲方应予积极配合；</w:t>
      </w:r>
    </w:p>
    <w:p w14:paraId="1D6695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13.2 乙方有义务妥善保管和保护由甲方提供的前款信息和资料等；</w:t>
      </w:r>
    </w:p>
    <w:p w14:paraId="1C6C9A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AA857A8">
      <w:pPr>
        <w:spacing w:line="360" w:lineRule="auto"/>
        <w:ind w:firstLine="422" w:firstLineChars="200"/>
        <w:outlineLvl w:val="0"/>
        <w:rPr>
          <w:rFonts w:ascii="宋体" w:hAnsi="宋体" w:cs="宋体"/>
          <w:b/>
          <w:color w:val="auto"/>
          <w:szCs w:val="21"/>
          <w:highlight w:val="none"/>
        </w:rPr>
      </w:pPr>
      <w:bookmarkStart w:id="488" w:name="_Toc31457"/>
      <w:bookmarkStart w:id="489" w:name="_Toc25751"/>
      <w:r>
        <w:rPr>
          <w:rFonts w:hint="eastAsia" w:ascii="宋体" w:hAnsi="宋体" w:cs="宋体"/>
          <w:b/>
          <w:color w:val="auto"/>
          <w:szCs w:val="21"/>
          <w:highlight w:val="none"/>
        </w:rPr>
        <w:t>14 质量保证</w:t>
      </w:r>
      <w:bookmarkEnd w:id="488"/>
      <w:bookmarkEnd w:id="489"/>
    </w:p>
    <w:p w14:paraId="0CD65C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乙方应建立和完善履行合同的内部质量保证体系，并提供相关内部规章制度给甲方，以便甲方进行监督检查；</w:t>
      </w:r>
    </w:p>
    <w:p w14:paraId="750CB3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 乙方应保证履行合同的人员数量和素质、软件和硬件设备的配置、场地、环境和设施等满足全面履行合同的要求，并应接受甲方的监督检查。</w:t>
      </w:r>
    </w:p>
    <w:p w14:paraId="30403255">
      <w:pPr>
        <w:spacing w:line="360" w:lineRule="auto"/>
        <w:ind w:firstLine="422" w:firstLineChars="200"/>
        <w:outlineLvl w:val="0"/>
        <w:rPr>
          <w:rFonts w:ascii="宋体" w:hAnsi="宋体" w:cs="宋体"/>
          <w:b/>
          <w:color w:val="auto"/>
          <w:szCs w:val="21"/>
          <w:highlight w:val="none"/>
        </w:rPr>
      </w:pPr>
      <w:bookmarkStart w:id="490" w:name="_Toc27769"/>
      <w:bookmarkStart w:id="491" w:name="_Toc15039"/>
      <w:r>
        <w:rPr>
          <w:rFonts w:hint="eastAsia" w:ascii="宋体" w:hAnsi="宋体" w:cs="宋体"/>
          <w:b/>
          <w:color w:val="auto"/>
          <w:szCs w:val="21"/>
          <w:highlight w:val="none"/>
        </w:rPr>
        <w:t>15 货物的风险负担</w:t>
      </w:r>
      <w:bookmarkEnd w:id="490"/>
      <w:bookmarkEnd w:id="491"/>
    </w:p>
    <w:p w14:paraId="28EF1B14">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货物在甲方未收货前出现的货物毁损、灭失的风险均由乙方承担。</w:t>
      </w:r>
    </w:p>
    <w:p w14:paraId="67D72D3D">
      <w:pPr>
        <w:spacing w:line="360" w:lineRule="auto"/>
        <w:ind w:firstLine="422" w:firstLineChars="200"/>
        <w:outlineLvl w:val="0"/>
        <w:rPr>
          <w:rFonts w:ascii="宋体" w:hAnsi="宋体" w:cs="宋体"/>
          <w:b/>
          <w:color w:val="auto"/>
          <w:szCs w:val="21"/>
          <w:highlight w:val="none"/>
        </w:rPr>
      </w:pPr>
      <w:bookmarkStart w:id="492" w:name="_Toc4241"/>
      <w:bookmarkStart w:id="493" w:name="_Toc3442"/>
      <w:r>
        <w:rPr>
          <w:rFonts w:hint="eastAsia" w:ascii="宋体" w:hAnsi="宋体" w:cs="宋体"/>
          <w:b/>
          <w:color w:val="auto"/>
          <w:szCs w:val="21"/>
          <w:highlight w:val="none"/>
        </w:rPr>
        <w:t>16 延迟交货</w:t>
      </w:r>
      <w:bookmarkEnd w:id="492"/>
      <w:bookmarkEnd w:id="493"/>
    </w:p>
    <w:p w14:paraId="1C3F8B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AEA1409">
      <w:pPr>
        <w:spacing w:line="360" w:lineRule="auto"/>
        <w:ind w:firstLine="422" w:firstLineChars="200"/>
        <w:outlineLvl w:val="0"/>
        <w:rPr>
          <w:rFonts w:ascii="宋体" w:hAnsi="宋体" w:cs="宋体"/>
          <w:b/>
          <w:color w:val="auto"/>
          <w:szCs w:val="21"/>
          <w:highlight w:val="none"/>
        </w:rPr>
      </w:pPr>
      <w:bookmarkStart w:id="494" w:name="_Toc18102"/>
      <w:bookmarkStart w:id="495" w:name="_Toc17196"/>
      <w:r>
        <w:rPr>
          <w:rFonts w:hint="eastAsia" w:ascii="宋体" w:hAnsi="宋体" w:cs="宋体"/>
          <w:b/>
          <w:color w:val="auto"/>
          <w:szCs w:val="21"/>
          <w:highlight w:val="none"/>
        </w:rPr>
        <w:t>17 合同变更</w:t>
      </w:r>
      <w:bookmarkEnd w:id="494"/>
      <w:bookmarkEnd w:id="495"/>
    </w:p>
    <w:p w14:paraId="37966F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合同继续履行将损害国家利益和社会公共利益的，双方当事人应当以书面形式变更合同。有过错的一方应当承担赔偿责任，双方当事人都有过错的，各自承担相应的责任。</w:t>
      </w:r>
    </w:p>
    <w:p w14:paraId="2BBF22F2">
      <w:pPr>
        <w:spacing w:line="360" w:lineRule="auto"/>
        <w:ind w:firstLine="422" w:firstLineChars="200"/>
        <w:outlineLvl w:val="0"/>
        <w:rPr>
          <w:rFonts w:ascii="宋体" w:hAnsi="宋体" w:cs="宋体"/>
          <w:b/>
          <w:color w:val="auto"/>
          <w:szCs w:val="21"/>
          <w:highlight w:val="none"/>
        </w:rPr>
      </w:pPr>
      <w:bookmarkStart w:id="496" w:name="_Toc3601"/>
      <w:bookmarkStart w:id="497" w:name="_Toc6233"/>
      <w:r>
        <w:rPr>
          <w:rFonts w:hint="eastAsia" w:ascii="宋体" w:hAnsi="宋体" w:cs="宋体"/>
          <w:b/>
          <w:color w:val="auto"/>
          <w:szCs w:val="21"/>
          <w:highlight w:val="none"/>
        </w:rPr>
        <w:t>18 合同转让和分包</w:t>
      </w:r>
      <w:bookmarkEnd w:id="496"/>
      <w:bookmarkEnd w:id="497"/>
    </w:p>
    <w:p w14:paraId="70992B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249CF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18.2乙方采取分包方式履行合同的，甲方可直接向分包供应商支付款项。</w:t>
      </w:r>
    </w:p>
    <w:p w14:paraId="45CC9E1B">
      <w:pPr>
        <w:spacing w:line="360" w:lineRule="auto"/>
        <w:ind w:firstLine="422" w:firstLineChars="200"/>
        <w:outlineLvl w:val="0"/>
        <w:rPr>
          <w:rFonts w:ascii="宋体" w:hAnsi="宋体" w:cs="宋体"/>
          <w:b/>
          <w:color w:val="auto"/>
          <w:szCs w:val="21"/>
          <w:highlight w:val="none"/>
        </w:rPr>
      </w:pPr>
      <w:bookmarkStart w:id="498" w:name="_Toc21423"/>
      <w:bookmarkStart w:id="499" w:name="_Toc27250"/>
      <w:bookmarkStart w:id="500" w:name="_Toc18301"/>
      <w:bookmarkStart w:id="501" w:name="_Toc30279"/>
      <w:bookmarkStart w:id="502" w:name="_Toc19554"/>
      <w:r>
        <w:rPr>
          <w:rFonts w:hint="eastAsia" w:ascii="宋体" w:hAnsi="宋体" w:cs="宋体"/>
          <w:b/>
          <w:color w:val="auto"/>
          <w:szCs w:val="21"/>
          <w:highlight w:val="none"/>
        </w:rPr>
        <w:t>19 违约责任</w:t>
      </w:r>
      <w:bookmarkEnd w:id="498"/>
      <w:bookmarkEnd w:id="499"/>
      <w:bookmarkEnd w:id="500"/>
      <w:bookmarkEnd w:id="501"/>
      <w:bookmarkEnd w:id="502"/>
    </w:p>
    <w:p w14:paraId="31D272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 除不可抗力外，如果乙方拒绝履行合同，或没有按照本合同约定的期限、地点和方式交付货物，那么甲方可要求乙方支付违约金，违约金按每日计合同总价的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1 </w:t>
      </w:r>
      <w:r>
        <w:rPr>
          <w:rFonts w:hint="eastAsia" w:ascii="宋体" w:hAnsi="宋体" w:cs="宋体"/>
          <w:color w:val="auto"/>
          <w:szCs w:val="21"/>
          <w:highlight w:val="none"/>
        </w:rPr>
        <w:t>%，最高限额为本合同总价的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50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%；迟延交付货物的违约金计算数额达到前述最高限额之日</w:t>
      </w:r>
      <w:r>
        <w:rPr>
          <w:rFonts w:hint="eastAsia" w:ascii="宋体" w:hAnsi="宋体" w:cs="宋体"/>
          <w:color w:val="auto"/>
          <w:szCs w:val="21"/>
          <w:highlight w:val="none"/>
          <w:lang w:val="en-US" w:eastAsia="zh-CN"/>
        </w:rPr>
        <w:t>或迟延交付货物超2个月的</w:t>
      </w:r>
      <w:r>
        <w:rPr>
          <w:rFonts w:hint="eastAsia" w:ascii="宋体" w:hAnsi="宋体" w:cs="宋体"/>
          <w:color w:val="auto"/>
          <w:szCs w:val="21"/>
          <w:highlight w:val="none"/>
        </w:rPr>
        <w:t>，甲方有权在要求乙方支付违约金的同时，书面通知乙方解除本合同；</w:t>
      </w:r>
    </w:p>
    <w:p w14:paraId="24E4E5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 除不可抗力外，如果甲方没有按照本合同约定的付款方式付款，那么乙方可要求甲方支付违约金，违约金按每迟延付款一日的应付而未付款的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%计算，最高限额为本合同总价的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%；迟延付款的违约金计算数额达到前述最高限额之日起，乙方有权在要求甲方支付违约金的同时，书面通知甲方解除本合同；</w:t>
      </w:r>
    </w:p>
    <w:p w14:paraId="7E37A9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0F061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F006A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EBC3C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19.6 如果出现政府采购监督管理部门在处理投诉事项期间，书面通知甲方暂停采购活动的情形，或者询问或质疑事项可能影响中标结果的，导致甲方中止履行合同的情形，均不视为甲方违约。</w:t>
      </w:r>
    </w:p>
    <w:p w14:paraId="5B429594">
      <w:pPr>
        <w:spacing w:line="360" w:lineRule="auto"/>
        <w:ind w:firstLine="422" w:firstLineChars="200"/>
        <w:outlineLvl w:val="0"/>
        <w:rPr>
          <w:rFonts w:ascii="宋体" w:hAnsi="宋体" w:cs="宋体"/>
          <w:b/>
          <w:color w:val="auto"/>
          <w:szCs w:val="21"/>
          <w:highlight w:val="none"/>
        </w:rPr>
      </w:pPr>
      <w:bookmarkStart w:id="503" w:name="_Toc29163"/>
      <w:bookmarkStart w:id="504" w:name="_Toc5839"/>
      <w:r>
        <w:rPr>
          <w:rFonts w:hint="eastAsia" w:ascii="宋体" w:hAnsi="宋体" w:cs="宋体"/>
          <w:b/>
          <w:color w:val="auto"/>
          <w:szCs w:val="21"/>
          <w:highlight w:val="none"/>
        </w:rPr>
        <w:t>20 不可抗力</w:t>
      </w:r>
      <w:bookmarkEnd w:id="503"/>
      <w:bookmarkEnd w:id="504"/>
    </w:p>
    <w:p w14:paraId="72772D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20.1如果任何一方遭遇法律规定的不可抗力，致使合同履行受阻时，履行合同的期限应予延长，延长的期限应相当于不可抗力所影响的时间；</w:t>
      </w:r>
    </w:p>
    <w:p w14:paraId="064A94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 因不可抗力致使不能实现合同目的的，当事人可以解除合同；</w:t>
      </w:r>
    </w:p>
    <w:p w14:paraId="7F788E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因不可抗力致使合同有变更必要的，双方当事人应在不可抗力发生后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日内以书面形式变更合同；</w:t>
      </w:r>
    </w:p>
    <w:p w14:paraId="5C1804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20.4受不可抗力影响的一方在不可抗力发生后，应在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日内以书面形式通知对方当事人，并在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日内，将有关部门出具的证明文件送达对方当事人。</w:t>
      </w:r>
    </w:p>
    <w:p w14:paraId="0DD6AAC0">
      <w:pPr>
        <w:spacing w:line="360" w:lineRule="auto"/>
        <w:ind w:firstLine="422" w:firstLineChars="200"/>
        <w:outlineLvl w:val="0"/>
        <w:rPr>
          <w:rFonts w:ascii="宋体" w:hAnsi="宋体" w:cs="宋体"/>
          <w:b/>
          <w:color w:val="auto"/>
          <w:szCs w:val="21"/>
          <w:highlight w:val="none"/>
        </w:rPr>
      </w:pPr>
      <w:bookmarkStart w:id="505" w:name="_Toc20018"/>
      <w:bookmarkStart w:id="506" w:name="_Toc7934"/>
      <w:r>
        <w:rPr>
          <w:rFonts w:hint="eastAsia" w:ascii="宋体" w:hAnsi="宋体" w:cs="宋体"/>
          <w:b/>
          <w:color w:val="auto"/>
          <w:szCs w:val="21"/>
          <w:highlight w:val="none"/>
        </w:rPr>
        <w:t>21 税费</w:t>
      </w:r>
      <w:bookmarkEnd w:id="505"/>
      <w:bookmarkEnd w:id="506"/>
    </w:p>
    <w:p w14:paraId="40AC59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与合同有关的一切税费，均按照中华人民共和国法律的相关规定。</w:t>
      </w:r>
    </w:p>
    <w:p w14:paraId="2CCE32B4">
      <w:pPr>
        <w:spacing w:line="360" w:lineRule="auto"/>
        <w:ind w:firstLine="422" w:firstLineChars="200"/>
        <w:outlineLvl w:val="0"/>
        <w:rPr>
          <w:rFonts w:ascii="宋体" w:hAnsi="宋体" w:cs="宋体"/>
          <w:b/>
          <w:color w:val="auto"/>
          <w:szCs w:val="21"/>
          <w:highlight w:val="none"/>
        </w:rPr>
      </w:pPr>
      <w:bookmarkStart w:id="507" w:name="_Toc16737"/>
      <w:bookmarkStart w:id="508" w:name="_Toc17733"/>
      <w:r>
        <w:rPr>
          <w:rFonts w:hint="eastAsia" w:ascii="宋体" w:hAnsi="宋体" w:cs="宋体"/>
          <w:b/>
          <w:color w:val="auto"/>
          <w:szCs w:val="21"/>
          <w:highlight w:val="none"/>
        </w:rPr>
        <w:t>22 乙方破产</w:t>
      </w:r>
      <w:bookmarkEnd w:id="507"/>
      <w:bookmarkEnd w:id="508"/>
    </w:p>
    <w:p w14:paraId="078BAD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2D3B5F6">
      <w:pPr>
        <w:spacing w:line="360" w:lineRule="auto"/>
        <w:ind w:firstLine="422" w:firstLineChars="200"/>
        <w:outlineLvl w:val="0"/>
        <w:rPr>
          <w:rFonts w:ascii="宋体" w:hAnsi="宋体" w:cs="宋体"/>
          <w:b/>
          <w:color w:val="auto"/>
          <w:szCs w:val="21"/>
          <w:highlight w:val="none"/>
        </w:rPr>
      </w:pPr>
      <w:bookmarkStart w:id="509" w:name="_Toc4434"/>
      <w:bookmarkStart w:id="510" w:name="_Toc15583"/>
      <w:bookmarkStart w:id="511" w:name="_Toc28375"/>
      <w:bookmarkStart w:id="512" w:name="_Toc4041"/>
      <w:bookmarkStart w:id="513" w:name="_Toc16021"/>
      <w:r>
        <w:rPr>
          <w:rFonts w:hint="eastAsia" w:ascii="宋体" w:hAnsi="宋体" w:cs="宋体"/>
          <w:b/>
          <w:color w:val="auto"/>
          <w:szCs w:val="21"/>
          <w:highlight w:val="none"/>
        </w:rPr>
        <w:t>23 合同争议的解决</w:t>
      </w:r>
      <w:bookmarkEnd w:id="509"/>
      <w:bookmarkEnd w:id="510"/>
      <w:bookmarkEnd w:id="511"/>
      <w:bookmarkEnd w:id="512"/>
      <w:bookmarkEnd w:id="513"/>
    </w:p>
    <w:p w14:paraId="68D7A5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本合同履行过程中发生的任何争议，双方当事人均可通过和解或者调解解决；不愿和解、调解或者和解、调解不成的，可以向宁波市中级人民法院提起诉讼。</w:t>
      </w:r>
    </w:p>
    <w:p w14:paraId="6DA1090F">
      <w:pPr>
        <w:spacing w:line="360" w:lineRule="auto"/>
        <w:ind w:firstLine="422" w:firstLineChars="200"/>
        <w:outlineLvl w:val="0"/>
        <w:rPr>
          <w:rFonts w:ascii="宋体" w:hAnsi="宋体" w:cs="宋体"/>
          <w:b/>
          <w:color w:val="auto"/>
          <w:szCs w:val="21"/>
          <w:highlight w:val="none"/>
        </w:rPr>
      </w:pPr>
      <w:bookmarkStart w:id="514" w:name="_Toc8286"/>
      <w:bookmarkStart w:id="515" w:name="_Toc19122"/>
      <w:r>
        <w:rPr>
          <w:rFonts w:hint="eastAsia" w:ascii="宋体" w:hAnsi="宋体" w:cs="宋体"/>
          <w:b/>
          <w:color w:val="auto"/>
          <w:szCs w:val="21"/>
          <w:highlight w:val="none"/>
        </w:rPr>
        <w:t>24 合同中止、终止</w:t>
      </w:r>
      <w:bookmarkEnd w:id="514"/>
      <w:bookmarkEnd w:id="515"/>
    </w:p>
    <w:p w14:paraId="18A951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双方当事人不得擅自中止或者终止合同；</w:t>
      </w:r>
    </w:p>
    <w:p w14:paraId="42BDC2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24.2合同继续履行将损害国家利益和社会公共利益的，双方当事人应当中止或者终止合同。有过错的一方应当承担赔偿责任，双方当事人都有过错的，各自承担相应的责任。</w:t>
      </w:r>
    </w:p>
    <w:p w14:paraId="51C95517">
      <w:pPr>
        <w:spacing w:line="360" w:lineRule="auto"/>
        <w:ind w:firstLine="422" w:firstLineChars="200"/>
        <w:outlineLvl w:val="0"/>
        <w:rPr>
          <w:rFonts w:ascii="宋体" w:hAnsi="宋体" w:cs="宋体"/>
          <w:b/>
          <w:color w:val="auto"/>
          <w:szCs w:val="21"/>
          <w:highlight w:val="none"/>
        </w:rPr>
      </w:pPr>
      <w:bookmarkStart w:id="516" w:name="_Toc3467"/>
      <w:bookmarkStart w:id="517" w:name="_Toc18959"/>
      <w:r>
        <w:rPr>
          <w:rFonts w:hint="eastAsia" w:ascii="宋体" w:hAnsi="宋体" w:cs="宋体"/>
          <w:b/>
          <w:color w:val="auto"/>
          <w:szCs w:val="21"/>
          <w:highlight w:val="none"/>
        </w:rPr>
        <w:t>25 通知和送达</w:t>
      </w:r>
      <w:bookmarkEnd w:id="516"/>
      <w:bookmarkEnd w:id="517"/>
    </w:p>
    <w:p w14:paraId="4E7F68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25.1任何一方因履行合同而以合同第一部分尾部所列明的传真或电子邮件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发出的所有通知、文件、材料，均视为已向对方当事人送达；任何一方变更上述送达方式或者地址的，应于</w:t>
      </w:r>
      <w:r>
        <w:rPr>
          <w:rFonts w:hint="eastAsia" w:ascii="宋体" w:hAnsi="宋体" w:cs="宋体"/>
          <w:color w:val="auto"/>
          <w:szCs w:val="21"/>
          <w:highlight w:val="none"/>
          <w:u w:val="single"/>
        </w:rPr>
        <w:t>3</w:t>
      </w:r>
      <w:r>
        <w:rPr>
          <w:rFonts w:hint="eastAsia" w:ascii="宋体" w:hAnsi="宋体" w:cs="宋体"/>
          <w:color w:val="auto"/>
          <w:szCs w:val="21"/>
          <w:highlight w:val="none"/>
        </w:rPr>
        <w:t>个工作日内书面通知对方当事人，在对方当事人收到有关变更通知之前，变更前的约定送达方式或者地址仍视为有效。</w:t>
      </w:r>
    </w:p>
    <w:p w14:paraId="2FC436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01AF9120">
      <w:pPr>
        <w:spacing w:line="360" w:lineRule="auto"/>
        <w:ind w:firstLine="422" w:firstLineChars="200"/>
        <w:outlineLvl w:val="0"/>
        <w:rPr>
          <w:rFonts w:ascii="宋体" w:hAnsi="宋体" w:cs="宋体"/>
          <w:b/>
          <w:color w:val="auto"/>
          <w:szCs w:val="21"/>
          <w:highlight w:val="none"/>
        </w:rPr>
      </w:pPr>
      <w:bookmarkStart w:id="518" w:name="_Toc3629"/>
      <w:bookmarkStart w:id="519" w:name="_Toc24947"/>
      <w:r>
        <w:rPr>
          <w:rFonts w:hint="eastAsia" w:ascii="宋体" w:hAnsi="宋体" w:cs="宋体"/>
          <w:b/>
          <w:color w:val="auto"/>
          <w:szCs w:val="21"/>
          <w:highlight w:val="none"/>
        </w:rPr>
        <w:t>26 计量单位</w:t>
      </w:r>
      <w:bookmarkEnd w:id="518"/>
      <w:bookmarkEnd w:id="519"/>
    </w:p>
    <w:p w14:paraId="463E47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除技术规范中另有规定外，合同的计量单位均使用国家法定计量单位。</w:t>
      </w:r>
    </w:p>
    <w:p w14:paraId="31F2A6B1">
      <w:pPr>
        <w:spacing w:line="360" w:lineRule="auto"/>
        <w:ind w:firstLine="422" w:firstLineChars="200"/>
        <w:outlineLvl w:val="0"/>
        <w:rPr>
          <w:rFonts w:ascii="宋体" w:hAnsi="宋体" w:cs="宋体"/>
          <w:b/>
          <w:color w:val="auto"/>
          <w:szCs w:val="21"/>
          <w:highlight w:val="none"/>
        </w:rPr>
      </w:pPr>
      <w:bookmarkStart w:id="520" w:name="_Toc27957"/>
      <w:bookmarkStart w:id="521" w:name="_Toc27345"/>
      <w:r>
        <w:rPr>
          <w:rFonts w:hint="eastAsia" w:ascii="宋体" w:hAnsi="宋体" w:cs="宋体"/>
          <w:b/>
          <w:color w:val="auto"/>
          <w:szCs w:val="21"/>
          <w:highlight w:val="none"/>
        </w:rPr>
        <w:t>27合同使用的文字和适用的法律</w:t>
      </w:r>
      <w:bookmarkEnd w:id="520"/>
      <w:bookmarkEnd w:id="521"/>
    </w:p>
    <w:p w14:paraId="436628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 合同使用汉语书</w:t>
      </w:r>
      <w:r>
        <w:rPr>
          <w:rFonts w:hint="eastAsia" w:ascii="宋体" w:hAnsi="宋体" w:cs="宋体"/>
          <w:color w:val="auto"/>
          <w:szCs w:val="21"/>
          <w:highlight w:val="none"/>
          <w:lang w:val="en-US" w:eastAsia="zh-CN"/>
        </w:rPr>
        <w:t>写</w:t>
      </w:r>
      <w:r>
        <w:rPr>
          <w:rFonts w:hint="eastAsia" w:ascii="宋体" w:hAnsi="宋体" w:cs="宋体"/>
          <w:color w:val="auto"/>
          <w:szCs w:val="21"/>
          <w:highlight w:val="none"/>
        </w:rPr>
        <w:t>、变更和解释；</w:t>
      </w:r>
    </w:p>
    <w:p w14:paraId="31DC59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 合同适用中华人民共和国法律。</w:t>
      </w:r>
    </w:p>
    <w:p w14:paraId="399E3070">
      <w:pPr>
        <w:spacing w:line="360" w:lineRule="auto"/>
        <w:ind w:firstLine="422" w:firstLineChars="200"/>
        <w:outlineLvl w:val="0"/>
        <w:rPr>
          <w:rFonts w:ascii="宋体" w:hAnsi="宋体" w:cs="宋体"/>
          <w:b/>
          <w:color w:val="auto"/>
          <w:szCs w:val="21"/>
          <w:highlight w:val="none"/>
        </w:rPr>
      </w:pPr>
      <w:bookmarkStart w:id="522" w:name="_Toc16677"/>
      <w:bookmarkStart w:id="523" w:name="_Toc28714"/>
      <w:r>
        <w:rPr>
          <w:rFonts w:hint="eastAsia" w:ascii="宋体" w:hAnsi="宋体" w:cs="宋体"/>
          <w:b/>
          <w:color w:val="auto"/>
          <w:szCs w:val="21"/>
          <w:highlight w:val="none"/>
        </w:rPr>
        <w:t>28合同效力</w:t>
      </w:r>
      <w:bookmarkEnd w:id="522"/>
      <w:bookmarkEnd w:id="523"/>
    </w:p>
    <w:p w14:paraId="3C5FF6C6">
      <w:pPr>
        <w:spacing w:line="360" w:lineRule="auto"/>
        <w:ind w:firstLine="420" w:firstLineChars="200"/>
        <w:rPr>
          <w:rFonts w:hint="eastAsia" w:ascii="宋体" w:hAnsi="宋体" w:cs="宋体"/>
          <w:b/>
          <w:color w:val="auto"/>
          <w:szCs w:val="21"/>
          <w:highlight w:val="none"/>
          <w:lang w:val="zh-CN"/>
        </w:rPr>
      </w:pPr>
      <w:r>
        <w:rPr>
          <w:rFonts w:hint="eastAsia" w:ascii="宋体" w:hAnsi="宋体" w:cs="宋体"/>
          <w:color w:val="auto"/>
          <w:szCs w:val="21"/>
          <w:highlight w:val="none"/>
        </w:rPr>
        <w:t>本合同一式四份，甲乙双方各两份，每份均具有同等法律效力。本合同自双方当事人盖章或者签字时生效。</w:t>
      </w:r>
    </w:p>
    <w:tbl>
      <w:tblPr>
        <w:tblStyle w:val="64"/>
        <w:tblW w:w="10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6"/>
        <w:gridCol w:w="2076"/>
        <w:gridCol w:w="1038"/>
        <w:gridCol w:w="1038"/>
        <w:gridCol w:w="2076"/>
        <w:gridCol w:w="2076"/>
      </w:tblGrid>
      <w:tr w14:paraId="5D84E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jc w:val="center"/>
        </w:trPr>
        <w:tc>
          <w:tcPr>
            <w:tcW w:w="5190" w:type="dxa"/>
            <w:gridSpan w:val="3"/>
          </w:tcPr>
          <w:p w14:paraId="5284DAE5">
            <w:pPr>
              <w:autoSpaceDE w:val="0"/>
              <w:autoSpaceDN w:val="0"/>
              <w:spacing w:line="560" w:lineRule="exact"/>
              <w:rPr>
                <w:rFonts w:hint="eastAsia" w:ascii="宋体" w:hAnsi="宋体" w:cs="宋体"/>
                <w:b/>
                <w:color w:val="auto"/>
                <w:szCs w:val="21"/>
                <w:highlight w:val="none"/>
                <w:vertAlign w:val="baseline"/>
                <w:lang w:val="zh-CN"/>
              </w:rPr>
            </w:pPr>
            <w:r>
              <w:rPr>
                <w:rFonts w:hint="eastAsia" w:ascii="宋体" w:hAnsi="宋体" w:cs="宋体"/>
                <w:b/>
                <w:color w:val="auto"/>
                <w:szCs w:val="21"/>
                <w:highlight w:val="none"/>
                <w:lang w:val="zh-CN"/>
              </w:rPr>
              <w:t>甲方</w:t>
            </w:r>
            <w:r>
              <w:rPr>
                <w:rFonts w:hint="eastAsia" w:ascii="宋体" w:hAnsi="宋体" w:cs="宋体"/>
                <w:color w:val="auto"/>
                <w:szCs w:val="21"/>
                <w:highlight w:val="none"/>
                <w:lang w:val="zh-CN"/>
              </w:rPr>
              <w:t>：</w:t>
            </w:r>
          </w:p>
        </w:tc>
        <w:tc>
          <w:tcPr>
            <w:tcW w:w="5190" w:type="dxa"/>
            <w:gridSpan w:val="3"/>
          </w:tcPr>
          <w:p w14:paraId="1D68BFB0">
            <w:pPr>
              <w:autoSpaceDE w:val="0"/>
              <w:autoSpaceDN w:val="0"/>
              <w:spacing w:line="560" w:lineRule="exact"/>
              <w:rPr>
                <w:rFonts w:hint="eastAsia" w:ascii="宋体" w:hAnsi="宋体" w:cs="宋体"/>
                <w:b/>
                <w:color w:val="auto"/>
                <w:szCs w:val="21"/>
                <w:highlight w:val="none"/>
                <w:vertAlign w:val="baseline"/>
                <w:lang w:val="zh-CN"/>
              </w:rPr>
            </w:pPr>
            <w:r>
              <w:rPr>
                <w:rFonts w:hint="eastAsia" w:ascii="宋体" w:hAnsi="宋体" w:cs="宋体"/>
                <w:b/>
                <w:color w:val="auto"/>
                <w:szCs w:val="21"/>
                <w:highlight w:val="none"/>
                <w:lang w:val="zh-CN"/>
              </w:rPr>
              <w:t>乙方</w:t>
            </w:r>
            <w:r>
              <w:rPr>
                <w:rFonts w:hint="eastAsia" w:ascii="宋体" w:hAnsi="宋体" w:cs="宋体"/>
                <w:color w:val="auto"/>
                <w:szCs w:val="21"/>
                <w:highlight w:val="none"/>
                <w:lang w:val="zh-CN"/>
              </w:rPr>
              <w:t>：</w:t>
            </w:r>
          </w:p>
        </w:tc>
      </w:tr>
      <w:tr w14:paraId="28031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190" w:type="dxa"/>
            <w:gridSpan w:val="3"/>
          </w:tcPr>
          <w:p w14:paraId="3B06DAD5">
            <w:pPr>
              <w:autoSpaceDE w:val="0"/>
              <w:autoSpaceDN w:val="0"/>
              <w:spacing w:line="560" w:lineRule="exact"/>
              <w:rPr>
                <w:rFonts w:hint="eastAsia" w:ascii="宋体" w:hAnsi="宋体" w:cs="宋体"/>
                <w:b/>
                <w:color w:val="auto"/>
                <w:szCs w:val="21"/>
                <w:highlight w:val="none"/>
                <w:vertAlign w:val="baseline"/>
                <w:lang w:val="zh-CN"/>
              </w:rPr>
            </w:pPr>
            <w:r>
              <w:rPr>
                <w:rFonts w:hint="eastAsia" w:ascii="宋体" w:hAnsi="宋体" w:cs="宋体"/>
                <w:color w:val="auto"/>
                <w:szCs w:val="21"/>
                <w:highlight w:val="none"/>
                <w:lang w:val="zh-CN"/>
              </w:rPr>
              <w:t>统一社会信用代码：</w:t>
            </w:r>
          </w:p>
        </w:tc>
        <w:tc>
          <w:tcPr>
            <w:tcW w:w="5190" w:type="dxa"/>
            <w:gridSpan w:val="3"/>
          </w:tcPr>
          <w:p w14:paraId="668D0346">
            <w:pPr>
              <w:autoSpaceDE w:val="0"/>
              <w:autoSpaceDN w:val="0"/>
              <w:spacing w:line="560" w:lineRule="exact"/>
              <w:rPr>
                <w:rFonts w:hint="eastAsia" w:ascii="宋体" w:hAnsi="宋体" w:cs="宋体"/>
                <w:b/>
                <w:color w:val="auto"/>
                <w:szCs w:val="21"/>
                <w:highlight w:val="none"/>
                <w:vertAlign w:val="baseline"/>
                <w:lang w:val="zh-CN"/>
              </w:rPr>
            </w:pPr>
            <w:r>
              <w:rPr>
                <w:rFonts w:hint="eastAsia" w:ascii="宋体" w:hAnsi="宋体" w:cs="宋体"/>
                <w:color w:val="auto"/>
                <w:szCs w:val="21"/>
                <w:highlight w:val="none"/>
                <w:lang w:val="zh-CN"/>
              </w:rPr>
              <w:t>统一社会信用代码或身份证号码：</w:t>
            </w:r>
          </w:p>
        </w:tc>
      </w:tr>
      <w:tr w14:paraId="38947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190" w:type="dxa"/>
            <w:gridSpan w:val="3"/>
          </w:tcPr>
          <w:p w14:paraId="76FB4014">
            <w:pPr>
              <w:autoSpaceDE w:val="0"/>
              <w:autoSpaceDN w:val="0"/>
              <w:spacing w:line="560" w:lineRule="exact"/>
              <w:rPr>
                <w:rFonts w:hint="eastAsia" w:ascii="宋体" w:hAnsi="宋体" w:cs="宋体"/>
                <w:b/>
                <w:color w:val="auto"/>
                <w:szCs w:val="21"/>
                <w:highlight w:val="none"/>
                <w:vertAlign w:val="baseline"/>
                <w:lang w:val="zh-CN"/>
              </w:rPr>
            </w:pPr>
            <w:r>
              <w:rPr>
                <w:rFonts w:hint="eastAsia" w:ascii="宋体" w:hAnsi="宋体" w:cs="宋体"/>
                <w:color w:val="auto"/>
                <w:szCs w:val="21"/>
                <w:highlight w:val="none"/>
                <w:lang w:val="en-US" w:eastAsia="zh-CN"/>
              </w:rPr>
              <w:t>地址</w:t>
            </w:r>
            <w:r>
              <w:rPr>
                <w:rFonts w:hint="eastAsia" w:ascii="宋体" w:hAnsi="宋体" w:cs="宋体"/>
                <w:color w:val="auto"/>
                <w:szCs w:val="21"/>
                <w:highlight w:val="none"/>
                <w:lang w:val="zh-CN"/>
              </w:rPr>
              <w:t>：</w:t>
            </w:r>
          </w:p>
        </w:tc>
        <w:tc>
          <w:tcPr>
            <w:tcW w:w="5190" w:type="dxa"/>
            <w:gridSpan w:val="3"/>
          </w:tcPr>
          <w:p w14:paraId="276A31A2">
            <w:pPr>
              <w:autoSpaceDE w:val="0"/>
              <w:autoSpaceDN w:val="0"/>
              <w:spacing w:line="560" w:lineRule="exact"/>
              <w:rPr>
                <w:rFonts w:hint="eastAsia" w:ascii="宋体" w:hAnsi="宋体" w:cs="宋体"/>
                <w:b/>
                <w:color w:val="auto"/>
                <w:szCs w:val="21"/>
                <w:highlight w:val="none"/>
                <w:vertAlign w:val="baseline"/>
                <w:lang w:val="zh-CN"/>
              </w:rPr>
            </w:pPr>
            <w:r>
              <w:rPr>
                <w:rFonts w:hint="eastAsia" w:ascii="宋体" w:hAnsi="宋体" w:cs="宋体"/>
                <w:color w:val="auto"/>
                <w:szCs w:val="21"/>
                <w:highlight w:val="none"/>
                <w:lang w:val="en-US" w:eastAsia="zh-CN"/>
              </w:rPr>
              <w:t>地址</w:t>
            </w:r>
            <w:r>
              <w:rPr>
                <w:rFonts w:hint="eastAsia" w:ascii="宋体" w:hAnsi="宋体" w:cs="宋体"/>
                <w:color w:val="auto"/>
                <w:szCs w:val="21"/>
                <w:highlight w:val="none"/>
                <w:lang w:val="zh-CN"/>
              </w:rPr>
              <w:t>：</w:t>
            </w:r>
          </w:p>
        </w:tc>
      </w:tr>
      <w:tr w14:paraId="6FB94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190" w:type="dxa"/>
            <w:gridSpan w:val="3"/>
          </w:tcPr>
          <w:p w14:paraId="29D52847">
            <w:pPr>
              <w:autoSpaceDE w:val="0"/>
              <w:autoSpaceDN w:val="0"/>
              <w:spacing w:line="560" w:lineRule="exact"/>
              <w:rPr>
                <w:rFonts w:hint="eastAsia" w:ascii="宋体" w:hAnsi="宋体" w:cs="宋体"/>
                <w:b/>
                <w:color w:val="auto"/>
                <w:szCs w:val="21"/>
                <w:highlight w:val="none"/>
                <w:vertAlign w:val="baseline"/>
                <w:lang w:val="zh-CN"/>
              </w:rPr>
            </w:pPr>
            <w:r>
              <w:rPr>
                <w:rFonts w:hint="eastAsia" w:ascii="宋体" w:hAnsi="宋体" w:cs="宋体"/>
                <w:color w:val="auto"/>
                <w:szCs w:val="21"/>
                <w:highlight w:val="none"/>
                <w:lang w:val="zh-CN"/>
              </w:rPr>
              <w:t>法定代表人或授权代表（签字）：</w:t>
            </w:r>
          </w:p>
        </w:tc>
        <w:tc>
          <w:tcPr>
            <w:tcW w:w="5190" w:type="dxa"/>
            <w:gridSpan w:val="3"/>
          </w:tcPr>
          <w:p w14:paraId="2EDAB27B">
            <w:pPr>
              <w:autoSpaceDE w:val="0"/>
              <w:autoSpaceDN w:val="0"/>
              <w:spacing w:line="560" w:lineRule="exact"/>
              <w:rPr>
                <w:rFonts w:hint="eastAsia" w:ascii="宋体" w:hAnsi="宋体" w:cs="宋体"/>
                <w:b/>
                <w:color w:val="auto"/>
                <w:szCs w:val="21"/>
                <w:highlight w:val="none"/>
                <w:vertAlign w:val="baseline"/>
                <w:lang w:val="zh-CN"/>
              </w:rPr>
            </w:pPr>
            <w:r>
              <w:rPr>
                <w:rFonts w:hint="eastAsia" w:ascii="宋体" w:hAnsi="宋体" w:cs="宋体"/>
                <w:color w:val="auto"/>
                <w:szCs w:val="21"/>
                <w:highlight w:val="none"/>
                <w:lang w:val="zh-CN"/>
              </w:rPr>
              <w:t>法定代表人或授权代表（签字）：</w:t>
            </w:r>
          </w:p>
        </w:tc>
      </w:tr>
      <w:tr w14:paraId="23F7F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5190" w:type="dxa"/>
            <w:gridSpan w:val="3"/>
          </w:tcPr>
          <w:p w14:paraId="361004B5">
            <w:pPr>
              <w:autoSpaceDE w:val="0"/>
              <w:autoSpaceDN w:val="0"/>
              <w:spacing w:line="560" w:lineRule="exact"/>
              <w:rPr>
                <w:rFonts w:hint="eastAsia" w:ascii="宋体" w:hAnsi="宋体" w:cs="宋体"/>
                <w:b/>
                <w:color w:val="auto"/>
                <w:szCs w:val="21"/>
                <w:highlight w:val="none"/>
                <w:vertAlign w:val="baseline"/>
                <w:lang w:val="zh-CN"/>
              </w:rPr>
            </w:pPr>
            <w:r>
              <w:rPr>
                <w:rFonts w:hint="eastAsia" w:ascii="宋体" w:hAnsi="宋体" w:cs="宋体"/>
                <w:color w:val="auto"/>
                <w:szCs w:val="21"/>
                <w:highlight w:val="none"/>
                <w:lang w:val="zh-CN"/>
              </w:rPr>
              <w:t>联系人：</w:t>
            </w:r>
          </w:p>
        </w:tc>
        <w:tc>
          <w:tcPr>
            <w:tcW w:w="5190" w:type="dxa"/>
            <w:gridSpan w:val="3"/>
          </w:tcPr>
          <w:p w14:paraId="630C3E2C">
            <w:pPr>
              <w:autoSpaceDE w:val="0"/>
              <w:autoSpaceDN w:val="0"/>
              <w:spacing w:line="560" w:lineRule="exact"/>
              <w:rPr>
                <w:rFonts w:hint="eastAsia" w:ascii="宋体" w:hAnsi="宋体" w:cs="宋体"/>
                <w:b/>
                <w:color w:val="auto"/>
                <w:szCs w:val="21"/>
                <w:highlight w:val="none"/>
                <w:vertAlign w:val="baseline"/>
                <w:lang w:val="zh-CN"/>
              </w:rPr>
            </w:pPr>
            <w:r>
              <w:rPr>
                <w:rFonts w:hint="eastAsia" w:ascii="宋体" w:hAnsi="宋体" w:cs="宋体"/>
                <w:color w:val="auto"/>
                <w:szCs w:val="21"/>
                <w:highlight w:val="none"/>
                <w:lang w:val="zh-CN"/>
              </w:rPr>
              <w:t>联系人：</w:t>
            </w:r>
          </w:p>
        </w:tc>
      </w:tr>
      <w:tr w14:paraId="209F9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5190" w:type="dxa"/>
            <w:gridSpan w:val="3"/>
          </w:tcPr>
          <w:p w14:paraId="05DA424C">
            <w:pPr>
              <w:autoSpaceDE w:val="0"/>
              <w:autoSpaceDN w:val="0"/>
              <w:spacing w:line="56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电话：</w:t>
            </w:r>
          </w:p>
        </w:tc>
        <w:tc>
          <w:tcPr>
            <w:tcW w:w="5190" w:type="dxa"/>
            <w:gridSpan w:val="3"/>
          </w:tcPr>
          <w:p w14:paraId="37F6ADE7">
            <w:pPr>
              <w:autoSpaceDE w:val="0"/>
              <w:autoSpaceDN w:val="0"/>
              <w:spacing w:line="56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电话：</w:t>
            </w:r>
          </w:p>
        </w:tc>
      </w:tr>
      <w:tr w14:paraId="75C7E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5190" w:type="dxa"/>
            <w:gridSpan w:val="3"/>
          </w:tcPr>
          <w:p w14:paraId="60483D59">
            <w:pPr>
              <w:autoSpaceDE w:val="0"/>
              <w:autoSpaceDN w:val="0"/>
              <w:spacing w:line="56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传真：</w:t>
            </w:r>
          </w:p>
        </w:tc>
        <w:tc>
          <w:tcPr>
            <w:tcW w:w="5190" w:type="dxa"/>
            <w:gridSpan w:val="3"/>
          </w:tcPr>
          <w:p w14:paraId="26666AD2">
            <w:pPr>
              <w:autoSpaceDE w:val="0"/>
              <w:autoSpaceDN w:val="0"/>
              <w:spacing w:line="56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传真：</w:t>
            </w:r>
          </w:p>
        </w:tc>
      </w:tr>
      <w:tr w14:paraId="3F068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5190" w:type="dxa"/>
            <w:gridSpan w:val="3"/>
          </w:tcPr>
          <w:p w14:paraId="72A72584">
            <w:pPr>
              <w:autoSpaceDE w:val="0"/>
              <w:autoSpaceDN w:val="0"/>
              <w:spacing w:line="56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电子邮箱：</w:t>
            </w:r>
          </w:p>
        </w:tc>
        <w:tc>
          <w:tcPr>
            <w:tcW w:w="5190" w:type="dxa"/>
            <w:gridSpan w:val="3"/>
          </w:tcPr>
          <w:p w14:paraId="5EF7D0CB">
            <w:pPr>
              <w:autoSpaceDE w:val="0"/>
              <w:autoSpaceDN w:val="0"/>
              <w:spacing w:line="56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电子邮箱：</w:t>
            </w:r>
          </w:p>
        </w:tc>
      </w:tr>
      <w:tr w14:paraId="24CF6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5190" w:type="dxa"/>
            <w:gridSpan w:val="3"/>
            <w:vAlign w:val="top"/>
          </w:tcPr>
          <w:p w14:paraId="316AA93E">
            <w:pPr>
              <w:autoSpaceDE w:val="0"/>
              <w:autoSpaceDN w:val="0"/>
              <w:spacing w:line="560" w:lineRule="exact"/>
              <w:rPr>
                <w:rFonts w:hint="eastAsia" w:ascii="宋体" w:hAnsi="宋体" w:cs="宋体"/>
                <w:color w:val="auto"/>
                <w:szCs w:val="21"/>
                <w:highlight w:val="none"/>
                <w:lang w:val="zh-CN"/>
              </w:rPr>
            </w:pPr>
            <w:r>
              <w:rPr>
                <w:rFonts w:hint="eastAsia" w:ascii="宋体" w:hAnsi="宋体" w:cs="宋体"/>
                <w:color w:val="auto"/>
                <w:szCs w:val="21"/>
                <w:highlight w:val="none"/>
              </w:rPr>
              <w:t>开户银行：</w:t>
            </w:r>
          </w:p>
        </w:tc>
        <w:tc>
          <w:tcPr>
            <w:tcW w:w="5190" w:type="dxa"/>
            <w:gridSpan w:val="3"/>
          </w:tcPr>
          <w:p w14:paraId="6BD5617B">
            <w:pPr>
              <w:autoSpaceDE w:val="0"/>
              <w:autoSpaceDN w:val="0"/>
              <w:spacing w:line="560" w:lineRule="exact"/>
              <w:rPr>
                <w:rFonts w:hint="eastAsia" w:ascii="宋体" w:hAnsi="宋体" w:cs="宋体"/>
                <w:color w:val="auto"/>
                <w:szCs w:val="21"/>
                <w:highlight w:val="none"/>
                <w:lang w:val="zh-CN"/>
              </w:rPr>
            </w:pPr>
            <w:r>
              <w:rPr>
                <w:rFonts w:hint="eastAsia" w:ascii="宋体" w:hAnsi="宋体" w:cs="宋体"/>
                <w:color w:val="auto"/>
                <w:szCs w:val="21"/>
                <w:highlight w:val="none"/>
              </w:rPr>
              <w:t>开户银行：</w:t>
            </w:r>
          </w:p>
        </w:tc>
      </w:tr>
      <w:tr w14:paraId="52DD4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5190" w:type="dxa"/>
            <w:gridSpan w:val="3"/>
            <w:vAlign w:val="top"/>
          </w:tcPr>
          <w:p w14:paraId="4A388999">
            <w:pPr>
              <w:autoSpaceDE w:val="0"/>
              <w:autoSpaceDN w:val="0"/>
              <w:spacing w:line="560" w:lineRule="exact"/>
              <w:rPr>
                <w:rFonts w:hint="eastAsia" w:ascii="宋体" w:hAnsi="宋体" w:cs="宋体"/>
                <w:color w:val="auto"/>
                <w:szCs w:val="21"/>
                <w:highlight w:val="none"/>
                <w:lang w:val="zh-CN"/>
              </w:rPr>
            </w:pPr>
            <w:r>
              <w:rPr>
                <w:rFonts w:hint="eastAsia" w:ascii="宋体" w:hAnsi="宋体" w:cs="宋体"/>
                <w:color w:val="auto"/>
                <w:szCs w:val="21"/>
                <w:highlight w:val="none"/>
              </w:rPr>
              <w:t>开户名称：</w:t>
            </w:r>
          </w:p>
        </w:tc>
        <w:tc>
          <w:tcPr>
            <w:tcW w:w="5190" w:type="dxa"/>
            <w:gridSpan w:val="3"/>
          </w:tcPr>
          <w:p w14:paraId="07477249">
            <w:pPr>
              <w:autoSpaceDE w:val="0"/>
              <w:autoSpaceDN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开户名称：</w:t>
            </w:r>
          </w:p>
        </w:tc>
      </w:tr>
      <w:tr w14:paraId="172FF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5190" w:type="dxa"/>
            <w:gridSpan w:val="3"/>
            <w:vAlign w:val="top"/>
          </w:tcPr>
          <w:p w14:paraId="6978A685">
            <w:pPr>
              <w:autoSpaceDE w:val="0"/>
              <w:autoSpaceDN w:val="0"/>
              <w:spacing w:line="560" w:lineRule="exact"/>
              <w:rPr>
                <w:rFonts w:hint="eastAsia" w:ascii="宋体" w:hAnsi="宋体" w:cs="宋体"/>
                <w:color w:val="auto"/>
                <w:szCs w:val="21"/>
                <w:highlight w:val="none"/>
                <w:lang w:val="zh-CN"/>
              </w:rPr>
            </w:pPr>
            <w:r>
              <w:rPr>
                <w:rFonts w:hint="eastAsia" w:ascii="宋体" w:hAnsi="宋体" w:cs="宋体"/>
                <w:color w:val="auto"/>
                <w:szCs w:val="21"/>
                <w:highlight w:val="none"/>
              </w:rPr>
              <w:t>开户账号：</w:t>
            </w:r>
          </w:p>
        </w:tc>
        <w:tc>
          <w:tcPr>
            <w:tcW w:w="5190" w:type="dxa"/>
            <w:gridSpan w:val="3"/>
          </w:tcPr>
          <w:p w14:paraId="3A9D0F1B">
            <w:pPr>
              <w:autoSpaceDE w:val="0"/>
              <w:autoSpaceDN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开户账号：</w:t>
            </w:r>
          </w:p>
        </w:tc>
      </w:tr>
      <w:tr w14:paraId="62966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380" w:type="dxa"/>
            <w:gridSpan w:val="6"/>
            <w:vAlign w:val="top"/>
          </w:tcPr>
          <w:p w14:paraId="55C1795D">
            <w:pPr>
              <w:autoSpaceDE w:val="0"/>
              <w:autoSpaceDN w:val="0"/>
              <w:spacing w:line="5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各区县盖章处：</w:t>
            </w:r>
          </w:p>
        </w:tc>
      </w:tr>
      <w:tr w14:paraId="229D6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6" w:hRule="atLeast"/>
          <w:jc w:val="center"/>
        </w:trPr>
        <w:tc>
          <w:tcPr>
            <w:tcW w:w="2076" w:type="dxa"/>
            <w:tcBorders>
              <w:right w:val="nil"/>
            </w:tcBorders>
            <w:vAlign w:val="top"/>
          </w:tcPr>
          <w:p w14:paraId="0C9C38F4">
            <w:pPr>
              <w:autoSpaceDE w:val="0"/>
              <w:autoSpaceDN w:val="0"/>
              <w:spacing w:line="5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江北</w:t>
            </w:r>
          </w:p>
        </w:tc>
        <w:tc>
          <w:tcPr>
            <w:tcW w:w="2076" w:type="dxa"/>
            <w:tcBorders>
              <w:left w:val="nil"/>
              <w:right w:val="nil"/>
            </w:tcBorders>
            <w:vAlign w:val="top"/>
          </w:tcPr>
          <w:p w14:paraId="4855C214">
            <w:pPr>
              <w:autoSpaceDE w:val="0"/>
              <w:autoSpaceDN w:val="0"/>
              <w:spacing w:line="5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北仑</w:t>
            </w:r>
          </w:p>
        </w:tc>
        <w:tc>
          <w:tcPr>
            <w:tcW w:w="2076" w:type="dxa"/>
            <w:gridSpan w:val="2"/>
            <w:tcBorders>
              <w:left w:val="nil"/>
              <w:right w:val="nil"/>
            </w:tcBorders>
            <w:vAlign w:val="top"/>
          </w:tcPr>
          <w:p w14:paraId="70CE7E04">
            <w:pPr>
              <w:autoSpaceDE w:val="0"/>
              <w:autoSpaceDN w:val="0"/>
              <w:spacing w:line="5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宁海</w:t>
            </w:r>
          </w:p>
        </w:tc>
        <w:tc>
          <w:tcPr>
            <w:tcW w:w="2076" w:type="dxa"/>
            <w:tcBorders>
              <w:left w:val="nil"/>
              <w:right w:val="nil"/>
            </w:tcBorders>
          </w:tcPr>
          <w:p w14:paraId="0B1E790D">
            <w:pPr>
              <w:autoSpaceDE w:val="0"/>
              <w:autoSpaceDN w:val="0"/>
              <w:spacing w:line="56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慈溪</w:t>
            </w:r>
          </w:p>
        </w:tc>
        <w:tc>
          <w:tcPr>
            <w:tcW w:w="2076" w:type="dxa"/>
            <w:tcBorders>
              <w:left w:val="nil"/>
            </w:tcBorders>
          </w:tcPr>
          <w:p w14:paraId="5597D95D">
            <w:pPr>
              <w:autoSpaceDE w:val="0"/>
              <w:autoSpaceDN w:val="0"/>
              <w:spacing w:line="5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海曙</w:t>
            </w:r>
          </w:p>
        </w:tc>
      </w:tr>
      <w:tr w14:paraId="01A27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6" w:hRule="atLeast"/>
          <w:jc w:val="center"/>
        </w:trPr>
        <w:tc>
          <w:tcPr>
            <w:tcW w:w="2076" w:type="dxa"/>
            <w:tcBorders>
              <w:right w:val="nil"/>
            </w:tcBorders>
            <w:vAlign w:val="top"/>
          </w:tcPr>
          <w:p w14:paraId="2C025D71">
            <w:pPr>
              <w:autoSpaceDE w:val="0"/>
              <w:autoSpaceDN w:val="0"/>
              <w:spacing w:line="5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象山</w:t>
            </w:r>
          </w:p>
        </w:tc>
        <w:tc>
          <w:tcPr>
            <w:tcW w:w="2076" w:type="dxa"/>
            <w:tcBorders>
              <w:left w:val="nil"/>
              <w:right w:val="nil"/>
            </w:tcBorders>
            <w:shd w:val="clear" w:color="auto" w:fill="auto"/>
            <w:vAlign w:val="top"/>
          </w:tcPr>
          <w:p w14:paraId="53ACD846">
            <w:pPr>
              <w:autoSpaceDE w:val="0"/>
              <w:autoSpaceDN w:val="0"/>
              <w:spacing w:line="5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余姚</w:t>
            </w:r>
          </w:p>
        </w:tc>
        <w:tc>
          <w:tcPr>
            <w:tcW w:w="2076" w:type="dxa"/>
            <w:gridSpan w:val="2"/>
            <w:tcBorders>
              <w:left w:val="nil"/>
              <w:right w:val="nil"/>
            </w:tcBorders>
            <w:shd w:val="clear" w:color="auto" w:fill="auto"/>
            <w:vAlign w:val="top"/>
          </w:tcPr>
          <w:p w14:paraId="26FEE247">
            <w:pPr>
              <w:autoSpaceDE w:val="0"/>
              <w:autoSpaceDN w:val="0"/>
              <w:spacing w:line="5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镇海</w:t>
            </w:r>
          </w:p>
        </w:tc>
        <w:tc>
          <w:tcPr>
            <w:tcW w:w="2076" w:type="dxa"/>
            <w:tcBorders>
              <w:left w:val="nil"/>
              <w:right w:val="nil"/>
            </w:tcBorders>
            <w:shd w:val="clear" w:color="auto" w:fill="auto"/>
            <w:vAlign w:val="top"/>
          </w:tcPr>
          <w:p w14:paraId="172BE2AE">
            <w:pPr>
              <w:autoSpaceDE w:val="0"/>
              <w:autoSpaceDN w:val="0"/>
              <w:spacing w:line="56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鄞州</w:t>
            </w:r>
          </w:p>
        </w:tc>
        <w:tc>
          <w:tcPr>
            <w:tcW w:w="2076" w:type="dxa"/>
            <w:tcBorders>
              <w:left w:val="nil"/>
            </w:tcBorders>
          </w:tcPr>
          <w:p w14:paraId="276F5B14">
            <w:pPr>
              <w:autoSpaceDE w:val="0"/>
              <w:autoSpaceDN w:val="0"/>
              <w:spacing w:line="560" w:lineRule="exact"/>
              <w:rPr>
                <w:rFonts w:hint="eastAsia" w:ascii="宋体" w:hAnsi="宋体" w:cs="宋体"/>
                <w:color w:val="auto"/>
                <w:szCs w:val="21"/>
                <w:highlight w:val="none"/>
              </w:rPr>
            </w:pPr>
          </w:p>
        </w:tc>
      </w:tr>
    </w:tbl>
    <w:p w14:paraId="09FBECD4"/>
    <w:p w14:paraId="6F384A49">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5A6BC16C">
      <w:pPr>
        <w:pStyle w:val="3"/>
        <w:rPr>
          <w:color w:val="auto"/>
          <w:highlight w:val="none"/>
        </w:rPr>
      </w:pPr>
      <w:bookmarkStart w:id="524" w:name="_Toc22703"/>
      <w:r>
        <w:rPr>
          <w:rFonts w:hint="eastAsia"/>
          <w:color w:val="auto"/>
          <w:highlight w:val="none"/>
        </w:rPr>
        <w:t>第六部分</w:t>
      </w:r>
      <w:bookmarkEnd w:id="442"/>
      <w:r>
        <w:rPr>
          <w:rFonts w:hint="eastAsia"/>
          <w:color w:val="auto"/>
          <w:highlight w:val="none"/>
        </w:rPr>
        <w:t xml:space="preserve"> </w:t>
      </w:r>
      <w:bookmarkEnd w:id="443"/>
      <w:r>
        <w:rPr>
          <w:rFonts w:hint="eastAsia"/>
          <w:color w:val="auto"/>
          <w:highlight w:val="none"/>
        </w:rPr>
        <w:t>应提交的有关格式范例</w:t>
      </w:r>
      <w:bookmarkEnd w:id="445"/>
      <w:bookmarkEnd w:id="446"/>
      <w:bookmarkEnd w:id="524"/>
    </w:p>
    <w:p w14:paraId="7B09963F">
      <w:pPr>
        <w:spacing w:line="360" w:lineRule="auto"/>
        <w:jc w:val="center"/>
        <w:rPr>
          <w:rFonts w:ascii="宋体" w:hAnsi="宋体" w:cs="宋体"/>
          <w:b/>
          <w:color w:val="auto"/>
          <w:kern w:val="0"/>
          <w:sz w:val="36"/>
          <w:szCs w:val="36"/>
          <w:highlight w:val="none"/>
        </w:rPr>
      </w:pPr>
    </w:p>
    <w:p w14:paraId="108B8ACD">
      <w:pPr>
        <w:spacing w:line="360" w:lineRule="auto"/>
        <w:jc w:val="center"/>
        <w:outlineLvl w:val="1"/>
        <w:rPr>
          <w:rFonts w:ascii="宋体" w:hAnsi="宋体" w:cs="宋体"/>
          <w:b/>
          <w:color w:val="auto"/>
          <w:kern w:val="0"/>
          <w:sz w:val="36"/>
          <w:szCs w:val="36"/>
          <w:highlight w:val="none"/>
        </w:rPr>
      </w:pPr>
      <w:bookmarkStart w:id="525" w:name="_Toc29848"/>
      <w:r>
        <w:rPr>
          <w:rFonts w:hint="eastAsia" w:ascii="宋体" w:hAnsi="宋体" w:cs="宋体"/>
          <w:b/>
          <w:color w:val="auto"/>
          <w:kern w:val="0"/>
          <w:sz w:val="36"/>
          <w:szCs w:val="36"/>
          <w:highlight w:val="none"/>
        </w:rPr>
        <w:t>资格文件部分</w:t>
      </w:r>
      <w:bookmarkEnd w:id="525"/>
    </w:p>
    <w:p w14:paraId="586F3649">
      <w:pPr>
        <w:jc w:val="center"/>
        <w:rPr>
          <w:rFonts w:ascii="宋体" w:hAnsi="宋体" w:cs="宋体"/>
          <w:b/>
          <w:bCs/>
          <w:color w:val="auto"/>
          <w:sz w:val="36"/>
          <w:szCs w:val="36"/>
          <w:highlight w:val="none"/>
        </w:rPr>
      </w:pPr>
      <w:bookmarkStart w:id="526" w:name="_Toc26717"/>
      <w:r>
        <w:rPr>
          <w:rFonts w:hint="eastAsia" w:ascii="宋体" w:hAnsi="宋体" w:cs="宋体"/>
          <w:b/>
          <w:bCs/>
          <w:color w:val="auto"/>
          <w:sz w:val="36"/>
          <w:szCs w:val="36"/>
          <w:highlight w:val="none"/>
        </w:rPr>
        <w:t>目录</w:t>
      </w:r>
      <w:bookmarkEnd w:id="526"/>
    </w:p>
    <w:p w14:paraId="53E891B3">
      <w:pPr>
        <w:spacing w:line="360" w:lineRule="auto"/>
        <w:jc w:val="center"/>
        <w:rPr>
          <w:rFonts w:ascii="宋体" w:hAnsi="宋体" w:cs="宋体"/>
          <w:b/>
          <w:color w:val="auto"/>
          <w:kern w:val="0"/>
          <w:sz w:val="36"/>
          <w:szCs w:val="36"/>
          <w:highlight w:val="none"/>
        </w:rPr>
      </w:pPr>
    </w:p>
    <w:p w14:paraId="6F6609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（1）有效的企业法人营业执照（或事业法人登记证）、其他组织（个体工商户）的营业执照或者民办非企业单位登记证书…………………………………………（页码）</w:t>
      </w:r>
    </w:p>
    <w:p w14:paraId="6A171CC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（2）符合参加政府采购活动应当具备的一般条件的承诺函………………（页码）</w:t>
      </w:r>
    </w:p>
    <w:p w14:paraId="46CB9D1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094E6F3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w:t>
      </w:r>
      <w:bookmarkStart w:id="527" w:name="_Toc1638"/>
      <w:r>
        <w:rPr>
          <w:rFonts w:hint="eastAsia" w:ascii="宋体" w:hAnsi="宋体" w:cs="宋体"/>
          <w:color w:val="auto"/>
          <w:sz w:val="24"/>
          <w:highlight w:val="none"/>
        </w:rPr>
        <w:t>业务专用章使用说明函…………………………………………………（页码）</w:t>
      </w:r>
      <w:bookmarkEnd w:id="527"/>
    </w:p>
    <w:p w14:paraId="435A3944">
      <w:pPr>
        <w:spacing w:line="360" w:lineRule="auto"/>
        <w:ind w:firstLine="480" w:firstLineChars="200"/>
        <w:rPr>
          <w:rFonts w:ascii="宋体" w:hAnsi="宋体" w:cs="宋体"/>
          <w:color w:val="auto"/>
          <w:sz w:val="24"/>
          <w:highlight w:val="none"/>
        </w:rPr>
      </w:pPr>
    </w:p>
    <w:p w14:paraId="3D00E42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一、有效的企业法人营业执照（或事业法人登记证）、其他组织（个体工商户）的营业执照或者民办非企业单位登记证书 </w:t>
      </w:r>
    </w:p>
    <w:p w14:paraId="7E6AC782">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0D8B37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二、符合参加政府采购活动应当具备的一般条件的承诺函</w:t>
      </w:r>
    </w:p>
    <w:p w14:paraId="3B7795B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1C2B9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项目编号：（采购编号）</w:t>
      </w:r>
      <w:r>
        <w:rPr>
          <w:rFonts w:hint="eastAsia" w:ascii="宋体" w:hAnsi="宋体" w:cs="宋体"/>
          <w:color w:val="auto"/>
          <w:sz w:val="24"/>
          <w:highlight w:val="none"/>
        </w:rPr>
        <w:t>】政府采购活动，郑重承诺：</w:t>
      </w:r>
    </w:p>
    <w:p w14:paraId="44FBDF4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6CF66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FAB07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D3740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6FD4B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39130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F3644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FF771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24E244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97258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11DF37A">
      <w:pPr>
        <w:snapToGrid w:val="0"/>
        <w:spacing w:line="360" w:lineRule="auto"/>
        <w:ind w:firstLine="5520" w:firstLineChars="2300"/>
        <w:rPr>
          <w:rFonts w:ascii="宋体" w:hAnsi="宋体" w:cs="宋体"/>
          <w:color w:val="auto"/>
          <w:kern w:val="0"/>
          <w:sz w:val="24"/>
          <w:highlight w:val="none"/>
          <w:lang w:val="zh-CN"/>
        </w:rPr>
      </w:pPr>
    </w:p>
    <w:p w14:paraId="01F7D504">
      <w:pPr>
        <w:snapToGrid w:val="0"/>
        <w:spacing w:line="360" w:lineRule="auto"/>
        <w:ind w:firstLine="5520" w:firstLineChars="2300"/>
        <w:rPr>
          <w:rFonts w:ascii="宋体" w:hAnsi="宋体" w:cs="宋体"/>
          <w:color w:val="auto"/>
          <w:kern w:val="0"/>
          <w:sz w:val="24"/>
          <w:highlight w:val="none"/>
          <w:lang w:val="zh-CN"/>
        </w:rPr>
      </w:pPr>
    </w:p>
    <w:p w14:paraId="28F00A0E">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19C4219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1383EAB">
      <w:pPr>
        <w:snapToGrid w:val="0"/>
        <w:spacing w:line="360" w:lineRule="auto"/>
        <w:ind w:right="480"/>
        <w:jc w:val="center"/>
        <w:rPr>
          <w:rFonts w:ascii="宋体" w:hAnsi="宋体" w:cs="宋体"/>
          <w:b/>
          <w:color w:val="auto"/>
          <w:kern w:val="0"/>
          <w:sz w:val="32"/>
          <w:szCs w:val="32"/>
          <w:highlight w:val="none"/>
        </w:rPr>
      </w:pPr>
    </w:p>
    <w:p w14:paraId="24BD8D1C">
      <w:pPr>
        <w:snapToGrid w:val="0"/>
        <w:spacing w:line="360" w:lineRule="auto"/>
        <w:ind w:right="480"/>
        <w:jc w:val="center"/>
        <w:rPr>
          <w:rFonts w:ascii="宋体" w:hAnsi="宋体" w:cs="宋体"/>
          <w:b/>
          <w:color w:val="auto"/>
          <w:kern w:val="0"/>
          <w:sz w:val="32"/>
          <w:szCs w:val="32"/>
          <w:highlight w:val="none"/>
        </w:rPr>
      </w:pPr>
    </w:p>
    <w:p w14:paraId="5EC0C8BA">
      <w:pPr>
        <w:snapToGrid w:val="0"/>
        <w:spacing w:line="360" w:lineRule="auto"/>
        <w:ind w:right="480"/>
        <w:jc w:val="center"/>
        <w:rPr>
          <w:rFonts w:ascii="宋体" w:hAnsi="宋体" w:cs="宋体"/>
          <w:b/>
          <w:color w:val="auto"/>
          <w:kern w:val="0"/>
          <w:sz w:val="32"/>
          <w:szCs w:val="32"/>
          <w:highlight w:val="none"/>
        </w:rPr>
      </w:pPr>
    </w:p>
    <w:p w14:paraId="10B0F1FC">
      <w:pPr>
        <w:rPr>
          <w:rFonts w:ascii="宋体" w:hAnsi="宋体" w:cs="宋体"/>
          <w:color w:val="auto"/>
          <w:highlight w:val="none"/>
        </w:rPr>
      </w:pPr>
    </w:p>
    <w:p w14:paraId="527328CC">
      <w:pPr>
        <w:snapToGrid w:val="0"/>
        <w:spacing w:line="360" w:lineRule="auto"/>
        <w:ind w:right="480"/>
        <w:jc w:val="center"/>
        <w:rPr>
          <w:rFonts w:ascii="宋体" w:hAnsi="宋体" w:cs="宋体"/>
          <w:b/>
          <w:color w:val="auto"/>
          <w:kern w:val="0"/>
          <w:sz w:val="32"/>
          <w:szCs w:val="32"/>
          <w:highlight w:val="none"/>
        </w:rPr>
      </w:pPr>
    </w:p>
    <w:p w14:paraId="4E2BCA0B">
      <w:pPr>
        <w:pStyle w:val="62"/>
        <w:ind w:firstLine="420"/>
        <w:rPr>
          <w:rFonts w:cs="宋体"/>
          <w:color w:val="auto"/>
          <w:highlight w:val="none"/>
        </w:rPr>
      </w:pPr>
    </w:p>
    <w:p w14:paraId="38C417EA">
      <w:pPr>
        <w:snapToGrid w:val="0"/>
        <w:spacing w:line="360" w:lineRule="auto"/>
        <w:ind w:right="480"/>
        <w:jc w:val="center"/>
        <w:rPr>
          <w:rFonts w:ascii="宋体" w:hAnsi="宋体" w:cs="宋体"/>
          <w:b/>
          <w:color w:val="auto"/>
          <w:kern w:val="0"/>
          <w:sz w:val="32"/>
          <w:szCs w:val="32"/>
          <w:highlight w:val="none"/>
        </w:rPr>
      </w:pPr>
    </w:p>
    <w:p w14:paraId="10A087FB">
      <w:pPr>
        <w:pStyle w:val="24"/>
        <w:rPr>
          <w:rFonts w:hAnsi="宋体" w:cs="宋体"/>
          <w:b/>
          <w:color w:val="auto"/>
          <w:kern w:val="0"/>
          <w:sz w:val="32"/>
          <w:szCs w:val="32"/>
          <w:highlight w:val="none"/>
        </w:rPr>
      </w:pPr>
    </w:p>
    <w:p w14:paraId="32AAACD3">
      <w:pPr>
        <w:rPr>
          <w:rFonts w:ascii="宋体" w:hAnsi="宋体" w:cs="宋体"/>
          <w:color w:val="auto"/>
          <w:highlight w:val="none"/>
        </w:rPr>
      </w:pPr>
    </w:p>
    <w:p w14:paraId="2F87924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C8C133A">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B1C09B6">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.专门面向中小企业，货物全部由符合政策要求的中小企业（或小微企业）制造的，提供相应的中小企业声明函（附件5）。 </w:t>
      </w:r>
    </w:p>
    <w:p w14:paraId="448ED34C">
      <w:pPr>
        <w:widowControl/>
        <w:spacing w:line="360" w:lineRule="auto"/>
        <w:ind w:firstLine="480"/>
        <w:jc w:val="left"/>
        <w:rPr>
          <w:rFonts w:ascii="宋体" w:hAnsi="宋体" w:cs="宋体"/>
          <w:color w:val="auto"/>
          <w:sz w:val="24"/>
          <w:highlight w:val="none"/>
        </w:rPr>
      </w:pPr>
    </w:p>
    <w:p w14:paraId="4D292D1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要求以联合体形式参加的，提供联合协议（附件3）和中小企业声明函（附件5），联合协议中中小企业合同金额应当达到招标公告载明的比例；如果供应商本身提供所有标的均由中小企业制造的，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EF5FF5B">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3B33F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要求合同分包的，提供分包意向协议（附件4）和中小企业声明函（附件5），分包意向协议中中小企业合同金额应当达到招标公告载明的比例；如果供应商本身提供所有标的均由中小企业制造的，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74A7FF3">
      <w:pPr>
        <w:widowControl/>
        <w:spacing w:line="360" w:lineRule="auto"/>
        <w:ind w:left="150"/>
        <w:jc w:val="center"/>
        <w:rPr>
          <w:rFonts w:ascii="宋体" w:hAnsi="宋体" w:cs="宋体"/>
          <w:b/>
          <w:color w:val="auto"/>
          <w:kern w:val="0"/>
          <w:sz w:val="32"/>
          <w:szCs w:val="32"/>
          <w:highlight w:val="none"/>
        </w:rPr>
      </w:pPr>
    </w:p>
    <w:p w14:paraId="08971178">
      <w:pPr>
        <w:widowControl/>
        <w:spacing w:line="360" w:lineRule="auto"/>
        <w:jc w:val="center"/>
        <w:rPr>
          <w:rFonts w:ascii="宋体" w:hAnsi="宋体" w:cs="宋体"/>
          <w:b/>
          <w:color w:val="auto"/>
          <w:kern w:val="0"/>
          <w:sz w:val="32"/>
          <w:szCs w:val="32"/>
          <w:highlight w:val="none"/>
        </w:rPr>
      </w:pPr>
    </w:p>
    <w:p w14:paraId="3FCC4BBC">
      <w:pPr>
        <w:widowControl/>
        <w:spacing w:line="360" w:lineRule="auto"/>
        <w:jc w:val="center"/>
        <w:rPr>
          <w:rFonts w:ascii="宋体" w:hAnsi="宋体" w:cs="宋体"/>
          <w:b/>
          <w:color w:val="auto"/>
          <w:kern w:val="0"/>
          <w:sz w:val="32"/>
          <w:szCs w:val="32"/>
          <w:highlight w:val="none"/>
        </w:rPr>
      </w:pPr>
    </w:p>
    <w:p w14:paraId="444703ED">
      <w:pPr>
        <w:widowControl/>
        <w:spacing w:line="360" w:lineRule="auto"/>
        <w:jc w:val="center"/>
        <w:rPr>
          <w:rFonts w:ascii="宋体" w:hAnsi="宋体" w:cs="宋体"/>
          <w:b/>
          <w:color w:val="auto"/>
          <w:kern w:val="0"/>
          <w:sz w:val="32"/>
          <w:szCs w:val="32"/>
          <w:highlight w:val="none"/>
        </w:rPr>
      </w:pPr>
    </w:p>
    <w:p w14:paraId="78CD3741">
      <w:pPr>
        <w:widowControl/>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四、业务专用章使用说明函</w:t>
      </w:r>
    </w:p>
    <w:p w14:paraId="65D83CE7">
      <w:pPr>
        <w:pStyle w:val="62"/>
        <w:ind w:left="840" w:leftChars="400" w:firstLine="0" w:firstLineChars="0"/>
        <w:jc w:val="center"/>
        <w:rPr>
          <w:rFonts w:cs="宋体"/>
          <w:color w:val="auto"/>
          <w:highlight w:val="none"/>
        </w:rPr>
      </w:pPr>
      <w:r>
        <w:rPr>
          <w:rFonts w:hint="eastAsia" w:cs="宋体"/>
          <w:color w:val="auto"/>
          <w:highlight w:val="none"/>
        </w:rPr>
        <w:t>【</w:t>
      </w:r>
      <w:r>
        <w:rPr>
          <w:rFonts w:hint="eastAsia" w:cs="宋体"/>
          <w:color w:val="auto"/>
          <w:sz w:val="24"/>
          <w:highlight w:val="none"/>
        </w:rPr>
        <w:t>如适用，</w:t>
      </w:r>
      <w:r>
        <w:rPr>
          <w:rFonts w:hint="eastAsia" w:cs="宋体"/>
          <w:b/>
          <w:color w:val="auto"/>
          <w:sz w:val="24"/>
          <w:highlight w:val="none"/>
        </w:rPr>
        <w:t>提供业务专用章使用说明函（附件2）】</w:t>
      </w:r>
    </w:p>
    <w:p w14:paraId="59A4D4EA">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3076280">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0E3A78C">
      <w:pPr>
        <w:jc w:val="center"/>
        <w:rPr>
          <w:rFonts w:ascii="宋体" w:hAnsi="宋体" w:cs="宋体"/>
          <w:b/>
          <w:bCs/>
          <w:color w:val="auto"/>
          <w:sz w:val="36"/>
          <w:szCs w:val="36"/>
          <w:highlight w:val="none"/>
        </w:rPr>
      </w:pPr>
      <w:bookmarkStart w:id="528" w:name="_Toc24305"/>
      <w:r>
        <w:rPr>
          <w:rFonts w:hint="eastAsia" w:ascii="宋体" w:hAnsi="宋体" w:cs="宋体"/>
          <w:b/>
          <w:bCs/>
          <w:color w:val="auto"/>
          <w:sz w:val="36"/>
          <w:szCs w:val="36"/>
          <w:highlight w:val="none"/>
        </w:rPr>
        <w:t>目录</w:t>
      </w:r>
      <w:bookmarkEnd w:id="528"/>
    </w:p>
    <w:p w14:paraId="294F7CFD">
      <w:pPr>
        <w:snapToGrid w:val="0"/>
        <w:spacing w:line="360" w:lineRule="auto"/>
        <w:outlineLvl w:val="1"/>
        <w:rPr>
          <w:rFonts w:ascii="宋体" w:hAnsi="宋体" w:cs="宋体"/>
          <w:color w:val="auto"/>
          <w:sz w:val="24"/>
          <w:highlight w:val="none"/>
        </w:rPr>
      </w:pPr>
      <w:bookmarkStart w:id="529" w:name="_Toc2704"/>
      <w:r>
        <w:rPr>
          <w:rFonts w:hint="eastAsia" w:ascii="宋体" w:hAnsi="宋体" w:cs="宋体"/>
          <w:color w:val="auto"/>
          <w:sz w:val="24"/>
          <w:highlight w:val="none"/>
        </w:rPr>
        <w:t>（1）投标函…………………………………………………………………………（页码）</w:t>
      </w:r>
    </w:p>
    <w:p w14:paraId="34BBD9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（2）授权委托书或法定代表人（单位负责人、自然人本人）身份证明………（页码）</w:t>
      </w:r>
    </w:p>
    <w:p w14:paraId="2BB33B6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（3）符合性审查资料 ………………………………………………………………（页码）</w:t>
      </w:r>
    </w:p>
    <w:p w14:paraId="4EDADFC0">
      <w:pPr>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4）</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 xml:space="preserve"> ………………………………………………（页码）</w:t>
      </w:r>
    </w:p>
    <w:p w14:paraId="46E9B03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（5）投标标的清单……………………………………………………………………（页码）</w:t>
      </w:r>
    </w:p>
    <w:p w14:paraId="05E63BC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（6）商务技术要求偏离表 …………………………………………………………（页码）</w:t>
      </w:r>
    </w:p>
    <w:p w14:paraId="708933DA">
      <w:pPr>
        <w:pStyle w:val="24"/>
        <w:rPr>
          <w:rFonts w:hAnsi="宋体" w:cs="宋体"/>
          <w:color w:val="auto"/>
          <w:szCs w:val="24"/>
          <w:highlight w:val="none"/>
          <w:lang w:val="en-US"/>
        </w:rPr>
      </w:pPr>
      <w:r>
        <w:rPr>
          <w:rFonts w:hint="eastAsia" w:hAnsi="宋体" w:cs="宋体"/>
          <w:color w:val="auto"/>
          <w:szCs w:val="24"/>
          <w:highlight w:val="none"/>
          <w:lang w:val="en-US"/>
        </w:rPr>
        <w:t>（7）评标标准相应的商务技术资料………………………………………</w:t>
      </w:r>
      <w:r>
        <w:rPr>
          <w:rFonts w:hint="eastAsia" w:hAnsi="宋体" w:cs="宋体"/>
          <w:color w:val="auto"/>
          <w:highlight w:val="none"/>
        </w:rPr>
        <w:t>…</w:t>
      </w:r>
      <w:r>
        <w:rPr>
          <w:rFonts w:hint="eastAsia" w:hAnsi="宋体" w:cs="宋体"/>
          <w:color w:val="auto"/>
          <w:szCs w:val="24"/>
          <w:highlight w:val="none"/>
          <w:lang w:val="en-US"/>
        </w:rPr>
        <w:t>………（页码）</w:t>
      </w:r>
    </w:p>
    <w:p w14:paraId="1265A253">
      <w:pPr>
        <w:pStyle w:val="24"/>
        <w:rPr>
          <w:rFonts w:hAnsi="宋体" w:cs="宋体"/>
          <w:color w:val="auto"/>
          <w:szCs w:val="24"/>
          <w:highlight w:val="none"/>
          <w:lang w:val="en-US"/>
        </w:rPr>
      </w:pPr>
      <w:r>
        <w:rPr>
          <w:rFonts w:hint="eastAsia" w:hAnsi="宋体" w:cs="宋体"/>
          <w:color w:val="auto"/>
          <w:szCs w:val="24"/>
          <w:highlight w:val="none"/>
          <w:lang w:val="en-US"/>
        </w:rPr>
        <w:t>（7-1）供货及配送方案………………………………………………………</w:t>
      </w:r>
      <w:r>
        <w:rPr>
          <w:rFonts w:hint="eastAsia" w:hAnsi="宋体" w:cs="宋体"/>
          <w:color w:val="auto"/>
          <w:highlight w:val="none"/>
        </w:rPr>
        <w:t>……</w:t>
      </w:r>
      <w:r>
        <w:rPr>
          <w:rFonts w:hint="eastAsia" w:hAnsi="宋体" w:cs="宋体"/>
          <w:color w:val="auto"/>
          <w:szCs w:val="24"/>
          <w:highlight w:val="none"/>
          <w:lang w:val="en-US"/>
        </w:rPr>
        <w:t>…（页码）</w:t>
      </w:r>
    </w:p>
    <w:p w14:paraId="23D0C2D1">
      <w:pPr>
        <w:pStyle w:val="24"/>
        <w:rPr>
          <w:rFonts w:hAnsi="宋体" w:cs="宋体"/>
          <w:color w:val="auto"/>
          <w:szCs w:val="24"/>
          <w:highlight w:val="none"/>
          <w:lang w:val="en-US"/>
        </w:rPr>
      </w:pPr>
      <w:r>
        <w:rPr>
          <w:rFonts w:hint="eastAsia" w:hAnsi="宋体" w:cs="宋体"/>
          <w:color w:val="auto"/>
          <w:szCs w:val="24"/>
          <w:highlight w:val="none"/>
          <w:lang w:val="en-US"/>
        </w:rPr>
        <w:t>（7-2）验收方案………………………………………………………………</w:t>
      </w:r>
      <w:r>
        <w:rPr>
          <w:rFonts w:hint="eastAsia" w:hAnsi="宋体" w:cs="宋体"/>
          <w:color w:val="auto"/>
          <w:highlight w:val="none"/>
        </w:rPr>
        <w:t>……</w:t>
      </w:r>
      <w:r>
        <w:rPr>
          <w:rFonts w:hint="eastAsia" w:hAnsi="宋体" w:cs="宋体"/>
          <w:color w:val="auto"/>
          <w:szCs w:val="24"/>
          <w:highlight w:val="none"/>
          <w:lang w:val="en-US"/>
        </w:rPr>
        <w:t>…（页码）</w:t>
      </w:r>
    </w:p>
    <w:p w14:paraId="39152ED5">
      <w:pPr>
        <w:pStyle w:val="24"/>
        <w:rPr>
          <w:rFonts w:hAnsi="宋体" w:cs="宋体"/>
          <w:color w:val="auto"/>
          <w:szCs w:val="24"/>
          <w:highlight w:val="none"/>
          <w:lang w:val="en-US"/>
        </w:rPr>
      </w:pPr>
      <w:r>
        <w:rPr>
          <w:rFonts w:hint="eastAsia" w:hAnsi="宋体" w:cs="宋体"/>
          <w:color w:val="auto"/>
          <w:szCs w:val="24"/>
          <w:highlight w:val="none"/>
          <w:lang w:val="en-US"/>
        </w:rPr>
        <w:t>（7-3）售后服务………………………………………………………………………（页码）</w:t>
      </w:r>
    </w:p>
    <w:p w14:paraId="6A1E830A">
      <w:pPr>
        <w:pStyle w:val="24"/>
        <w:rPr>
          <w:rFonts w:hAnsi="宋体" w:cs="宋体"/>
          <w:color w:val="auto"/>
          <w:szCs w:val="24"/>
          <w:highlight w:val="none"/>
          <w:lang w:val="en-US"/>
        </w:rPr>
      </w:pPr>
      <w:r>
        <w:rPr>
          <w:rFonts w:hint="eastAsia" w:hAnsi="宋体" w:cs="宋体"/>
          <w:color w:val="auto"/>
          <w:szCs w:val="24"/>
          <w:highlight w:val="none"/>
          <w:lang w:val="en-US"/>
        </w:rPr>
        <w:t>（7-4）服务质量保障措施及承诺………………………………………………</w:t>
      </w:r>
      <w:r>
        <w:rPr>
          <w:rFonts w:hint="eastAsia" w:hAnsi="宋体" w:cs="宋体"/>
          <w:color w:val="auto"/>
          <w:highlight w:val="none"/>
        </w:rPr>
        <w:t>…</w:t>
      </w:r>
      <w:r>
        <w:rPr>
          <w:rFonts w:hint="eastAsia" w:hAnsi="宋体" w:cs="宋体"/>
          <w:color w:val="auto"/>
          <w:szCs w:val="24"/>
          <w:highlight w:val="none"/>
          <w:lang w:val="en-US"/>
        </w:rPr>
        <w:t>…（页码）</w:t>
      </w:r>
    </w:p>
    <w:p w14:paraId="3C812C01">
      <w:pPr>
        <w:pStyle w:val="24"/>
        <w:rPr>
          <w:rFonts w:hAnsi="宋体" w:cs="宋体"/>
          <w:color w:val="auto"/>
          <w:szCs w:val="24"/>
          <w:highlight w:val="none"/>
          <w:lang w:val="en-US"/>
        </w:rPr>
      </w:pPr>
      <w:r>
        <w:rPr>
          <w:rFonts w:hint="eastAsia" w:hAnsi="宋体" w:cs="宋体"/>
          <w:color w:val="auto"/>
          <w:szCs w:val="24"/>
          <w:highlight w:val="none"/>
          <w:lang w:val="en-US"/>
        </w:rPr>
        <w:t>（7-5）培训方案……………………………………………………………</w:t>
      </w:r>
      <w:r>
        <w:rPr>
          <w:rFonts w:hint="eastAsia" w:hAnsi="宋体" w:cs="宋体"/>
          <w:color w:val="auto"/>
          <w:highlight w:val="none"/>
        </w:rPr>
        <w:t>……</w:t>
      </w:r>
      <w:r>
        <w:rPr>
          <w:rFonts w:hint="eastAsia" w:hAnsi="宋体" w:cs="宋体"/>
          <w:color w:val="auto"/>
          <w:szCs w:val="24"/>
          <w:highlight w:val="none"/>
          <w:lang w:val="en-US"/>
        </w:rPr>
        <w:t>……（页码）</w:t>
      </w:r>
    </w:p>
    <w:p w14:paraId="11493865">
      <w:pPr>
        <w:pStyle w:val="24"/>
        <w:rPr>
          <w:rFonts w:hint="eastAsia" w:hAnsi="宋体" w:cs="宋体"/>
          <w:color w:val="auto"/>
          <w:szCs w:val="24"/>
          <w:highlight w:val="none"/>
          <w:lang w:val="en-US"/>
        </w:rPr>
      </w:pPr>
      <w:r>
        <w:rPr>
          <w:rFonts w:hint="eastAsia" w:hAnsi="宋体" w:cs="宋体"/>
          <w:color w:val="auto"/>
          <w:szCs w:val="24"/>
          <w:highlight w:val="none"/>
          <w:lang w:val="en-US"/>
        </w:rPr>
        <w:t>（7-</w:t>
      </w:r>
      <w:r>
        <w:rPr>
          <w:rFonts w:hint="eastAsia" w:hAnsi="宋体" w:cs="宋体"/>
          <w:color w:val="auto"/>
          <w:szCs w:val="24"/>
          <w:highlight w:val="none"/>
          <w:lang w:val="en-US" w:eastAsia="zh-CN"/>
        </w:rPr>
        <w:t>6</w:t>
      </w:r>
      <w:r>
        <w:rPr>
          <w:rFonts w:hint="eastAsia" w:hAnsi="宋体" w:cs="宋体"/>
          <w:color w:val="auto"/>
          <w:szCs w:val="24"/>
          <w:highlight w:val="none"/>
          <w:lang w:val="en-US"/>
        </w:rPr>
        <w:t>）认证证书（如有）……………………………………………………</w:t>
      </w:r>
      <w:r>
        <w:rPr>
          <w:rFonts w:hint="eastAsia" w:hAnsi="宋体" w:cs="宋体"/>
          <w:color w:val="auto"/>
          <w:highlight w:val="none"/>
        </w:rPr>
        <w:t>…</w:t>
      </w:r>
      <w:r>
        <w:rPr>
          <w:rFonts w:hint="eastAsia" w:hAnsi="宋体" w:cs="宋体"/>
          <w:color w:val="auto"/>
          <w:szCs w:val="24"/>
          <w:highlight w:val="none"/>
          <w:lang w:val="en-US"/>
        </w:rPr>
        <w:t>……（页码）</w:t>
      </w:r>
    </w:p>
    <w:p w14:paraId="2372614B">
      <w:pPr>
        <w:pStyle w:val="24"/>
        <w:rPr>
          <w:rFonts w:hAnsi="宋体" w:cs="宋体"/>
          <w:color w:val="auto"/>
          <w:szCs w:val="24"/>
          <w:highlight w:val="none"/>
          <w:lang w:val="en-US"/>
        </w:rPr>
      </w:pPr>
      <w:r>
        <w:rPr>
          <w:rFonts w:hint="eastAsia" w:hAnsi="宋体" w:cs="宋体"/>
          <w:color w:val="auto"/>
          <w:szCs w:val="24"/>
          <w:highlight w:val="none"/>
          <w:lang w:val="en-US"/>
        </w:rPr>
        <w:t>（7-</w:t>
      </w:r>
      <w:r>
        <w:rPr>
          <w:rFonts w:hint="eastAsia" w:hAnsi="宋体" w:cs="宋体"/>
          <w:color w:val="auto"/>
          <w:szCs w:val="24"/>
          <w:highlight w:val="none"/>
          <w:lang w:val="en-US" w:eastAsia="zh-CN"/>
        </w:rPr>
        <w:t>7</w:t>
      </w:r>
      <w:r>
        <w:rPr>
          <w:rFonts w:hint="eastAsia" w:hAnsi="宋体" w:cs="宋体"/>
          <w:color w:val="auto"/>
          <w:szCs w:val="24"/>
          <w:highlight w:val="none"/>
          <w:lang w:val="en-US"/>
        </w:rPr>
        <w:t>）同类项目业绩一览表………………………………………………</w:t>
      </w:r>
      <w:r>
        <w:rPr>
          <w:rFonts w:hint="eastAsia" w:hAnsi="宋体" w:cs="宋体"/>
          <w:color w:val="auto"/>
          <w:highlight w:val="none"/>
        </w:rPr>
        <w:t>…</w:t>
      </w:r>
      <w:r>
        <w:rPr>
          <w:rFonts w:hint="eastAsia" w:hAnsi="宋体" w:cs="宋体"/>
          <w:color w:val="auto"/>
          <w:szCs w:val="24"/>
          <w:highlight w:val="none"/>
          <w:lang w:val="en-US"/>
        </w:rPr>
        <w:t>………（页码）</w:t>
      </w:r>
    </w:p>
    <w:p w14:paraId="38FB3C55">
      <w:pPr>
        <w:pStyle w:val="24"/>
        <w:rPr>
          <w:rFonts w:hAnsi="宋体" w:cs="宋体"/>
          <w:color w:val="auto"/>
          <w:szCs w:val="24"/>
          <w:highlight w:val="none"/>
          <w:lang w:val="en-US"/>
        </w:rPr>
      </w:pPr>
      <w:r>
        <w:rPr>
          <w:rFonts w:hint="eastAsia" w:hAnsi="宋体" w:cs="宋体"/>
          <w:color w:val="auto"/>
          <w:szCs w:val="24"/>
          <w:highlight w:val="none"/>
          <w:lang w:val="en-US"/>
        </w:rPr>
        <w:t>（7-</w:t>
      </w:r>
      <w:r>
        <w:rPr>
          <w:rFonts w:hint="eastAsia" w:hAnsi="宋体" w:cs="宋体"/>
          <w:color w:val="auto"/>
          <w:szCs w:val="24"/>
          <w:highlight w:val="none"/>
          <w:lang w:val="en-US" w:eastAsia="zh-CN"/>
        </w:rPr>
        <w:t>8</w:t>
      </w:r>
      <w:r>
        <w:rPr>
          <w:rFonts w:hint="eastAsia" w:hAnsi="宋体" w:cs="宋体"/>
          <w:color w:val="auto"/>
          <w:szCs w:val="24"/>
          <w:highlight w:val="none"/>
          <w:lang w:val="en-US"/>
        </w:rPr>
        <w:t>）节能产品、环境标志产品证明资料（如有）………………………………（页码）</w:t>
      </w:r>
    </w:p>
    <w:p w14:paraId="2342EAC1">
      <w:pPr>
        <w:pStyle w:val="24"/>
        <w:rPr>
          <w:rFonts w:hAnsi="宋体" w:cs="宋体"/>
          <w:color w:val="auto"/>
          <w:szCs w:val="24"/>
          <w:highlight w:val="none"/>
          <w:lang w:val="en-US"/>
        </w:rPr>
      </w:pPr>
      <w:r>
        <w:rPr>
          <w:rFonts w:hint="eastAsia" w:hAnsi="宋体" w:cs="宋体"/>
          <w:color w:val="auto"/>
          <w:szCs w:val="24"/>
          <w:highlight w:val="none"/>
          <w:lang w:val="en-US"/>
        </w:rPr>
        <w:t>（7-</w:t>
      </w:r>
      <w:r>
        <w:rPr>
          <w:rFonts w:hint="eastAsia" w:hAnsi="宋体" w:cs="宋体"/>
          <w:color w:val="auto"/>
          <w:szCs w:val="24"/>
          <w:highlight w:val="none"/>
          <w:lang w:val="en-US" w:eastAsia="zh-CN"/>
        </w:rPr>
        <w:t>9</w:t>
      </w:r>
      <w:r>
        <w:rPr>
          <w:rFonts w:hint="eastAsia" w:hAnsi="宋体" w:cs="宋体"/>
          <w:color w:val="auto"/>
          <w:szCs w:val="24"/>
          <w:highlight w:val="none"/>
          <w:lang w:val="en-US"/>
        </w:rPr>
        <w:t>）投标人根据第四部分评标办法要求提供的其它方案或资料……………（页码）</w:t>
      </w:r>
    </w:p>
    <w:p w14:paraId="73D37C97">
      <w:pPr>
        <w:pStyle w:val="24"/>
        <w:rPr>
          <w:rFonts w:hAnsi="宋体" w:cs="宋体"/>
          <w:color w:val="auto"/>
          <w:szCs w:val="24"/>
          <w:highlight w:val="none"/>
          <w:lang w:val="en-US"/>
        </w:rPr>
      </w:pPr>
      <w:r>
        <w:rPr>
          <w:rFonts w:hint="eastAsia" w:hAnsi="宋体" w:cs="宋体"/>
          <w:color w:val="auto"/>
          <w:szCs w:val="24"/>
          <w:highlight w:val="none"/>
          <w:lang w:val="en-US"/>
        </w:rPr>
        <w:t>（7-1</w:t>
      </w:r>
      <w:r>
        <w:rPr>
          <w:rFonts w:hint="eastAsia" w:hAnsi="宋体" w:cs="宋体"/>
          <w:color w:val="auto"/>
          <w:szCs w:val="24"/>
          <w:highlight w:val="none"/>
          <w:lang w:val="en-US" w:eastAsia="zh-CN"/>
        </w:rPr>
        <w:t>0</w:t>
      </w:r>
      <w:r>
        <w:rPr>
          <w:rFonts w:hint="eastAsia" w:hAnsi="宋体" w:cs="宋体"/>
          <w:color w:val="auto"/>
          <w:szCs w:val="24"/>
          <w:highlight w:val="none"/>
          <w:lang w:val="en-US"/>
        </w:rPr>
        <w:t>）投标人认为有必要提交的其他商务技术部分文件和资料………………（页码）</w:t>
      </w:r>
    </w:p>
    <w:p w14:paraId="12A639E0">
      <w:pPr>
        <w:numPr>
          <w:ilvl w:val="0"/>
          <w:numId w:val="6"/>
        </w:numPr>
        <w:jc w:val="center"/>
        <w:rPr>
          <w:rFonts w:ascii="宋体" w:hAnsi="宋体" w:cs="宋体"/>
          <w:b/>
          <w:bCs/>
          <w:color w:val="auto"/>
          <w:sz w:val="32"/>
          <w:szCs w:val="32"/>
          <w:highlight w:val="none"/>
        </w:rPr>
        <w:sectPr>
          <w:pgSz w:w="11906" w:h="16838"/>
          <w:pgMar w:top="1276" w:right="1418" w:bottom="1247" w:left="1418" w:header="851" w:footer="992" w:gutter="0"/>
          <w:cols w:space="720" w:num="1"/>
          <w:titlePg/>
          <w:docGrid w:linePitch="312" w:charSpace="0"/>
        </w:sectPr>
      </w:pPr>
    </w:p>
    <w:p w14:paraId="43295953">
      <w:pPr>
        <w:numPr>
          <w:ilvl w:val="0"/>
          <w:numId w:val="7"/>
        </w:num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投标函</w:t>
      </w:r>
      <w:bookmarkEnd w:id="529"/>
    </w:p>
    <w:p w14:paraId="438FA27F">
      <w:pPr>
        <w:pStyle w:val="62"/>
        <w:ind w:left="840" w:leftChars="400" w:firstLine="0" w:firstLineChars="0"/>
        <w:rPr>
          <w:rFonts w:cs="宋体"/>
          <w:color w:val="auto"/>
          <w:highlight w:val="none"/>
        </w:rPr>
      </w:pPr>
    </w:p>
    <w:p w14:paraId="5FF58B6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14:paraId="7703A7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项目编号：（采购编号）</w:t>
      </w:r>
      <w:r>
        <w:rPr>
          <w:rFonts w:hint="eastAsia" w:ascii="宋体" w:hAnsi="宋体" w:cs="宋体"/>
          <w:color w:val="auto"/>
          <w:sz w:val="24"/>
          <w:highlight w:val="none"/>
        </w:rPr>
        <w:t>】招标的有关活动，并对此项目进行投标。为此：</w:t>
      </w:r>
    </w:p>
    <w:p w14:paraId="22EB53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EB01B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13882E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E1FFA3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2CFB1B3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161B1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1DE569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4EED72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E90FAF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89AD99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14971B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8D093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A1AE75E">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投标人名称（电子签章）：                          </w:t>
      </w:r>
    </w:p>
    <w:p w14:paraId="0C5E21E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D0B4BD4">
      <w:pPr>
        <w:snapToGrid w:val="0"/>
        <w:spacing w:line="360" w:lineRule="auto"/>
        <w:ind w:left="420" w:leftChars="200" w:firstLine="4200" w:firstLineChars="1750"/>
        <w:rPr>
          <w:rFonts w:ascii="宋体" w:hAnsi="宋体" w:cs="宋体"/>
          <w:color w:val="auto"/>
          <w:kern w:val="0"/>
          <w:sz w:val="24"/>
          <w:highlight w:val="none"/>
          <w:u w:val="single"/>
        </w:rPr>
      </w:pPr>
    </w:p>
    <w:p w14:paraId="44C5CF4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B8E9BCC">
      <w:pPr>
        <w:snapToGrid w:val="0"/>
        <w:spacing w:line="360" w:lineRule="auto"/>
        <w:jc w:val="center"/>
        <w:rPr>
          <w:rFonts w:ascii="宋体" w:hAnsi="宋体" w:cs="宋体"/>
          <w:b/>
          <w:color w:val="auto"/>
          <w:kern w:val="0"/>
          <w:sz w:val="32"/>
          <w:szCs w:val="32"/>
          <w:highlight w:val="none"/>
        </w:rPr>
      </w:pPr>
    </w:p>
    <w:p w14:paraId="17FA777B">
      <w:pPr>
        <w:snapToGrid w:val="0"/>
        <w:spacing w:line="360" w:lineRule="auto"/>
        <w:rPr>
          <w:rFonts w:ascii="宋体" w:hAnsi="宋体" w:cs="宋体"/>
          <w:color w:val="auto"/>
          <w:sz w:val="24"/>
          <w:highlight w:val="none"/>
        </w:rPr>
      </w:pPr>
    </w:p>
    <w:p w14:paraId="4ED65561">
      <w:pPr>
        <w:jc w:val="center"/>
        <w:rPr>
          <w:rFonts w:ascii="宋体" w:hAnsi="宋体" w:cs="宋体"/>
          <w:b/>
          <w:color w:val="auto"/>
          <w:kern w:val="0"/>
          <w:sz w:val="32"/>
          <w:szCs w:val="32"/>
          <w:highlight w:val="none"/>
        </w:rPr>
      </w:pPr>
    </w:p>
    <w:p w14:paraId="5F278A7A">
      <w:pPr>
        <w:jc w:val="center"/>
        <w:rPr>
          <w:rFonts w:ascii="宋体" w:hAnsi="宋体" w:cs="宋体"/>
          <w:b/>
          <w:color w:val="auto"/>
          <w:kern w:val="0"/>
          <w:sz w:val="32"/>
          <w:szCs w:val="32"/>
          <w:highlight w:val="none"/>
        </w:rPr>
      </w:pPr>
    </w:p>
    <w:p w14:paraId="11F9F725">
      <w:pPr>
        <w:jc w:val="center"/>
        <w:rPr>
          <w:rFonts w:ascii="宋体" w:hAnsi="宋体" w:cs="宋体"/>
          <w:b/>
          <w:color w:val="auto"/>
          <w:kern w:val="0"/>
          <w:sz w:val="32"/>
          <w:szCs w:val="32"/>
          <w:highlight w:val="none"/>
        </w:rPr>
      </w:pPr>
    </w:p>
    <w:p w14:paraId="5CB6B66F">
      <w:pPr>
        <w:jc w:val="center"/>
        <w:rPr>
          <w:rFonts w:ascii="宋体" w:hAnsi="宋体" w:cs="宋体"/>
          <w:b/>
          <w:color w:val="auto"/>
          <w:kern w:val="0"/>
          <w:sz w:val="32"/>
          <w:szCs w:val="32"/>
          <w:highlight w:val="none"/>
        </w:rPr>
      </w:pPr>
    </w:p>
    <w:p w14:paraId="2EED7796">
      <w:pPr>
        <w:jc w:val="center"/>
        <w:rPr>
          <w:rFonts w:ascii="宋体" w:hAnsi="宋体" w:cs="宋体"/>
          <w:b/>
          <w:color w:val="auto"/>
          <w:kern w:val="0"/>
          <w:sz w:val="32"/>
          <w:szCs w:val="32"/>
          <w:highlight w:val="none"/>
        </w:rPr>
      </w:pPr>
    </w:p>
    <w:p w14:paraId="35204476">
      <w:pPr>
        <w:widowControl/>
        <w:adjustRightInd/>
        <w:jc w:val="left"/>
        <w:rPr>
          <w:rFonts w:ascii="宋体" w:hAnsi="宋体" w:cs="宋体"/>
          <w:b/>
          <w:color w:val="auto"/>
          <w:kern w:val="0"/>
          <w:sz w:val="32"/>
          <w:szCs w:val="32"/>
          <w:highlight w:val="none"/>
        </w:rPr>
      </w:pPr>
    </w:p>
    <w:p w14:paraId="3C73C539">
      <w:pPr>
        <w:jc w:val="center"/>
        <w:rPr>
          <w:rFonts w:ascii="宋体" w:hAnsi="宋体" w:cs="宋体"/>
          <w:b/>
          <w:color w:val="auto"/>
          <w:kern w:val="0"/>
          <w:sz w:val="32"/>
          <w:szCs w:val="32"/>
          <w:highlight w:val="none"/>
        </w:rPr>
      </w:pPr>
    </w:p>
    <w:p w14:paraId="5C2876D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D4793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31670AF">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93F2F9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633301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项目编号：（采购编号）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B3CDB8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8C829E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FAD866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sz w:val="24"/>
          <w:highlight w:val="none"/>
        </w:rPr>
        <w:t xml:space="preserve">（电子签章）：  </w:t>
      </w:r>
    </w:p>
    <w:p w14:paraId="5E4798C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FBB731A">
      <w:pPr>
        <w:snapToGrid w:val="0"/>
        <w:spacing w:line="360" w:lineRule="auto"/>
        <w:rPr>
          <w:rFonts w:ascii="宋体" w:hAnsi="宋体" w:cs="宋体"/>
          <w:color w:val="auto"/>
          <w:sz w:val="24"/>
          <w:highlight w:val="none"/>
        </w:rPr>
      </w:pPr>
    </w:p>
    <w:p w14:paraId="5C0BB08C">
      <w:pPr>
        <w:snapToGrid w:val="0"/>
        <w:spacing w:line="360" w:lineRule="auto"/>
        <w:rPr>
          <w:rFonts w:ascii="宋体" w:hAnsi="宋体" w:cs="宋体"/>
          <w:color w:val="auto"/>
          <w:sz w:val="24"/>
          <w:highlight w:val="none"/>
        </w:rPr>
      </w:pPr>
    </w:p>
    <w:p w14:paraId="05B12803">
      <w:pPr>
        <w:snapToGrid w:val="0"/>
        <w:spacing w:line="360" w:lineRule="auto"/>
        <w:rPr>
          <w:rFonts w:ascii="宋体" w:hAnsi="宋体" w:cs="宋体"/>
          <w:color w:val="auto"/>
          <w:sz w:val="24"/>
          <w:highlight w:val="none"/>
        </w:rPr>
      </w:pPr>
    </w:p>
    <w:p w14:paraId="384C23C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439A05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AA59C6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政府采购投标的一切事项，其法律后果由我方承担。</w:t>
      </w:r>
    </w:p>
    <w:p w14:paraId="2ED303E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702866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3BA2AD9">
      <w:pPr>
        <w:jc w:val="center"/>
        <w:rPr>
          <w:rFonts w:ascii="宋体" w:hAnsi="宋体" w:cs="宋体"/>
          <w:b/>
          <w:color w:val="auto"/>
          <w:kern w:val="0"/>
          <w:sz w:val="32"/>
          <w:szCs w:val="32"/>
          <w:highlight w:val="none"/>
        </w:rPr>
      </w:pPr>
    </w:p>
    <w:p w14:paraId="364E982F">
      <w:pPr>
        <w:jc w:val="center"/>
        <w:rPr>
          <w:rFonts w:ascii="宋体" w:hAnsi="宋体" w:cs="宋体"/>
          <w:b/>
          <w:color w:val="auto"/>
          <w:kern w:val="0"/>
          <w:sz w:val="32"/>
          <w:szCs w:val="32"/>
          <w:highlight w:val="none"/>
        </w:rPr>
      </w:pPr>
    </w:p>
    <w:p w14:paraId="7320EBC6">
      <w:pPr>
        <w:jc w:val="center"/>
        <w:rPr>
          <w:rFonts w:ascii="宋体" w:hAnsi="宋体" w:cs="宋体"/>
          <w:b/>
          <w:color w:val="auto"/>
          <w:kern w:val="0"/>
          <w:sz w:val="32"/>
          <w:szCs w:val="32"/>
          <w:highlight w:val="none"/>
        </w:rPr>
      </w:pPr>
    </w:p>
    <w:p w14:paraId="7A1E35AB">
      <w:pPr>
        <w:rPr>
          <w:rFonts w:ascii="宋体" w:hAnsi="宋体" w:cs="宋体"/>
          <w:color w:val="auto"/>
          <w:highlight w:val="none"/>
        </w:rPr>
      </w:pPr>
    </w:p>
    <w:p w14:paraId="15C2BEC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6814CA5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5F2BA70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B73B7D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7236B8D">
      <w:pPr>
        <w:autoSpaceDE w:val="0"/>
        <w:autoSpaceDN w:val="0"/>
        <w:spacing w:line="360" w:lineRule="auto"/>
        <w:jc w:val="center"/>
        <w:rPr>
          <w:rFonts w:ascii="宋体" w:hAnsi="宋体" w:cs="宋体"/>
          <w:color w:val="auto"/>
          <w:sz w:val="24"/>
          <w:highlight w:val="none"/>
        </w:rPr>
      </w:pPr>
      <w:r>
        <w:rPr>
          <w:rFonts w:hint="eastAsia" w:ascii="宋体" w:hAnsi="宋体" w:cs="宋体"/>
          <w:b/>
          <w:color w:val="auto"/>
          <w:sz w:val="30"/>
          <w:szCs w:val="30"/>
          <w:highlight w:val="none"/>
        </w:rPr>
        <w:t>授权代表的身份证（复印件）</w:t>
      </w:r>
    </w:p>
    <w:p w14:paraId="1317262B">
      <w:pPr>
        <w:pStyle w:val="153"/>
        <w:spacing w:line="360" w:lineRule="auto"/>
        <w:rPr>
          <w:rFonts w:hAnsi="宋体" w:cs="宋体"/>
          <w:bCs/>
          <w:color w:val="auto"/>
          <w:sz w:val="24"/>
          <w:highlight w:val="none"/>
        </w:rPr>
      </w:pPr>
      <w:r>
        <w:rPr>
          <w:rFonts w:hint="eastAsia" w:hAnsi="宋体" w:cs="宋体"/>
          <w:bCs/>
          <w:color w:val="auto"/>
          <w:sz w:val="24"/>
          <w:highlight w:val="none"/>
        </w:rPr>
        <w:t>授权代表身份证件扫描件：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048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717CADAE">
            <w:pPr>
              <w:pStyle w:val="153"/>
              <w:spacing w:line="360" w:lineRule="auto"/>
              <w:rPr>
                <w:rFonts w:hAnsi="宋体" w:cs="宋体"/>
                <w:bCs/>
                <w:color w:val="auto"/>
                <w:sz w:val="24"/>
                <w:highlight w:val="none"/>
              </w:rPr>
            </w:pPr>
            <w:r>
              <w:rPr>
                <w:rFonts w:hint="eastAsia" w:hAnsi="宋体" w:cs="宋体"/>
                <w:bCs/>
                <w:color w:val="auto"/>
                <w:sz w:val="24"/>
                <w:highlight w:val="none"/>
              </w:rPr>
              <w:t>正面：                                 反面：</w:t>
            </w:r>
          </w:p>
          <w:p w14:paraId="27ABBF01">
            <w:pPr>
              <w:pStyle w:val="153"/>
              <w:spacing w:line="360" w:lineRule="auto"/>
              <w:rPr>
                <w:rFonts w:hAnsi="宋体" w:cs="宋体"/>
                <w:bCs/>
                <w:color w:val="auto"/>
                <w:sz w:val="24"/>
                <w:highlight w:val="none"/>
              </w:rPr>
            </w:pPr>
          </w:p>
        </w:tc>
      </w:tr>
    </w:tbl>
    <w:p w14:paraId="0D74003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D6E119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 xml:space="preserve">：                              </w:t>
      </w:r>
    </w:p>
    <w:p w14:paraId="1C43D92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401EBBF">
      <w:pPr>
        <w:autoSpaceDE w:val="0"/>
        <w:autoSpaceDN w:val="0"/>
        <w:spacing w:line="360" w:lineRule="auto"/>
        <w:jc w:val="center"/>
        <w:rPr>
          <w:rFonts w:ascii="宋体" w:hAnsi="宋体" w:cs="宋体"/>
          <w:b/>
          <w:color w:val="auto"/>
          <w:kern w:val="0"/>
          <w:sz w:val="32"/>
          <w:szCs w:val="32"/>
          <w:highlight w:val="none"/>
          <w:lang w:val="zh-CN"/>
        </w:rPr>
      </w:pPr>
    </w:p>
    <w:p w14:paraId="1B2FE141">
      <w:pPr>
        <w:autoSpaceDE w:val="0"/>
        <w:autoSpaceDN w:val="0"/>
        <w:spacing w:line="360" w:lineRule="auto"/>
        <w:jc w:val="center"/>
        <w:rPr>
          <w:rFonts w:ascii="宋体" w:hAnsi="宋体" w:cs="宋体"/>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14:paraId="23BA26E0">
      <w:pPr>
        <w:autoSpaceDE w:val="0"/>
        <w:autoSpaceDN w:val="0"/>
        <w:spacing w:line="360" w:lineRule="auto"/>
        <w:jc w:val="center"/>
        <w:rPr>
          <w:rFonts w:ascii="宋体" w:hAnsi="宋体" w:cs="宋体"/>
          <w:b/>
          <w:color w:val="auto"/>
          <w:kern w:val="0"/>
          <w:sz w:val="32"/>
          <w:szCs w:val="32"/>
          <w:highlight w:val="none"/>
          <w:lang w:val="zh-CN"/>
        </w:rPr>
      </w:pPr>
    </w:p>
    <w:p w14:paraId="40DCAAC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FA2503E">
      <w:pPr>
        <w:pStyle w:val="15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62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A3BB154">
            <w:pPr>
              <w:pStyle w:val="15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1D7B74A">
            <w:pPr>
              <w:pStyle w:val="153"/>
              <w:adjustRightInd w:val="0"/>
              <w:spacing w:line="360" w:lineRule="auto"/>
              <w:rPr>
                <w:rFonts w:hAnsi="宋体" w:cs="宋体"/>
                <w:bCs/>
                <w:color w:val="auto"/>
                <w:sz w:val="24"/>
                <w:highlight w:val="none"/>
              </w:rPr>
            </w:pPr>
          </w:p>
        </w:tc>
      </w:tr>
    </w:tbl>
    <w:p w14:paraId="4258CD5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29036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zh-CN"/>
        </w:rPr>
        <w:t xml:space="preserve">：                              </w:t>
      </w:r>
    </w:p>
    <w:p w14:paraId="0287F82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910A162">
      <w:pPr>
        <w:jc w:val="center"/>
        <w:rPr>
          <w:rFonts w:ascii="宋体" w:hAnsi="宋体" w:cs="宋体"/>
          <w:b/>
          <w:color w:val="auto"/>
          <w:kern w:val="0"/>
          <w:sz w:val="32"/>
          <w:szCs w:val="32"/>
          <w:highlight w:val="none"/>
        </w:rPr>
      </w:pPr>
    </w:p>
    <w:p w14:paraId="160C5693">
      <w:pPr>
        <w:jc w:val="center"/>
        <w:rPr>
          <w:rFonts w:ascii="宋体" w:hAnsi="宋体" w:cs="宋体"/>
          <w:b/>
          <w:color w:val="auto"/>
          <w:kern w:val="0"/>
          <w:sz w:val="32"/>
          <w:szCs w:val="32"/>
          <w:highlight w:val="none"/>
        </w:rPr>
      </w:pPr>
    </w:p>
    <w:p w14:paraId="340D73AC">
      <w:pPr>
        <w:jc w:val="center"/>
        <w:rPr>
          <w:rFonts w:ascii="宋体" w:hAnsi="宋体" w:cs="宋体"/>
          <w:b/>
          <w:color w:val="auto"/>
          <w:kern w:val="0"/>
          <w:sz w:val="32"/>
          <w:szCs w:val="32"/>
          <w:highlight w:val="none"/>
        </w:rPr>
      </w:pPr>
    </w:p>
    <w:p w14:paraId="48B59BB8">
      <w:pPr>
        <w:jc w:val="center"/>
        <w:rPr>
          <w:rFonts w:ascii="宋体" w:hAnsi="宋体" w:cs="宋体"/>
          <w:b/>
          <w:color w:val="auto"/>
          <w:kern w:val="0"/>
          <w:sz w:val="32"/>
          <w:szCs w:val="32"/>
          <w:highlight w:val="none"/>
        </w:rPr>
      </w:pPr>
    </w:p>
    <w:p w14:paraId="7395E0FD">
      <w:pPr>
        <w:jc w:val="center"/>
        <w:rPr>
          <w:rFonts w:ascii="宋体" w:hAnsi="宋体" w:cs="宋体"/>
          <w:b/>
          <w:color w:val="auto"/>
          <w:kern w:val="0"/>
          <w:sz w:val="32"/>
          <w:szCs w:val="32"/>
          <w:highlight w:val="none"/>
        </w:rPr>
      </w:pPr>
    </w:p>
    <w:p w14:paraId="4BCB848E">
      <w:pPr>
        <w:jc w:val="center"/>
        <w:rPr>
          <w:rFonts w:ascii="宋体" w:hAnsi="宋体" w:cs="宋体"/>
          <w:b/>
          <w:color w:val="auto"/>
          <w:kern w:val="0"/>
          <w:sz w:val="32"/>
          <w:szCs w:val="32"/>
          <w:highlight w:val="none"/>
        </w:rPr>
      </w:pPr>
    </w:p>
    <w:p w14:paraId="0D74924B">
      <w:pPr>
        <w:jc w:val="center"/>
        <w:rPr>
          <w:rFonts w:ascii="宋体" w:hAnsi="宋体" w:cs="宋体"/>
          <w:b/>
          <w:color w:val="auto"/>
          <w:kern w:val="0"/>
          <w:sz w:val="32"/>
          <w:szCs w:val="32"/>
          <w:highlight w:val="none"/>
        </w:rPr>
      </w:pPr>
    </w:p>
    <w:p w14:paraId="7D741021">
      <w:pPr>
        <w:jc w:val="center"/>
        <w:rPr>
          <w:rFonts w:ascii="宋体" w:hAnsi="宋体" w:cs="宋体"/>
          <w:b/>
          <w:color w:val="auto"/>
          <w:kern w:val="0"/>
          <w:sz w:val="32"/>
          <w:szCs w:val="32"/>
          <w:highlight w:val="none"/>
        </w:rPr>
      </w:pPr>
    </w:p>
    <w:p w14:paraId="43D64BA4">
      <w:pPr>
        <w:jc w:val="center"/>
        <w:rPr>
          <w:rFonts w:ascii="宋体" w:hAnsi="宋体" w:cs="宋体"/>
          <w:b/>
          <w:color w:val="auto"/>
          <w:kern w:val="0"/>
          <w:sz w:val="32"/>
          <w:szCs w:val="32"/>
          <w:highlight w:val="none"/>
        </w:rPr>
      </w:pPr>
    </w:p>
    <w:p w14:paraId="33A4F2A5">
      <w:pPr>
        <w:jc w:val="center"/>
        <w:rPr>
          <w:rFonts w:ascii="宋体" w:hAnsi="宋体" w:cs="宋体"/>
          <w:b/>
          <w:color w:val="auto"/>
          <w:kern w:val="0"/>
          <w:sz w:val="32"/>
          <w:szCs w:val="32"/>
          <w:highlight w:val="none"/>
        </w:rPr>
      </w:pPr>
    </w:p>
    <w:p w14:paraId="34454E91">
      <w:pPr>
        <w:snapToGrid w:val="0"/>
        <w:spacing w:line="360" w:lineRule="auto"/>
        <w:ind w:right="480"/>
        <w:rPr>
          <w:rFonts w:ascii="宋体" w:hAnsi="宋体" w:cs="宋体"/>
          <w:b/>
          <w:color w:val="auto"/>
          <w:kern w:val="0"/>
          <w:sz w:val="32"/>
          <w:szCs w:val="32"/>
          <w:highlight w:val="none"/>
        </w:rPr>
        <w:sectPr>
          <w:pgSz w:w="11906" w:h="16838"/>
          <w:pgMar w:top="1440" w:right="1440" w:bottom="1440" w:left="1440" w:header="851" w:footer="992" w:gutter="0"/>
          <w:cols w:space="0" w:num="1"/>
          <w:titlePg/>
          <w:docGrid w:linePitch="312" w:charSpace="0"/>
        </w:sectPr>
      </w:pPr>
    </w:p>
    <w:p w14:paraId="2E2DE4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三、符合性审查资料</w:t>
      </w:r>
    </w:p>
    <w:p w14:paraId="26EABAD4">
      <w:pPr>
        <w:jc w:val="center"/>
        <w:rPr>
          <w:rFonts w:ascii="宋体" w:hAnsi="宋体" w:cs="宋体"/>
          <w:b/>
          <w:color w:val="auto"/>
          <w:kern w:val="0"/>
          <w:sz w:val="32"/>
          <w:szCs w:val="32"/>
          <w:highlight w:val="none"/>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90"/>
        <w:gridCol w:w="3525"/>
        <w:gridCol w:w="2145"/>
      </w:tblGrid>
      <w:tr w14:paraId="1486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6D60C3C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290" w:type="dxa"/>
            <w:vAlign w:val="center"/>
          </w:tcPr>
          <w:p w14:paraId="3B4EE3C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525" w:type="dxa"/>
            <w:vAlign w:val="center"/>
          </w:tcPr>
          <w:p w14:paraId="18FD8F9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2145" w:type="dxa"/>
            <w:vAlign w:val="center"/>
          </w:tcPr>
          <w:p w14:paraId="645BD1F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76055F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58E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646" w:type="dxa"/>
            <w:vAlign w:val="center"/>
          </w:tcPr>
          <w:p w14:paraId="61FC160D">
            <w:pPr>
              <w:jc w:val="center"/>
              <w:rPr>
                <w:rFonts w:ascii="宋体" w:hAnsi="宋体" w:cs="宋体"/>
                <w:color w:val="auto"/>
                <w:sz w:val="24"/>
                <w:highlight w:val="none"/>
              </w:rPr>
            </w:pPr>
            <w:r>
              <w:rPr>
                <w:rFonts w:hint="eastAsia" w:ascii="宋体" w:hAnsi="宋体" w:cs="宋体"/>
                <w:color w:val="auto"/>
                <w:sz w:val="24"/>
                <w:highlight w:val="none"/>
              </w:rPr>
              <w:t>1</w:t>
            </w:r>
          </w:p>
        </w:tc>
        <w:tc>
          <w:tcPr>
            <w:tcW w:w="3290" w:type="dxa"/>
            <w:vAlign w:val="center"/>
          </w:tcPr>
          <w:p w14:paraId="44FDF9A5">
            <w:pPr>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525" w:type="dxa"/>
            <w:vAlign w:val="center"/>
          </w:tcPr>
          <w:p w14:paraId="1F00AD7F">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2145" w:type="dxa"/>
            <w:vAlign w:val="center"/>
          </w:tcPr>
          <w:p w14:paraId="6D53B6CA">
            <w:pPr>
              <w:rPr>
                <w:rFonts w:ascii="宋体" w:hAnsi="宋体" w:cs="宋体"/>
                <w:color w:val="auto"/>
                <w:sz w:val="24"/>
                <w:highlight w:val="none"/>
              </w:rPr>
            </w:pPr>
            <w:r>
              <w:rPr>
                <w:rFonts w:hint="eastAsia" w:ascii="宋体" w:hAnsi="宋体" w:cs="宋体"/>
                <w:color w:val="auto"/>
                <w:sz w:val="24"/>
                <w:highlight w:val="none"/>
              </w:rPr>
              <w:t>见投标文件需要签字盖章的各页。</w:t>
            </w:r>
          </w:p>
        </w:tc>
      </w:tr>
      <w:tr w14:paraId="22A3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646" w:type="dxa"/>
            <w:vAlign w:val="center"/>
          </w:tcPr>
          <w:p w14:paraId="348E8D82">
            <w:pPr>
              <w:jc w:val="center"/>
              <w:rPr>
                <w:rFonts w:ascii="宋体" w:hAnsi="宋体" w:cs="宋体"/>
                <w:color w:val="auto"/>
                <w:sz w:val="24"/>
                <w:highlight w:val="none"/>
              </w:rPr>
            </w:pPr>
            <w:r>
              <w:rPr>
                <w:rFonts w:hint="eastAsia" w:ascii="宋体" w:hAnsi="宋体" w:cs="宋体"/>
                <w:color w:val="auto"/>
                <w:sz w:val="24"/>
                <w:highlight w:val="none"/>
              </w:rPr>
              <w:t>2</w:t>
            </w:r>
          </w:p>
        </w:tc>
        <w:tc>
          <w:tcPr>
            <w:tcW w:w="3290" w:type="dxa"/>
            <w:vAlign w:val="center"/>
          </w:tcPr>
          <w:p w14:paraId="08EACA8B">
            <w:pPr>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525" w:type="dxa"/>
            <w:vAlign w:val="center"/>
          </w:tcPr>
          <w:p w14:paraId="120DE6B5">
            <w:pPr>
              <w:rPr>
                <w:rFonts w:ascii="宋体" w:hAnsi="宋体" w:cs="宋体"/>
                <w:color w:val="auto"/>
                <w:sz w:val="24"/>
                <w:highlight w:val="none"/>
              </w:rPr>
            </w:pPr>
            <w:r>
              <w:rPr>
                <w:rFonts w:hint="eastAsia" w:ascii="宋体" w:hAnsi="宋体" w:cs="宋体"/>
                <w:color w:val="auto"/>
                <w:sz w:val="24"/>
                <w:highlight w:val="none"/>
              </w:rPr>
              <w:t>投标函</w:t>
            </w:r>
          </w:p>
        </w:tc>
        <w:tc>
          <w:tcPr>
            <w:tcW w:w="2145" w:type="dxa"/>
            <w:vAlign w:val="center"/>
          </w:tcPr>
          <w:p w14:paraId="37DFAF1A">
            <w:pPr>
              <w:rPr>
                <w:rFonts w:ascii="宋体" w:hAnsi="宋体" w:cs="宋体"/>
                <w:color w:val="auto"/>
                <w:sz w:val="24"/>
                <w:highlight w:val="none"/>
              </w:rPr>
            </w:pPr>
            <w:r>
              <w:rPr>
                <w:rFonts w:hint="eastAsia" w:ascii="宋体" w:hAnsi="宋体" w:cs="宋体"/>
                <w:color w:val="auto"/>
                <w:sz w:val="24"/>
                <w:highlight w:val="none"/>
              </w:rPr>
              <w:t>见投标文件第  页</w:t>
            </w:r>
          </w:p>
        </w:tc>
      </w:tr>
      <w:tr w14:paraId="5F12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646" w:type="dxa"/>
            <w:vAlign w:val="center"/>
          </w:tcPr>
          <w:p w14:paraId="55812F86">
            <w:pPr>
              <w:jc w:val="center"/>
              <w:rPr>
                <w:rFonts w:ascii="宋体" w:hAnsi="宋体" w:cs="宋体"/>
                <w:color w:val="auto"/>
                <w:sz w:val="24"/>
                <w:highlight w:val="none"/>
              </w:rPr>
            </w:pPr>
            <w:r>
              <w:rPr>
                <w:rFonts w:hint="eastAsia" w:ascii="宋体" w:hAnsi="宋体" w:cs="宋体"/>
                <w:color w:val="auto"/>
                <w:sz w:val="24"/>
                <w:highlight w:val="none"/>
              </w:rPr>
              <w:t>3</w:t>
            </w:r>
          </w:p>
        </w:tc>
        <w:tc>
          <w:tcPr>
            <w:tcW w:w="3290" w:type="dxa"/>
            <w:vAlign w:val="center"/>
          </w:tcPr>
          <w:p w14:paraId="57BBCC56">
            <w:pPr>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525" w:type="dxa"/>
            <w:vAlign w:val="center"/>
          </w:tcPr>
          <w:p w14:paraId="14144A0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2145" w:type="dxa"/>
            <w:vAlign w:val="center"/>
          </w:tcPr>
          <w:p w14:paraId="1F72000A">
            <w:pPr>
              <w:rPr>
                <w:rFonts w:ascii="宋体" w:hAnsi="宋体" w:cs="宋体"/>
                <w:color w:val="auto"/>
                <w:sz w:val="24"/>
                <w:highlight w:val="none"/>
              </w:rPr>
            </w:pPr>
            <w:r>
              <w:rPr>
                <w:rFonts w:hint="eastAsia" w:ascii="宋体" w:hAnsi="宋体" w:cs="宋体"/>
                <w:color w:val="auto"/>
                <w:sz w:val="24"/>
                <w:highlight w:val="none"/>
              </w:rPr>
              <w:t>见投标文件第  页</w:t>
            </w:r>
          </w:p>
        </w:tc>
      </w:tr>
    </w:tbl>
    <w:p w14:paraId="008F924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3EB755A">
      <w:pPr>
        <w:jc w:val="center"/>
        <w:rPr>
          <w:rFonts w:ascii="宋体" w:hAnsi="宋体" w:cs="宋体"/>
          <w:b/>
          <w:color w:val="auto"/>
          <w:kern w:val="0"/>
          <w:sz w:val="32"/>
          <w:szCs w:val="32"/>
          <w:highlight w:val="none"/>
        </w:rPr>
      </w:pPr>
    </w:p>
    <w:p w14:paraId="6522B67C">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2C1C276">
      <w:pPr>
        <w:ind w:firstLine="1911" w:firstLineChars="595"/>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w:t>
      </w:r>
      <w:r>
        <w:rPr>
          <w:rFonts w:hint="eastAsia" w:ascii="宋体" w:hAnsi="宋体" w:cs="宋体"/>
          <w:b/>
          <w:color w:val="auto"/>
          <w:kern w:val="0"/>
          <w:sz w:val="32"/>
          <w:szCs w:val="32"/>
          <w:highlight w:val="none"/>
          <w:lang w:val="zh-CN"/>
        </w:rPr>
        <w:t>政府采购供应商廉洁自律承诺书</w:t>
      </w:r>
    </w:p>
    <w:p w14:paraId="1BF4FC00">
      <w:pPr>
        <w:snapToGrid w:val="0"/>
        <w:spacing w:line="360" w:lineRule="auto"/>
        <w:rPr>
          <w:rFonts w:ascii="宋体" w:hAnsi="宋体" w:cs="宋体"/>
          <w:color w:val="auto"/>
          <w:sz w:val="24"/>
          <w:highlight w:val="none"/>
        </w:rPr>
      </w:pPr>
    </w:p>
    <w:p w14:paraId="5DAEA8C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39B7DDE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C077E2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51C74E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56948D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5765FA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5528B3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495E97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849638C">
      <w:pPr>
        <w:autoSpaceDE w:val="0"/>
        <w:autoSpaceDN w:val="0"/>
        <w:spacing w:line="360" w:lineRule="auto"/>
        <w:ind w:left="481" w:leftChars="229"/>
        <w:jc w:val="left"/>
        <w:rPr>
          <w:rFonts w:ascii="宋体" w:hAnsi="宋体" w:cs="宋体"/>
          <w:color w:val="auto"/>
          <w:kern w:val="0"/>
          <w:sz w:val="24"/>
          <w:highlight w:val="none"/>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r>
        <w:rPr>
          <w:rFonts w:hint="eastAsia" w:ascii="宋体" w:hAnsi="宋体" w:cs="宋体"/>
          <w:color w:val="auto"/>
          <w:kern w:val="0"/>
          <w:sz w:val="24"/>
          <w:highlight w:val="none"/>
        </w:rPr>
        <w:t>法》、</w:t>
      </w:r>
    </w:p>
    <w:p w14:paraId="2E330F3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F3BCFE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E271399">
      <w:pPr>
        <w:autoSpaceDE w:val="0"/>
        <w:autoSpaceDN w:val="0"/>
        <w:spacing w:line="360" w:lineRule="auto"/>
        <w:ind w:left="2"/>
        <w:jc w:val="left"/>
        <w:rPr>
          <w:rFonts w:ascii="宋体" w:hAnsi="宋体" w:cs="宋体"/>
          <w:color w:val="auto"/>
          <w:kern w:val="0"/>
          <w:sz w:val="24"/>
          <w:highlight w:val="none"/>
          <w:lang w:val="zh-CN"/>
        </w:rPr>
      </w:pPr>
    </w:p>
    <w:p w14:paraId="6F3C499F">
      <w:pPr>
        <w:autoSpaceDE w:val="0"/>
        <w:autoSpaceDN w:val="0"/>
        <w:spacing w:line="360" w:lineRule="auto"/>
        <w:ind w:left="2"/>
        <w:jc w:val="left"/>
        <w:rPr>
          <w:rFonts w:ascii="宋体" w:hAnsi="宋体" w:cs="宋体"/>
          <w:color w:val="auto"/>
          <w:kern w:val="0"/>
          <w:sz w:val="24"/>
          <w:highlight w:val="none"/>
          <w:lang w:val="zh-CN"/>
        </w:rPr>
      </w:pPr>
    </w:p>
    <w:p w14:paraId="7F1D565C">
      <w:pPr>
        <w:autoSpaceDE w:val="0"/>
        <w:autoSpaceDN w:val="0"/>
        <w:spacing w:line="360" w:lineRule="auto"/>
        <w:ind w:left="2"/>
        <w:jc w:val="left"/>
        <w:rPr>
          <w:rFonts w:ascii="宋体" w:hAnsi="宋体" w:cs="宋体"/>
          <w:color w:val="auto"/>
          <w:kern w:val="0"/>
          <w:sz w:val="24"/>
          <w:highlight w:val="none"/>
          <w:lang w:val="zh-CN"/>
        </w:rPr>
      </w:pPr>
    </w:p>
    <w:p w14:paraId="359FCE77">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zh-CN"/>
        </w:rPr>
        <w:t xml:space="preserve">：                                                                                                                                                                                                               </w:t>
      </w:r>
    </w:p>
    <w:p w14:paraId="277D1F9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8DFF044">
      <w:pPr>
        <w:spacing w:line="360" w:lineRule="auto"/>
        <w:jc w:val="center"/>
        <w:rPr>
          <w:rFonts w:ascii="宋体" w:hAnsi="宋体" w:cs="宋体"/>
          <w:b/>
          <w:bCs/>
          <w:color w:val="auto"/>
          <w:sz w:val="24"/>
          <w:highlight w:val="none"/>
        </w:rPr>
      </w:pPr>
    </w:p>
    <w:p w14:paraId="2393A36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26CB7F0">
      <w:pPr>
        <w:rPr>
          <w:rFonts w:ascii="宋体" w:hAnsi="宋体" w:cs="宋体"/>
          <w:b/>
          <w:bCs/>
          <w:color w:val="auto"/>
          <w:sz w:val="24"/>
          <w:highlight w:val="none"/>
        </w:rPr>
      </w:pPr>
      <w:r>
        <w:rPr>
          <w:rFonts w:hint="eastAsia" w:ascii="宋体" w:hAnsi="宋体" w:cs="宋体"/>
          <w:b/>
          <w:bCs/>
          <w:color w:val="auto"/>
          <w:sz w:val="24"/>
          <w:highlight w:val="none"/>
        </w:rPr>
        <w:br w:type="page"/>
      </w:r>
    </w:p>
    <w:p w14:paraId="37471320">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702"/>
        <w:gridCol w:w="1350"/>
        <w:gridCol w:w="1235"/>
        <w:gridCol w:w="862"/>
        <w:gridCol w:w="1673"/>
      </w:tblGrid>
      <w:tr w14:paraId="5280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C3E53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967C98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702" w:type="dxa"/>
            <w:tcBorders>
              <w:top w:val="single" w:color="auto" w:sz="4" w:space="0"/>
              <w:left w:val="single" w:color="auto" w:sz="4" w:space="0"/>
              <w:bottom w:val="single" w:color="auto" w:sz="4" w:space="0"/>
              <w:right w:val="single" w:color="auto" w:sz="4" w:space="0"/>
            </w:tcBorders>
            <w:vAlign w:val="center"/>
          </w:tcPr>
          <w:p w14:paraId="53FB7C0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350" w:type="dxa"/>
            <w:tcBorders>
              <w:top w:val="single" w:color="auto" w:sz="4" w:space="0"/>
              <w:left w:val="single" w:color="auto" w:sz="4" w:space="0"/>
              <w:bottom w:val="single" w:color="auto" w:sz="4" w:space="0"/>
              <w:right w:val="single" w:color="auto" w:sz="4" w:space="0"/>
            </w:tcBorders>
            <w:vAlign w:val="center"/>
          </w:tcPr>
          <w:p w14:paraId="71B0E21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235" w:type="dxa"/>
            <w:tcBorders>
              <w:top w:val="single" w:color="auto" w:sz="4" w:space="0"/>
              <w:left w:val="single" w:color="auto" w:sz="4" w:space="0"/>
              <w:bottom w:val="single" w:color="auto" w:sz="4" w:space="0"/>
              <w:right w:val="single" w:color="auto" w:sz="4" w:space="0"/>
            </w:tcBorders>
            <w:vAlign w:val="center"/>
          </w:tcPr>
          <w:p w14:paraId="75668D9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862" w:type="dxa"/>
            <w:tcBorders>
              <w:top w:val="single" w:color="auto" w:sz="4" w:space="0"/>
              <w:left w:val="single" w:color="auto" w:sz="4" w:space="0"/>
              <w:bottom w:val="single" w:color="auto" w:sz="4" w:space="0"/>
              <w:right w:val="single" w:color="auto" w:sz="4" w:space="0"/>
            </w:tcBorders>
            <w:vAlign w:val="center"/>
          </w:tcPr>
          <w:p w14:paraId="477910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1673" w:type="dxa"/>
            <w:tcBorders>
              <w:top w:val="single" w:color="auto" w:sz="4" w:space="0"/>
              <w:left w:val="single" w:color="auto" w:sz="4" w:space="0"/>
              <w:bottom w:val="single" w:color="auto" w:sz="4" w:space="0"/>
              <w:right w:val="single" w:color="auto" w:sz="4" w:space="0"/>
            </w:tcBorders>
            <w:vAlign w:val="center"/>
          </w:tcPr>
          <w:p w14:paraId="37D0261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1B49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E258F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7D5B708">
            <w:pPr>
              <w:snapToGrid w:val="0"/>
              <w:spacing w:line="360" w:lineRule="auto"/>
              <w:jc w:val="center"/>
              <w:rPr>
                <w:rFonts w:ascii="宋体" w:hAnsi="宋体" w:cs="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21C0EA21">
            <w:pPr>
              <w:snapToGrid w:val="0"/>
              <w:spacing w:line="360" w:lineRule="auto"/>
              <w:jc w:val="center"/>
              <w:rPr>
                <w:rFonts w:ascii="宋体" w:hAnsi="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549D66D5">
            <w:pPr>
              <w:snapToGrid w:val="0"/>
              <w:spacing w:line="360" w:lineRule="auto"/>
              <w:jc w:val="center"/>
              <w:rPr>
                <w:rFonts w:ascii="宋体" w:hAnsi="宋体" w:cs="宋体"/>
                <w:color w:val="auto"/>
                <w:sz w:val="24"/>
                <w:highlight w:val="none"/>
              </w:rPr>
            </w:pPr>
          </w:p>
        </w:tc>
        <w:tc>
          <w:tcPr>
            <w:tcW w:w="1235" w:type="dxa"/>
            <w:tcBorders>
              <w:top w:val="single" w:color="auto" w:sz="4" w:space="0"/>
              <w:left w:val="single" w:color="auto" w:sz="4" w:space="0"/>
              <w:bottom w:val="single" w:color="auto" w:sz="4" w:space="0"/>
              <w:right w:val="single" w:color="auto" w:sz="4" w:space="0"/>
            </w:tcBorders>
            <w:vAlign w:val="center"/>
          </w:tcPr>
          <w:p w14:paraId="40D40760">
            <w:pPr>
              <w:spacing w:line="360" w:lineRule="auto"/>
              <w:jc w:val="center"/>
              <w:rPr>
                <w:rFonts w:ascii="宋体" w:hAnsi="宋体" w:cs="宋体"/>
                <w:color w:val="auto"/>
                <w:sz w:val="24"/>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14:paraId="6CB48BA0">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553435B">
            <w:pPr>
              <w:spacing w:line="360" w:lineRule="auto"/>
              <w:jc w:val="center"/>
              <w:rPr>
                <w:rFonts w:ascii="宋体" w:hAnsi="宋体" w:cs="宋体"/>
                <w:color w:val="auto"/>
                <w:sz w:val="24"/>
                <w:highlight w:val="none"/>
              </w:rPr>
            </w:pPr>
          </w:p>
        </w:tc>
      </w:tr>
      <w:tr w14:paraId="0C50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C56D2A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533951C">
            <w:pPr>
              <w:snapToGrid w:val="0"/>
              <w:spacing w:line="360" w:lineRule="auto"/>
              <w:jc w:val="center"/>
              <w:rPr>
                <w:rFonts w:ascii="宋体" w:hAnsi="宋体" w:cs="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557FFD76">
            <w:pPr>
              <w:snapToGrid w:val="0"/>
              <w:spacing w:line="360" w:lineRule="auto"/>
              <w:jc w:val="center"/>
              <w:rPr>
                <w:rFonts w:ascii="宋体" w:hAnsi="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78AAA002">
            <w:pPr>
              <w:snapToGrid w:val="0"/>
              <w:spacing w:line="360" w:lineRule="auto"/>
              <w:jc w:val="center"/>
              <w:rPr>
                <w:rFonts w:ascii="宋体" w:hAnsi="宋体" w:cs="宋体"/>
                <w:color w:val="auto"/>
                <w:sz w:val="24"/>
                <w:highlight w:val="none"/>
              </w:rPr>
            </w:pPr>
          </w:p>
        </w:tc>
        <w:tc>
          <w:tcPr>
            <w:tcW w:w="1235" w:type="dxa"/>
            <w:tcBorders>
              <w:top w:val="single" w:color="auto" w:sz="4" w:space="0"/>
              <w:left w:val="single" w:color="auto" w:sz="4" w:space="0"/>
              <w:bottom w:val="single" w:color="auto" w:sz="4" w:space="0"/>
              <w:right w:val="single" w:color="auto" w:sz="4" w:space="0"/>
            </w:tcBorders>
            <w:vAlign w:val="center"/>
          </w:tcPr>
          <w:p w14:paraId="7B84AA56">
            <w:pPr>
              <w:spacing w:line="360" w:lineRule="auto"/>
              <w:jc w:val="center"/>
              <w:rPr>
                <w:rFonts w:ascii="宋体" w:hAnsi="宋体" w:cs="宋体"/>
                <w:color w:val="auto"/>
                <w:sz w:val="24"/>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14:paraId="29D57FB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635EA7E">
            <w:pPr>
              <w:spacing w:line="360" w:lineRule="auto"/>
              <w:jc w:val="center"/>
              <w:rPr>
                <w:rFonts w:ascii="宋体" w:hAnsi="宋体" w:cs="宋体"/>
                <w:color w:val="auto"/>
                <w:sz w:val="24"/>
                <w:highlight w:val="none"/>
              </w:rPr>
            </w:pPr>
          </w:p>
        </w:tc>
      </w:tr>
      <w:tr w14:paraId="7F16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850D2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75DB574">
            <w:pPr>
              <w:snapToGrid w:val="0"/>
              <w:spacing w:line="360" w:lineRule="auto"/>
              <w:jc w:val="center"/>
              <w:rPr>
                <w:rFonts w:ascii="宋体" w:hAnsi="宋体" w:cs="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7A880F65">
            <w:pPr>
              <w:snapToGrid w:val="0"/>
              <w:spacing w:line="360" w:lineRule="auto"/>
              <w:jc w:val="center"/>
              <w:rPr>
                <w:rFonts w:ascii="宋体" w:hAnsi="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75B2AEB5">
            <w:pPr>
              <w:snapToGrid w:val="0"/>
              <w:spacing w:line="360" w:lineRule="auto"/>
              <w:jc w:val="center"/>
              <w:rPr>
                <w:rFonts w:ascii="宋体" w:hAnsi="宋体" w:cs="宋体"/>
                <w:color w:val="auto"/>
                <w:sz w:val="24"/>
                <w:highlight w:val="none"/>
              </w:rPr>
            </w:pPr>
          </w:p>
        </w:tc>
        <w:tc>
          <w:tcPr>
            <w:tcW w:w="1235" w:type="dxa"/>
            <w:tcBorders>
              <w:top w:val="single" w:color="auto" w:sz="4" w:space="0"/>
              <w:left w:val="single" w:color="auto" w:sz="4" w:space="0"/>
              <w:bottom w:val="single" w:color="auto" w:sz="4" w:space="0"/>
              <w:right w:val="single" w:color="auto" w:sz="4" w:space="0"/>
            </w:tcBorders>
            <w:vAlign w:val="center"/>
          </w:tcPr>
          <w:p w14:paraId="0386F2A5">
            <w:pPr>
              <w:spacing w:line="360" w:lineRule="auto"/>
              <w:jc w:val="center"/>
              <w:rPr>
                <w:rFonts w:ascii="宋体" w:hAnsi="宋体" w:cs="宋体"/>
                <w:color w:val="auto"/>
                <w:sz w:val="24"/>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14:paraId="59B6ECF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DAA5E72">
            <w:pPr>
              <w:spacing w:line="360" w:lineRule="auto"/>
              <w:jc w:val="center"/>
              <w:rPr>
                <w:rFonts w:ascii="宋体" w:hAnsi="宋体" w:cs="宋体"/>
                <w:color w:val="auto"/>
                <w:sz w:val="24"/>
                <w:highlight w:val="none"/>
              </w:rPr>
            </w:pPr>
          </w:p>
        </w:tc>
      </w:tr>
    </w:tbl>
    <w:p w14:paraId="61636CC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E98854C">
      <w:pPr>
        <w:jc w:val="center"/>
        <w:rPr>
          <w:rFonts w:ascii="宋体" w:hAnsi="宋体" w:cs="宋体"/>
          <w:b/>
          <w:color w:val="auto"/>
          <w:kern w:val="0"/>
          <w:sz w:val="32"/>
          <w:szCs w:val="32"/>
          <w:highlight w:val="none"/>
        </w:rPr>
      </w:pPr>
    </w:p>
    <w:p w14:paraId="2DB1BCA0">
      <w:pPr>
        <w:jc w:val="center"/>
        <w:rPr>
          <w:rFonts w:ascii="宋体" w:hAnsi="宋体" w:cs="宋体"/>
          <w:b/>
          <w:color w:val="auto"/>
          <w:kern w:val="0"/>
          <w:sz w:val="32"/>
          <w:szCs w:val="32"/>
          <w:highlight w:val="none"/>
        </w:rPr>
      </w:pPr>
    </w:p>
    <w:p w14:paraId="3B702D5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六、商务技术要求偏离表</w:t>
      </w:r>
    </w:p>
    <w:tbl>
      <w:tblPr>
        <w:tblStyle w:val="64"/>
        <w:tblW w:w="9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3029"/>
        <w:gridCol w:w="2916"/>
        <w:gridCol w:w="1275"/>
        <w:gridCol w:w="1275"/>
      </w:tblGrid>
      <w:tr w14:paraId="05ED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88" w:type="dxa"/>
          </w:tcPr>
          <w:p w14:paraId="39FC93D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029" w:type="dxa"/>
          </w:tcPr>
          <w:p w14:paraId="043897D8">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2916" w:type="dxa"/>
          </w:tcPr>
          <w:p w14:paraId="6E3C98FD">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5" w:type="dxa"/>
          </w:tcPr>
          <w:p w14:paraId="32208048">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c>
          <w:tcPr>
            <w:tcW w:w="1275" w:type="dxa"/>
          </w:tcPr>
          <w:p w14:paraId="1D1D544F">
            <w:pPr>
              <w:jc w:val="center"/>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备注</w:t>
            </w:r>
          </w:p>
        </w:tc>
      </w:tr>
      <w:tr w14:paraId="553A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88" w:type="dxa"/>
          </w:tcPr>
          <w:p w14:paraId="025A178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029" w:type="dxa"/>
          </w:tcPr>
          <w:p w14:paraId="182F2291">
            <w:pPr>
              <w:jc w:val="center"/>
              <w:rPr>
                <w:rFonts w:ascii="宋体" w:hAnsi="宋体" w:cs="宋体"/>
                <w:b/>
                <w:color w:val="auto"/>
                <w:kern w:val="0"/>
                <w:sz w:val="32"/>
                <w:szCs w:val="32"/>
                <w:highlight w:val="none"/>
              </w:rPr>
            </w:pPr>
          </w:p>
        </w:tc>
        <w:tc>
          <w:tcPr>
            <w:tcW w:w="2916" w:type="dxa"/>
          </w:tcPr>
          <w:p w14:paraId="2013C824">
            <w:pPr>
              <w:jc w:val="center"/>
              <w:rPr>
                <w:rFonts w:ascii="宋体" w:hAnsi="宋体" w:cs="宋体"/>
                <w:b/>
                <w:color w:val="auto"/>
                <w:kern w:val="0"/>
                <w:sz w:val="32"/>
                <w:szCs w:val="32"/>
                <w:highlight w:val="none"/>
              </w:rPr>
            </w:pPr>
          </w:p>
        </w:tc>
        <w:tc>
          <w:tcPr>
            <w:tcW w:w="1275" w:type="dxa"/>
          </w:tcPr>
          <w:p w14:paraId="2E92183F">
            <w:pPr>
              <w:jc w:val="center"/>
              <w:rPr>
                <w:rFonts w:ascii="宋体" w:hAnsi="宋体" w:cs="宋体"/>
                <w:b/>
                <w:color w:val="auto"/>
                <w:kern w:val="0"/>
                <w:sz w:val="32"/>
                <w:szCs w:val="32"/>
                <w:highlight w:val="none"/>
              </w:rPr>
            </w:pPr>
          </w:p>
        </w:tc>
        <w:tc>
          <w:tcPr>
            <w:tcW w:w="1275" w:type="dxa"/>
          </w:tcPr>
          <w:p w14:paraId="54478E55">
            <w:pPr>
              <w:jc w:val="center"/>
              <w:rPr>
                <w:rFonts w:ascii="宋体" w:hAnsi="宋体" w:cs="宋体"/>
                <w:b/>
                <w:color w:val="auto"/>
                <w:kern w:val="0"/>
                <w:sz w:val="32"/>
                <w:szCs w:val="32"/>
                <w:highlight w:val="none"/>
              </w:rPr>
            </w:pPr>
          </w:p>
        </w:tc>
      </w:tr>
      <w:tr w14:paraId="3FEC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88" w:type="dxa"/>
          </w:tcPr>
          <w:p w14:paraId="7C4E3095">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029" w:type="dxa"/>
          </w:tcPr>
          <w:p w14:paraId="4C99DDEB">
            <w:pPr>
              <w:jc w:val="center"/>
              <w:rPr>
                <w:rFonts w:ascii="宋体" w:hAnsi="宋体" w:cs="宋体"/>
                <w:b/>
                <w:color w:val="auto"/>
                <w:kern w:val="0"/>
                <w:sz w:val="32"/>
                <w:szCs w:val="32"/>
                <w:highlight w:val="none"/>
              </w:rPr>
            </w:pPr>
          </w:p>
        </w:tc>
        <w:tc>
          <w:tcPr>
            <w:tcW w:w="2916" w:type="dxa"/>
          </w:tcPr>
          <w:p w14:paraId="3F031BAE">
            <w:pPr>
              <w:jc w:val="center"/>
              <w:rPr>
                <w:rFonts w:ascii="宋体" w:hAnsi="宋体" w:cs="宋体"/>
                <w:b/>
                <w:color w:val="auto"/>
                <w:kern w:val="0"/>
                <w:sz w:val="32"/>
                <w:szCs w:val="32"/>
                <w:highlight w:val="none"/>
              </w:rPr>
            </w:pPr>
          </w:p>
        </w:tc>
        <w:tc>
          <w:tcPr>
            <w:tcW w:w="1275" w:type="dxa"/>
          </w:tcPr>
          <w:p w14:paraId="13E90AD7">
            <w:pPr>
              <w:jc w:val="center"/>
              <w:rPr>
                <w:rFonts w:ascii="宋体" w:hAnsi="宋体" w:cs="宋体"/>
                <w:b/>
                <w:color w:val="auto"/>
                <w:kern w:val="0"/>
                <w:sz w:val="32"/>
                <w:szCs w:val="32"/>
                <w:highlight w:val="none"/>
              </w:rPr>
            </w:pPr>
          </w:p>
        </w:tc>
        <w:tc>
          <w:tcPr>
            <w:tcW w:w="1275" w:type="dxa"/>
          </w:tcPr>
          <w:p w14:paraId="69D8B30F">
            <w:pPr>
              <w:jc w:val="center"/>
              <w:rPr>
                <w:rFonts w:ascii="宋体" w:hAnsi="宋体" w:cs="宋体"/>
                <w:b/>
                <w:color w:val="auto"/>
                <w:kern w:val="0"/>
                <w:sz w:val="32"/>
                <w:szCs w:val="32"/>
                <w:highlight w:val="none"/>
              </w:rPr>
            </w:pPr>
          </w:p>
        </w:tc>
      </w:tr>
      <w:tr w14:paraId="6B43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88" w:type="dxa"/>
          </w:tcPr>
          <w:p w14:paraId="45E1927D">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029" w:type="dxa"/>
          </w:tcPr>
          <w:p w14:paraId="1EC81A6B">
            <w:pPr>
              <w:jc w:val="center"/>
              <w:rPr>
                <w:rFonts w:ascii="宋体" w:hAnsi="宋体" w:cs="宋体"/>
                <w:b/>
                <w:color w:val="auto"/>
                <w:kern w:val="0"/>
                <w:sz w:val="32"/>
                <w:szCs w:val="32"/>
                <w:highlight w:val="none"/>
              </w:rPr>
            </w:pPr>
          </w:p>
        </w:tc>
        <w:tc>
          <w:tcPr>
            <w:tcW w:w="2916" w:type="dxa"/>
          </w:tcPr>
          <w:p w14:paraId="3F3F6F92">
            <w:pPr>
              <w:jc w:val="center"/>
              <w:rPr>
                <w:rFonts w:ascii="宋体" w:hAnsi="宋体" w:cs="宋体"/>
                <w:b/>
                <w:color w:val="auto"/>
                <w:kern w:val="0"/>
                <w:sz w:val="32"/>
                <w:szCs w:val="32"/>
                <w:highlight w:val="none"/>
              </w:rPr>
            </w:pPr>
          </w:p>
        </w:tc>
        <w:tc>
          <w:tcPr>
            <w:tcW w:w="1275" w:type="dxa"/>
          </w:tcPr>
          <w:p w14:paraId="6646AC81">
            <w:pPr>
              <w:jc w:val="center"/>
              <w:rPr>
                <w:rFonts w:ascii="宋体" w:hAnsi="宋体" w:cs="宋体"/>
                <w:b/>
                <w:color w:val="auto"/>
                <w:kern w:val="0"/>
                <w:sz w:val="32"/>
                <w:szCs w:val="32"/>
                <w:highlight w:val="none"/>
              </w:rPr>
            </w:pPr>
          </w:p>
        </w:tc>
        <w:tc>
          <w:tcPr>
            <w:tcW w:w="1275" w:type="dxa"/>
          </w:tcPr>
          <w:p w14:paraId="0405ECD3">
            <w:pPr>
              <w:jc w:val="center"/>
              <w:rPr>
                <w:rFonts w:ascii="宋体" w:hAnsi="宋体" w:cs="宋体"/>
                <w:b/>
                <w:color w:val="auto"/>
                <w:kern w:val="0"/>
                <w:sz w:val="32"/>
                <w:szCs w:val="32"/>
                <w:highlight w:val="none"/>
              </w:rPr>
            </w:pPr>
          </w:p>
        </w:tc>
      </w:tr>
    </w:tbl>
    <w:p w14:paraId="55062504">
      <w:pPr>
        <w:jc w:val="center"/>
        <w:rPr>
          <w:rFonts w:ascii="宋体" w:hAnsi="宋体" w:cs="宋体"/>
          <w:b/>
          <w:color w:val="auto"/>
          <w:kern w:val="0"/>
          <w:sz w:val="32"/>
          <w:szCs w:val="32"/>
          <w:highlight w:val="none"/>
        </w:rPr>
      </w:pPr>
    </w:p>
    <w:p w14:paraId="6449B6CE">
      <w:pPr>
        <w:snapToGrid w:val="0"/>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『编制说明』：</w:t>
      </w:r>
    </w:p>
    <w:p w14:paraId="0B9F7E9D">
      <w:pPr>
        <w:widowControl/>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1、投标人需按“第三部分  采购需求”中各项要求（包含技术需求及商务、其他要求）一一对应</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在本表中如实填写具体响应（有技术参数的提供响应的技术参数），未按要求填写的，有可能作负偏离处理。</w:t>
      </w:r>
    </w:p>
    <w:p w14:paraId="3EA189D1">
      <w:pPr>
        <w:widowControl/>
        <w:spacing w:line="400" w:lineRule="exact"/>
        <w:jc w:val="left"/>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2、偏离说明是指对招标文件要求存在不同之处的解释说明。偏离系指：正偏离（高于采购需求）、负偏离（低于采购需求）、无偏离（满足采购需求）</w:t>
      </w:r>
      <w:r>
        <w:rPr>
          <w:rFonts w:hint="eastAsia" w:ascii="宋体" w:hAnsi="宋体" w:cs="宋体"/>
          <w:b/>
          <w:bCs/>
          <w:color w:val="auto"/>
          <w:szCs w:val="21"/>
          <w:highlight w:val="none"/>
          <w:lang w:eastAsia="zh-CN"/>
        </w:rPr>
        <w:t>。</w:t>
      </w:r>
    </w:p>
    <w:p w14:paraId="579E9D46">
      <w:pPr>
        <w:widowControl/>
        <w:spacing w:line="400" w:lineRule="exact"/>
        <w:jc w:val="left"/>
        <w:rPr>
          <w:rFonts w:ascii="宋体" w:hAnsi="宋体" w:cs="宋体"/>
          <w:b/>
          <w:bCs/>
          <w:color w:val="auto"/>
          <w:highlight w:val="none"/>
        </w:rPr>
      </w:pPr>
      <w:r>
        <w:rPr>
          <w:rFonts w:hint="eastAsia" w:ascii="宋体" w:hAnsi="宋体" w:cs="宋体"/>
          <w:b/>
          <w:bCs/>
          <w:color w:val="auto"/>
          <w:szCs w:val="21"/>
          <w:highlight w:val="none"/>
        </w:rPr>
        <w:t>3、技术指标若有要求供应商提供相应佐证材料的，供应商需在备注栏注明相应佐证材料的页码，并在佐证材料上框出对应的参数，未提供相应佐证材料或者供应商的响应承诺与其佐证材料不一致，评审小组将会以不利于供应商的内容为准进行评审（负偏离）。</w:t>
      </w:r>
    </w:p>
    <w:p w14:paraId="6DE2E7C3">
      <w:pPr>
        <w:pStyle w:val="62"/>
        <w:spacing w:line="400" w:lineRule="exact"/>
        <w:ind w:firstLine="420"/>
        <w:rPr>
          <w:rFonts w:cs="宋体"/>
          <w:color w:val="auto"/>
          <w:highlight w:val="none"/>
        </w:rPr>
      </w:pPr>
    </w:p>
    <w:p w14:paraId="0D6196FF">
      <w:pPr>
        <w:spacing w:line="400" w:lineRule="exact"/>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270B07F">
      <w:pPr>
        <w:widowControl/>
        <w:adjustRightInd/>
        <w:spacing w:line="400" w:lineRule="exact"/>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E33ACE4">
      <w:pPr>
        <w:pStyle w:val="24"/>
        <w:spacing w:line="400" w:lineRule="exact"/>
        <w:rPr>
          <w:rFonts w:hAnsi="宋体" w:cs="宋体"/>
          <w:color w:val="auto"/>
          <w:highlight w:val="none"/>
          <w:lang w:val="en-US"/>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4948DFE4">
      <w:pPr>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rPr>
        <w:t>七、评标标准相应的商务技术资料</w:t>
      </w:r>
    </w:p>
    <w:p w14:paraId="768A6246">
      <w:pPr>
        <w:snapToGrid w:val="0"/>
        <w:spacing w:line="360" w:lineRule="auto"/>
        <w:ind w:firstLine="480" w:firstLineChars="200"/>
        <w:jc w:val="left"/>
        <w:rPr>
          <w:rFonts w:ascii="宋体" w:hAnsi="宋体" w:cs="宋体"/>
          <w:color w:val="auto"/>
          <w:sz w:val="24"/>
          <w:highlight w:val="none"/>
        </w:rPr>
      </w:pPr>
    </w:p>
    <w:p w14:paraId="500B2707">
      <w:pPr>
        <w:snapToGrid w:val="0"/>
        <w:spacing w:line="360" w:lineRule="auto"/>
        <w:ind w:firstLine="960" w:firstLineChars="4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（7-1）供货及配送方案</w:t>
      </w:r>
      <w:r>
        <w:rPr>
          <w:rFonts w:hint="eastAsia" w:ascii="宋体" w:hAnsi="宋体" w:cs="宋体"/>
          <w:color w:val="auto"/>
          <w:sz w:val="24"/>
          <w:highlight w:val="none"/>
          <w:lang w:eastAsia="zh-CN"/>
        </w:rPr>
        <w:t>；</w:t>
      </w:r>
    </w:p>
    <w:p w14:paraId="0C91A8F5">
      <w:pPr>
        <w:snapToGrid w:val="0"/>
        <w:spacing w:line="360" w:lineRule="auto"/>
        <w:ind w:firstLine="960" w:firstLineChars="4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（7-2）验收方案</w:t>
      </w:r>
      <w:r>
        <w:rPr>
          <w:rFonts w:hint="eastAsia" w:ascii="宋体" w:hAnsi="宋体" w:cs="宋体"/>
          <w:color w:val="auto"/>
          <w:sz w:val="24"/>
          <w:highlight w:val="none"/>
          <w:lang w:eastAsia="zh-CN"/>
        </w:rPr>
        <w:t>；</w:t>
      </w:r>
    </w:p>
    <w:p w14:paraId="7E25D6F5">
      <w:pPr>
        <w:snapToGrid w:val="0"/>
        <w:spacing w:line="360" w:lineRule="auto"/>
        <w:ind w:firstLine="960" w:firstLineChars="4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（7-3）售后服务</w:t>
      </w:r>
      <w:r>
        <w:rPr>
          <w:rFonts w:hint="eastAsia" w:ascii="宋体" w:hAnsi="宋体" w:cs="宋体"/>
          <w:color w:val="auto"/>
          <w:sz w:val="24"/>
          <w:highlight w:val="none"/>
          <w:lang w:eastAsia="zh-CN"/>
        </w:rPr>
        <w:t>；</w:t>
      </w:r>
    </w:p>
    <w:p w14:paraId="4F668D9D">
      <w:pPr>
        <w:snapToGrid w:val="0"/>
        <w:spacing w:line="360" w:lineRule="auto"/>
        <w:ind w:firstLine="960" w:firstLineChars="4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（7-4）服务质量保障措施及承诺</w:t>
      </w:r>
      <w:r>
        <w:rPr>
          <w:rFonts w:hint="eastAsia" w:ascii="宋体" w:hAnsi="宋体" w:cs="宋体"/>
          <w:color w:val="auto"/>
          <w:sz w:val="24"/>
          <w:highlight w:val="none"/>
          <w:lang w:eastAsia="zh-CN"/>
        </w:rPr>
        <w:t>；</w:t>
      </w:r>
    </w:p>
    <w:p w14:paraId="482EA75E">
      <w:pPr>
        <w:snapToGrid w:val="0"/>
        <w:spacing w:line="360" w:lineRule="auto"/>
        <w:ind w:firstLine="960" w:firstLineChars="4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（7-5）培训方案</w:t>
      </w:r>
      <w:r>
        <w:rPr>
          <w:rFonts w:hint="eastAsia" w:ascii="宋体" w:hAnsi="宋体" w:cs="宋体"/>
          <w:color w:val="auto"/>
          <w:sz w:val="24"/>
          <w:highlight w:val="none"/>
          <w:lang w:eastAsia="zh-CN"/>
        </w:rPr>
        <w:t>；</w:t>
      </w:r>
    </w:p>
    <w:p w14:paraId="325417D4">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）认证证书（如有）；</w:t>
      </w:r>
    </w:p>
    <w:p w14:paraId="3EB2AC72">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）同类项目业绩一览表；</w:t>
      </w:r>
    </w:p>
    <w:p w14:paraId="7DD4EA57">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）节能产品、环境标志产品证明资料（如有，请按第四部分评标办法要求提供）；</w:t>
      </w:r>
    </w:p>
    <w:p w14:paraId="2AA3363C">
      <w:pPr>
        <w:snapToGrid w:val="0"/>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）投标人根据第四部分评标办法要求提供的其它方案或资料；</w:t>
      </w:r>
    </w:p>
    <w:p w14:paraId="73EF7420">
      <w:pPr>
        <w:snapToGrid w:val="0"/>
        <w:spacing w:line="360" w:lineRule="auto"/>
        <w:ind w:firstLine="960" w:firstLineChars="400"/>
        <w:jc w:val="left"/>
        <w:rPr>
          <w:rFonts w:hint="eastAsia" w:ascii="宋体" w:hAnsi="宋体" w:eastAsia="宋体" w:cs="宋体"/>
          <w:color w:val="auto"/>
          <w:highlight w:val="none"/>
          <w:lang w:eastAsia="zh-CN"/>
        </w:rPr>
      </w:pPr>
      <w:r>
        <w:rPr>
          <w:rFonts w:hint="eastAsia" w:ascii="宋体" w:hAnsi="宋体" w:cs="宋体"/>
          <w:color w:val="auto"/>
          <w:sz w:val="24"/>
          <w:highlight w:val="none"/>
        </w:rPr>
        <w:t>（7-1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）投标人认为有必要提交的其他商务技术部分文件和资料</w:t>
      </w:r>
      <w:r>
        <w:rPr>
          <w:rFonts w:hint="eastAsia" w:ascii="宋体" w:hAnsi="宋体" w:cs="宋体"/>
          <w:color w:val="auto"/>
          <w:sz w:val="24"/>
          <w:highlight w:val="none"/>
          <w:lang w:eastAsia="zh-CN"/>
        </w:rPr>
        <w:t>。</w:t>
      </w:r>
    </w:p>
    <w:p w14:paraId="05A53EA1">
      <w:pPr>
        <w:pStyle w:val="25"/>
        <w:rPr>
          <w:rFonts w:cs="宋体"/>
          <w:color w:val="auto"/>
          <w:highlight w:val="none"/>
        </w:rPr>
      </w:pPr>
    </w:p>
    <w:p w14:paraId="794055CB">
      <w:pPr>
        <w:pStyle w:val="26"/>
        <w:rPr>
          <w:rFonts w:ascii="宋体" w:hAnsi="宋体" w:cs="宋体"/>
          <w:color w:val="auto"/>
          <w:highlight w:val="none"/>
        </w:rPr>
      </w:pPr>
    </w:p>
    <w:p w14:paraId="77AF1AFF">
      <w:pPr>
        <w:pStyle w:val="26"/>
        <w:rPr>
          <w:rFonts w:ascii="宋体" w:hAnsi="宋体" w:cs="宋体"/>
          <w:color w:val="auto"/>
          <w:highlight w:val="none"/>
        </w:rPr>
      </w:pPr>
    </w:p>
    <w:p w14:paraId="60762919">
      <w:pPr>
        <w:pStyle w:val="26"/>
        <w:rPr>
          <w:rFonts w:ascii="宋体" w:hAnsi="宋体" w:cs="宋体"/>
          <w:color w:val="auto"/>
          <w:highlight w:val="none"/>
        </w:rPr>
      </w:pPr>
    </w:p>
    <w:p w14:paraId="59D0B30C">
      <w:pPr>
        <w:pStyle w:val="26"/>
        <w:rPr>
          <w:rFonts w:ascii="宋体" w:hAnsi="宋体" w:cs="宋体"/>
          <w:color w:val="auto"/>
          <w:highlight w:val="none"/>
        </w:rPr>
      </w:pPr>
    </w:p>
    <w:p w14:paraId="05BF22FD">
      <w:pPr>
        <w:pStyle w:val="26"/>
        <w:rPr>
          <w:rFonts w:ascii="宋体" w:hAnsi="宋体" w:cs="宋体"/>
          <w:color w:val="auto"/>
          <w:highlight w:val="none"/>
        </w:rPr>
      </w:pPr>
    </w:p>
    <w:p w14:paraId="7902EA24">
      <w:pPr>
        <w:pStyle w:val="26"/>
        <w:rPr>
          <w:rFonts w:ascii="宋体" w:hAnsi="宋体" w:cs="宋体"/>
          <w:color w:val="auto"/>
          <w:highlight w:val="none"/>
        </w:rPr>
      </w:pPr>
    </w:p>
    <w:p w14:paraId="28F04E06">
      <w:pPr>
        <w:pStyle w:val="26"/>
        <w:rPr>
          <w:rFonts w:ascii="宋体" w:hAnsi="宋体" w:cs="宋体"/>
          <w:color w:val="auto"/>
          <w:highlight w:val="none"/>
        </w:rPr>
      </w:pPr>
    </w:p>
    <w:p w14:paraId="01B00F89">
      <w:pPr>
        <w:pStyle w:val="26"/>
        <w:rPr>
          <w:rFonts w:ascii="宋体" w:hAnsi="宋体" w:cs="宋体"/>
          <w:color w:val="auto"/>
          <w:highlight w:val="none"/>
        </w:rPr>
      </w:pPr>
    </w:p>
    <w:p w14:paraId="076ACD5B">
      <w:pPr>
        <w:pStyle w:val="26"/>
        <w:rPr>
          <w:rFonts w:ascii="宋体" w:hAnsi="宋体" w:cs="宋体"/>
          <w:color w:val="auto"/>
          <w:highlight w:val="none"/>
        </w:rPr>
      </w:pPr>
    </w:p>
    <w:p w14:paraId="221D0EC1">
      <w:pPr>
        <w:pStyle w:val="26"/>
        <w:rPr>
          <w:rFonts w:ascii="宋体" w:hAnsi="宋体" w:cs="宋体"/>
          <w:color w:val="auto"/>
          <w:highlight w:val="none"/>
        </w:rPr>
      </w:pPr>
    </w:p>
    <w:p w14:paraId="4A41F548">
      <w:pPr>
        <w:snapToGrid w:val="0"/>
        <w:spacing w:line="360" w:lineRule="auto"/>
        <w:ind w:firstLine="960" w:firstLineChars="400"/>
        <w:jc w:val="left"/>
        <w:rPr>
          <w:rFonts w:ascii="宋体" w:hAnsi="宋体" w:cs="宋体"/>
          <w:color w:val="auto"/>
          <w:sz w:val="24"/>
          <w:highlight w:val="none"/>
        </w:rPr>
      </w:pPr>
    </w:p>
    <w:p w14:paraId="30CCFCF1">
      <w:pPr>
        <w:spacing w:line="360" w:lineRule="auto"/>
        <w:jc w:val="center"/>
        <w:rPr>
          <w:rFonts w:ascii="宋体" w:hAnsi="宋体" w:cs="宋体"/>
          <w:color w:val="auto"/>
          <w:sz w:val="24"/>
          <w:highlight w:val="none"/>
        </w:rPr>
      </w:pPr>
    </w:p>
    <w:p w14:paraId="1028CD8F">
      <w:pPr>
        <w:rPr>
          <w:rFonts w:ascii="宋体" w:hAnsi="宋体" w:cs="宋体"/>
          <w:color w:val="auto"/>
          <w:sz w:val="24"/>
          <w:highlight w:val="none"/>
        </w:rPr>
      </w:pPr>
      <w:r>
        <w:rPr>
          <w:rFonts w:hint="eastAsia" w:ascii="宋体" w:hAnsi="宋体" w:cs="宋体"/>
          <w:color w:val="auto"/>
          <w:sz w:val="24"/>
          <w:highlight w:val="none"/>
        </w:rPr>
        <w:br w:type="page"/>
      </w:r>
    </w:p>
    <w:p w14:paraId="0D63F3A8">
      <w:pP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w:t>
      </w:r>
      <w:r>
        <w:rPr>
          <w:rFonts w:hint="eastAsia" w:ascii="宋体" w:hAnsi="宋体" w:cs="宋体"/>
          <w:b/>
          <w:color w:val="auto"/>
          <w:kern w:val="0"/>
          <w:sz w:val="32"/>
          <w:szCs w:val="32"/>
          <w:highlight w:val="none"/>
        </w:rPr>
        <w:t>7</w:t>
      </w:r>
      <w:r>
        <w:rPr>
          <w:rFonts w:hint="eastAsia" w:ascii="宋体" w:hAnsi="宋体" w:cs="宋体"/>
          <w:b/>
          <w:color w:val="auto"/>
          <w:kern w:val="0"/>
          <w:sz w:val="32"/>
          <w:szCs w:val="32"/>
          <w:highlight w:val="none"/>
          <w:lang w:val="zh-CN"/>
        </w:rPr>
        <w:t>-</w:t>
      </w:r>
      <w:r>
        <w:rPr>
          <w:rFonts w:hint="eastAsia" w:ascii="宋体" w:hAnsi="宋体" w:cs="宋体"/>
          <w:b/>
          <w:color w:val="auto"/>
          <w:kern w:val="0"/>
          <w:sz w:val="32"/>
          <w:szCs w:val="32"/>
          <w:highlight w:val="none"/>
        </w:rPr>
        <w:t>7</w:t>
      </w:r>
      <w:r>
        <w:rPr>
          <w:rFonts w:hint="eastAsia" w:ascii="宋体" w:hAnsi="宋体" w:cs="宋体"/>
          <w:b/>
          <w:color w:val="auto"/>
          <w:kern w:val="0"/>
          <w:sz w:val="32"/>
          <w:szCs w:val="32"/>
          <w:highlight w:val="none"/>
          <w:lang w:val="zh-CN"/>
        </w:rPr>
        <w:t>）同类业绩一览表</w:t>
      </w:r>
    </w:p>
    <w:tbl>
      <w:tblPr>
        <w:tblStyle w:val="63"/>
        <w:tblW w:w="943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1677"/>
        <w:gridCol w:w="2088"/>
        <w:gridCol w:w="1442"/>
        <w:gridCol w:w="1941"/>
        <w:gridCol w:w="1393"/>
      </w:tblGrid>
      <w:tr w14:paraId="00C5F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9" w:hRule="atLeast"/>
        </w:trPr>
        <w:tc>
          <w:tcPr>
            <w:tcW w:w="896" w:type="dxa"/>
            <w:tcBorders>
              <w:top w:val="single" w:color="auto" w:sz="4" w:space="0"/>
              <w:left w:val="single" w:color="auto" w:sz="4" w:space="0"/>
              <w:bottom w:val="single" w:color="auto" w:sz="4" w:space="0"/>
              <w:right w:val="single" w:color="auto" w:sz="4" w:space="0"/>
            </w:tcBorders>
            <w:vAlign w:val="center"/>
          </w:tcPr>
          <w:p w14:paraId="12A98FEB">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677" w:type="dxa"/>
            <w:tcBorders>
              <w:top w:val="single" w:color="auto" w:sz="4" w:space="0"/>
              <w:left w:val="single" w:color="auto" w:sz="4" w:space="0"/>
              <w:bottom w:val="single" w:color="auto" w:sz="4" w:space="0"/>
              <w:right w:val="single" w:color="auto" w:sz="4" w:space="0"/>
            </w:tcBorders>
            <w:vAlign w:val="center"/>
          </w:tcPr>
          <w:p w14:paraId="638E95F8">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采购单位</w:t>
            </w:r>
          </w:p>
        </w:tc>
        <w:tc>
          <w:tcPr>
            <w:tcW w:w="2088" w:type="dxa"/>
            <w:tcBorders>
              <w:top w:val="single" w:color="auto" w:sz="4" w:space="0"/>
              <w:left w:val="single" w:color="auto" w:sz="4" w:space="0"/>
              <w:bottom w:val="single" w:color="auto" w:sz="4" w:space="0"/>
              <w:right w:val="single" w:color="auto" w:sz="4" w:space="0"/>
            </w:tcBorders>
            <w:vAlign w:val="center"/>
          </w:tcPr>
          <w:p w14:paraId="7A1523C5">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合同金额（万元）</w:t>
            </w:r>
          </w:p>
        </w:tc>
        <w:tc>
          <w:tcPr>
            <w:tcW w:w="1442" w:type="dxa"/>
            <w:tcBorders>
              <w:top w:val="single" w:color="auto" w:sz="4" w:space="0"/>
              <w:left w:val="single" w:color="auto" w:sz="4" w:space="0"/>
              <w:bottom w:val="single" w:color="auto" w:sz="4" w:space="0"/>
              <w:right w:val="single" w:color="auto" w:sz="4" w:space="0"/>
            </w:tcBorders>
            <w:vAlign w:val="center"/>
          </w:tcPr>
          <w:p w14:paraId="4B1936AB">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采购内容</w:t>
            </w:r>
          </w:p>
        </w:tc>
        <w:tc>
          <w:tcPr>
            <w:tcW w:w="1941" w:type="dxa"/>
            <w:tcBorders>
              <w:top w:val="single" w:color="auto" w:sz="4" w:space="0"/>
              <w:left w:val="single" w:color="auto" w:sz="4" w:space="0"/>
              <w:bottom w:val="single" w:color="auto" w:sz="4" w:space="0"/>
              <w:right w:val="single" w:color="auto" w:sz="4" w:space="0"/>
            </w:tcBorders>
            <w:vAlign w:val="center"/>
          </w:tcPr>
          <w:p w14:paraId="7DB7B21E">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采购单位联系人及联系电话</w:t>
            </w:r>
          </w:p>
        </w:tc>
        <w:tc>
          <w:tcPr>
            <w:tcW w:w="1393" w:type="dxa"/>
            <w:tcBorders>
              <w:top w:val="single" w:color="auto" w:sz="4" w:space="0"/>
              <w:left w:val="single" w:color="auto" w:sz="4" w:space="0"/>
              <w:bottom w:val="single" w:color="auto" w:sz="4" w:space="0"/>
              <w:right w:val="single" w:color="auto" w:sz="4" w:space="0"/>
            </w:tcBorders>
            <w:vAlign w:val="center"/>
          </w:tcPr>
          <w:p w14:paraId="57254161">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合同签订时间</w:t>
            </w:r>
          </w:p>
        </w:tc>
      </w:tr>
      <w:tr w14:paraId="427FC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96" w:type="dxa"/>
            <w:tcBorders>
              <w:top w:val="single" w:color="auto" w:sz="4" w:space="0"/>
              <w:left w:val="single" w:color="auto" w:sz="4" w:space="0"/>
              <w:bottom w:val="single" w:color="auto" w:sz="4" w:space="0"/>
              <w:right w:val="single" w:color="auto" w:sz="4" w:space="0"/>
            </w:tcBorders>
            <w:vAlign w:val="center"/>
          </w:tcPr>
          <w:p w14:paraId="195E1D20">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677" w:type="dxa"/>
            <w:tcBorders>
              <w:top w:val="single" w:color="auto" w:sz="4" w:space="0"/>
              <w:left w:val="single" w:color="auto" w:sz="4" w:space="0"/>
              <w:bottom w:val="single" w:color="auto" w:sz="4" w:space="0"/>
              <w:right w:val="single" w:color="auto" w:sz="4" w:space="0"/>
            </w:tcBorders>
            <w:vAlign w:val="center"/>
          </w:tcPr>
          <w:p w14:paraId="0482F952">
            <w:pPr>
              <w:spacing w:line="360" w:lineRule="exact"/>
              <w:jc w:val="left"/>
              <w:rPr>
                <w:rFonts w:ascii="宋体" w:hAnsi="宋体" w:cs="宋体"/>
                <w:color w:val="auto"/>
                <w:kern w:val="0"/>
                <w:sz w:val="24"/>
                <w:highlight w:val="none"/>
              </w:rPr>
            </w:pPr>
          </w:p>
        </w:tc>
        <w:tc>
          <w:tcPr>
            <w:tcW w:w="2088" w:type="dxa"/>
            <w:tcBorders>
              <w:top w:val="single" w:color="auto" w:sz="4" w:space="0"/>
              <w:left w:val="single" w:color="auto" w:sz="4" w:space="0"/>
              <w:bottom w:val="single" w:color="auto" w:sz="4" w:space="0"/>
              <w:right w:val="single" w:color="auto" w:sz="4" w:space="0"/>
            </w:tcBorders>
            <w:vAlign w:val="center"/>
          </w:tcPr>
          <w:p w14:paraId="1A303D47">
            <w:pPr>
              <w:spacing w:line="360" w:lineRule="exact"/>
              <w:jc w:val="left"/>
              <w:rPr>
                <w:rFonts w:ascii="宋体" w:hAnsi="宋体" w:cs="宋体"/>
                <w:color w:val="auto"/>
                <w:kern w:val="0"/>
                <w:sz w:val="24"/>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14:paraId="54339B11">
            <w:pPr>
              <w:spacing w:line="360" w:lineRule="exact"/>
              <w:jc w:val="left"/>
              <w:rPr>
                <w:rFonts w:ascii="宋体" w:hAnsi="宋体" w:cs="宋体"/>
                <w:color w:val="auto"/>
                <w:kern w:val="0"/>
                <w:sz w:val="24"/>
                <w:highlight w:val="none"/>
              </w:rPr>
            </w:pPr>
          </w:p>
        </w:tc>
        <w:tc>
          <w:tcPr>
            <w:tcW w:w="1941" w:type="dxa"/>
            <w:tcBorders>
              <w:top w:val="single" w:color="auto" w:sz="4" w:space="0"/>
              <w:left w:val="single" w:color="auto" w:sz="4" w:space="0"/>
              <w:bottom w:val="single" w:color="auto" w:sz="4" w:space="0"/>
              <w:right w:val="single" w:color="auto" w:sz="4" w:space="0"/>
            </w:tcBorders>
            <w:vAlign w:val="center"/>
          </w:tcPr>
          <w:p w14:paraId="096A403B">
            <w:pPr>
              <w:spacing w:line="360" w:lineRule="exact"/>
              <w:jc w:val="left"/>
              <w:rPr>
                <w:rFonts w:ascii="宋体" w:hAnsi="宋体" w:cs="宋体"/>
                <w:color w:val="auto"/>
                <w:kern w:val="0"/>
                <w:sz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14:paraId="79E0106B">
            <w:pPr>
              <w:spacing w:line="360" w:lineRule="exact"/>
              <w:jc w:val="left"/>
              <w:rPr>
                <w:rFonts w:ascii="宋体" w:hAnsi="宋体" w:cs="宋体"/>
                <w:color w:val="auto"/>
                <w:kern w:val="0"/>
                <w:sz w:val="24"/>
                <w:highlight w:val="none"/>
              </w:rPr>
            </w:pPr>
          </w:p>
        </w:tc>
      </w:tr>
      <w:tr w14:paraId="45C17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96" w:type="dxa"/>
            <w:tcBorders>
              <w:top w:val="single" w:color="auto" w:sz="4" w:space="0"/>
              <w:left w:val="single" w:color="auto" w:sz="4" w:space="0"/>
              <w:bottom w:val="single" w:color="auto" w:sz="4" w:space="0"/>
              <w:right w:val="single" w:color="auto" w:sz="4" w:space="0"/>
            </w:tcBorders>
            <w:vAlign w:val="center"/>
          </w:tcPr>
          <w:p w14:paraId="7633EA16">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677" w:type="dxa"/>
            <w:tcBorders>
              <w:top w:val="single" w:color="auto" w:sz="4" w:space="0"/>
              <w:left w:val="single" w:color="auto" w:sz="4" w:space="0"/>
              <w:bottom w:val="single" w:color="auto" w:sz="4" w:space="0"/>
              <w:right w:val="single" w:color="auto" w:sz="4" w:space="0"/>
            </w:tcBorders>
            <w:vAlign w:val="center"/>
          </w:tcPr>
          <w:p w14:paraId="0886CFA4">
            <w:pPr>
              <w:spacing w:line="360" w:lineRule="exact"/>
              <w:jc w:val="left"/>
              <w:rPr>
                <w:rFonts w:ascii="宋体" w:hAnsi="宋体" w:cs="宋体"/>
                <w:color w:val="auto"/>
                <w:kern w:val="0"/>
                <w:sz w:val="24"/>
                <w:highlight w:val="none"/>
              </w:rPr>
            </w:pPr>
          </w:p>
        </w:tc>
        <w:tc>
          <w:tcPr>
            <w:tcW w:w="2088" w:type="dxa"/>
            <w:tcBorders>
              <w:top w:val="single" w:color="auto" w:sz="4" w:space="0"/>
              <w:left w:val="single" w:color="auto" w:sz="4" w:space="0"/>
              <w:bottom w:val="single" w:color="auto" w:sz="4" w:space="0"/>
              <w:right w:val="single" w:color="auto" w:sz="4" w:space="0"/>
            </w:tcBorders>
            <w:vAlign w:val="center"/>
          </w:tcPr>
          <w:p w14:paraId="6CCB54DC">
            <w:pPr>
              <w:spacing w:line="360" w:lineRule="exact"/>
              <w:jc w:val="left"/>
              <w:rPr>
                <w:rFonts w:ascii="宋体" w:hAnsi="宋体" w:cs="宋体"/>
                <w:color w:val="auto"/>
                <w:kern w:val="0"/>
                <w:sz w:val="24"/>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14:paraId="62B42CB9">
            <w:pPr>
              <w:spacing w:line="360" w:lineRule="exact"/>
              <w:jc w:val="left"/>
              <w:rPr>
                <w:rFonts w:ascii="宋体" w:hAnsi="宋体" w:cs="宋体"/>
                <w:color w:val="auto"/>
                <w:kern w:val="0"/>
                <w:sz w:val="24"/>
                <w:highlight w:val="none"/>
              </w:rPr>
            </w:pPr>
          </w:p>
        </w:tc>
        <w:tc>
          <w:tcPr>
            <w:tcW w:w="1941" w:type="dxa"/>
            <w:tcBorders>
              <w:top w:val="single" w:color="auto" w:sz="4" w:space="0"/>
              <w:left w:val="single" w:color="auto" w:sz="4" w:space="0"/>
              <w:bottom w:val="single" w:color="auto" w:sz="4" w:space="0"/>
              <w:right w:val="single" w:color="auto" w:sz="4" w:space="0"/>
            </w:tcBorders>
            <w:vAlign w:val="center"/>
          </w:tcPr>
          <w:p w14:paraId="1A1148D0">
            <w:pPr>
              <w:spacing w:line="360" w:lineRule="exact"/>
              <w:jc w:val="left"/>
              <w:rPr>
                <w:rFonts w:ascii="宋体" w:hAnsi="宋体" w:cs="宋体"/>
                <w:color w:val="auto"/>
                <w:kern w:val="0"/>
                <w:sz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14:paraId="35DF803A">
            <w:pPr>
              <w:spacing w:line="360" w:lineRule="exact"/>
              <w:jc w:val="left"/>
              <w:rPr>
                <w:rFonts w:ascii="宋体" w:hAnsi="宋体" w:cs="宋体"/>
                <w:color w:val="auto"/>
                <w:kern w:val="0"/>
                <w:sz w:val="24"/>
                <w:highlight w:val="none"/>
              </w:rPr>
            </w:pPr>
          </w:p>
        </w:tc>
      </w:tr>
      <w:tr w14:paraId="0C16F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96" w:type="dxa"/>
            <w:tcBorders>
              <w:top w:val="single" w:color="auto" w:sz="4" w:space="0"/>
              <w:left w:val="single" w:color="auto" w:sz="4" w:space="0"/>
              <w:bottom w:val="single" w:color="auto" w:sz="4" w:space="0"/>
              <w:right w:val="single" w:color="auto" w:sz="4" w:space="0"/>
            </w:tcBorders>
            <w:vAlign w:val="center"/>
          </w:tcPr>
          <w:p w14:paraId="1D995D5A">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677" w:type="dxa"/>
            <w:tcBorders>
              <w:top w:val="single" w:color="auto" w:sz="4" w:space="0"/>
              <w:left w:val="single" w:color="auto" w:sz="4" w:space="0"/>
              <w:bottom w:val="single" w:color="auto" w:sz="4" w:space="0"/>
              <w:right w:val="single" w:color="auto" w:sz="4" w:space="0"/>
            </w:tcBorders>
            <w:vAlign w:val="center"/>
          </w:tcPr>
          <w:p w14:paraId="49B8116A">
            <w:pPr>
              <w:spacing w:line="360" w:lineRule="exact"/>
              <w:jc w:val="left"/>
              <w:rPr>
                <w:rFonts w:ascii="宋体" w:hAnsi="宋体" w:cs="宋体"/>
                <w:color w:val="auto"/>
                <w:kern w:val="0"/>
                <w:sz w:val="24"/>
                <w:highlight w:val="none"/>
              </w:rPr>
            </w:pPr>
          </w:p>
        </w:tc>
        <w:tc>
          <w:tcPr>
            <w:tcW w:w="2088" w:type="dxa"/>
            <w:tcBorders>
              <w:top w:val="single" w:color="auto" w:sz="4" w:space="0"/>
              <w:left w:val="single" w:color="auto" w:sz="4" w:space="0"/>
              <w:bottom w:val="single" w:color="auto" w:sz="4" w:space="0"/>
              <w:right w:val="single" w:color="auto" w:sz="4" w:space="0"/>
            </w:tcBorders>
            <w:vAlign w:val="center"/>
          </w:tcPr>
          <w:p w14:paraId="467B72CA">
            <w:pPr>
              <w:spacing w:line="360" w:lineRule="exact"/>
              <w:jc w:val="left"/>
              <w:rPr>
                <w:rFonts w:ascii="宋体" w:hAnsi="宋体" w:cs="宋体"/>
                <w:color w:val="auto"/>
                <w:kern w:val="0"/>
                <w:sz w:val="24"/>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14:paraId="17856846">
            <w:pPr>
              <w:spacing w:line="360" w:lineRule="exact"/>
              <w:jc w:val="left"/>
              <w:rPr>
                <w:rFonts w:ascii="宋体" w:hAnsi="宋体" w:cs="宋体"/>
                <w:color w:val="auto"/>
                <w:kern w:val="0"/>
                <w:sz w:val="24"/>
                <w:highlight w:val="none"/>
              </w:rPr>
            </w:pPr>
          </w:p>
        </w:tc>
        <w:tc>
          <w:tcPr>
            <w:tcW w:w="1941" w:type="dxa"/>
            <w:tcBorders>
              <w:top w:val="single" w:color="auto" w:sz="4" w:space="0"/>
              <w:left w:val="single" w:color="auto" w:sz="4" w:space="0"/>
              <w:bottom w:val="single" w:color="auto" w:sz="4" w:space="0"/>
              <w:right w:val="single" w:color="auto" w:sz="4" w:space="0"/>
            </w:tcBorders>
            <w:vAlign w:val="center"/>
          </w:tcPr>
          <w:p w14:paraId="72727979">
            <w:pPr>
              <w:spacing w:line="360" w:lineRule="exact"/>
              <w:jc w:val="left"/>
              <w:rPr>
                <w:rFonts w:ascii="宋体" w:hAnsi="宋体" w:cs="宋体"/>
                <w:color w:val="auto"/>
                <w:kern w:val="0"/>
                <w:sz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14:paraId="497A76EA">
            <w:pPr>
              <w:spacing w:line="360" w:lineRule="exact"/>
              <w:jc w:val="left"/>
              <w:rPr>
                <w:rFonts w:ascii="宋体" w:hAnsi="宋体" w:cs="宋体"/>
                <w:color w:val="auto"/>
                <w:kern w:val="0"/>
                <w:sz w:val="24"/>
                <w:highlight w:val="none"/>
              </w:rPr>
            </w:pPr>
          </w:p>
        </w:tc>
      </w:tr>
      <w:tr w14:paraId="7406A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96" w:type="dxa"/>
            <w:tcBorders>
              <w:top w:val="single" w:color="auto" w:sz="4" w:space="0"/>
              <w:left w:val="single" w:color="auto" w:sz="4" w:space="0"/>
              <w:bottom w:val="single" w:color="auto" w:sz="4" w:space="0"/>
              <w:right w:val="single" w:color="auto" w:sz="4" w:space="0"/>
            </w:tcBorders>
            <w:vAlign w:val="center"/>
          </w:tcPr>
          <w:p w14:paraId="712781A0">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677" w:type="dxa"/>
            <w:tcBorders>
              <w:top w:val="single" w:color="auto" w:sz="4" w:space="0"/>
              <w:left w:val="single" w:color="auto" w:sz="4" w:space="0"/>
              <w:bottom w:val="single" w:color="auto" w:sz="4" w:space="0"/>
              <w:right w:val="single" w:color="auto" w:sz="4" w:space="0"/>
            </w:tcBorders>
            <w:vAlign w:val="center"/>
          </w:tcPr>
          <w:p w14:paraId="08B18CC1">
            <w:pPr>
              <w:spacing w:line="360" w:lineRule="exact"/>
              <w:jc w:val="left"/>
              <w:rPr>
                <w:rFonts w:ascii="宋体" w:hAnsi="宋体" w:cs="宋体"/>
                <w:color w:val="auto"/>
                <w:kern w:val="0"/>
                <w:sz w:val="24"/>
                <w:highlight w:val="none"/>
              </w:rPr>
            </w:pPr>
          </w:p>
        </w:tc>
        <w:tc>
          <w:tcPr>
            <w:tcW w:w="2088" w:type="dxa"/>
            <w:tcBorders>
              <w:top w:val="single" w:color="auto" w:sz="4" w:space="0"/>
              <w:left w:val="single" w:color="auto" w:sz="4" w:space="0"/>
              <w:bottom w:val="single" w:color="auto" w:sz="4" w:space="0"/>
              <w:right w:val="single" w:color="auto" w:sz="4" w:space="0"/>
            </w:tcBorders>
            <w:vAlign w:val="center"/>
          </w:tcPr>
          <w:p w14:paraId="6C6B2376">
            <w:pPr>
              <w:spacing w:line="360" w:lineRule="exact"/>
              <w:jc w:val="left"/>
              <w:rPr>
                <w:rFonts w:ascii="宋体" w:hAnsi="宋体" w:cs="宋体"/>
                <w:color w:val="auto"/>
                <w:kern w:val="0"/>
                <w:sz w:val="24"/>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14:paraId="30C3743B">
            <w:pPr>
              <w:spacing w:line="360" w:lineRule="exact"/>
              <w:jc w:val="left"/>
              <w:rPr>
                <w:rFonts w:ascii="宋体" w:hAnsi="宋体" w:cs="宋体"/>
                <w:color w:val="auto"/>
                <w:kern w:val="0"/>
                <w:sz w:val="24"/>
                <w:highlight w:val="none"/>
              </w:rPr>
            </w:pPr>
          </w:p>
        </w:tc>
        <w:tc>
          <w:tcPr>
            <w:tcW w:w="1941" w:type="dxa"/>
            <w:tcBorders>
              <w:top w:val="single" w:color="auto" w:sz="4" w:space="0"/>
              <w:left w:val="single" w:color="auto" w:sz="4" w:space="0"/>
              <w:bottom w:val="single" w:color="auto" w:sz="4" w:space="0"/>
              <w:right w:val="single" w:color="auto" w:sz="4" w:space="0"/>
            </w:tcBorders>
            <w:vAlign w:val="center"/>
          </w:tcPr>
          <w:p w14:paraId="02EC4D23">
            <w:pPr>
              <w:spacing w:line="360" w:lineRule="exact"/>
              <w:jc w:val="left"/>
              <w:rPr>
                <w:rFonts w:ascii="宋体" w:hAnsi="宋体" w:cs="宋体"/>
                <w:color w:val="auto"/>
                <w:kern w:val="0"/>
                <w:sz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14:paraId="61711F98">
            <w:pPr>
              <w:spacing w:line="360" w:lineRule="exact"/>
              <w:jc w:val="left"/>
              <w:rPr>
                <w:rFonts w:ascii="宋体" w:hAnsi="宋体" w:cs="宋体"/>
                <w:color w:val="auto"/>
                <w:kern w:val="0"/>
                <w:sz w:val="24"/>
                <w:highlight w:val="none"/>
              </w:rPr>
            </w:pPr>
          </w:p>
        </w:tc>
      </w:tr>
      <w:tr w14:paraId="6EA9A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96" w:type="dxa"/>
            <w:tcBorders>
              <w:top w:val="single" w:color="auto" w:sz="4" w:space="0"/>
              <w:left w:val="single" w:color="auto" w:sz="4" w:space="0"/>
              <w:bottom w:val="single" w:color="auto" w:sz="4" w:space="0"/>
              <w:right w:val="single" w:color="auto" w:sz="4" w:space="0"/>
            </w:tcBorders>
            <w:vAlign w:val="center"/>
          </w:tcPr>
          <w:p w14:paraId="027AC924">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677" w:type="dxa"/>
            <w:tcBorders>
              <w:top w:val="single" w:color="auto" w:sz="4" w:space="0"/>
              <w:left w:val="single" w:color="auto" w:sz="4" w:space="0"/>
              <w:bottom w:val="single" w:color="auto" w:sz="4" w:space="0"/>
              <w:right w:val="single" w:color="auto" w:sz="4" w:space="0"/>
            </w:tcBorders>
            <w:vAlign w:val="center"/>
          </w:tcPr>
          <w:p w14:paraId="11E20D7D">
            <w:pPr>
              <w:spacing w:line="360" w:lineRule="exact"/>
              <w:jc w:val="left"/>
              <w:rPr>
                <w:rFonts w:ascii="宋体" w:hAnsi="宋体" w:cs="宋体"/>
                <w:color w:val="auto"/>
                <w:kern w:val="0"/>
                <w:sz w:val="24"/>
                <w:highlight w:val="none"/>
              </w:rPr>
            </w:pPr>
          </w:p>
        </w:tc>
        <w:tc>
          <w:tcPr>
            <w:tcW w:w="2088" w:type="dxa"/>
            <w:tcBorders>
              <w:top w:val="single" w:color="auto" w:sz="4" w:space="0"/>
              <w:left w:val="single" w:color="auto" w:sz="4" w:space="0"/>
              <w:bottom w:val="single" w:color="auto" w:sz="4" w:space="0"/>
              <w:right w:val="single" w:color="auto" w:sz="4" w:space="0"/>
            </w:tcBorders>
            <w:vAlign w:val="center"/>
          </w:tcPr>
          <w:p w14:paraId="3EDABCDA">
            <w:pPr>
              <w:spacing w:line="360" w:lineRule="exact"/>
              <w:jc w:val="left"/>
              <w:rPr>
                <w:rFonts w:ascii="宋体" w:hAnsi="宋体" w:cs="宋体"/>
                <w:color w:val="auto"/>
                <w:kern w:val="0"/>
                <w:sz w:val="24"/>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14:paraId="7BA5C4B8">
            <w:pPr>
              <w:spacing w:line="360" w:lineRule="exact"/>
              <w:jc w:val="left"/>
              <w:rPr>
                <w:rFonts w:ascii="宋体" w:hAnsi="宋体" w:cs="宋体"/>
                <w:color w:val="auto"/>
                <w:kern w:val="0"/>
                <w:sz w:val="24"/>
                <w:highlight w:val="none"/>
              </w:rPr>
            </w:pPr>
          </w:p>
        </w:tc>
        <w:tc>
          <w:tcPr>
            <w:tcW w:w="1941" w:type="dxa"/>
            <w:tcBorders>
              <w:top w:val="single" w:color="auto" w:sz="4" w:space="0"/>
              <w:left w:val="single" w:color="auto" w:sz="4" w:space="0"/>
              <w:bottom w:val="single" w:color="auto" w:sz="4" w:space="0"/>
              <w:right w:val="single" w:color="auto" w:sz="4" w:space="0"/>
            </w:tcBorders>
            <w:vAlign w:val="center"/>
          </w:tcPr>
          <w:p w14:paraId="6B117293">
            <w:pPr>
              <w:spacing w:line="360" w:lineRule="exact"/>
              <w:jc w:val="left"/>
              <w:rPr>
                <w:rFonts w:ascii="宋体" w:hAnsi="宋体" w:cs="宋体"/>
                <w:color w:val="auto"/>
                <w:kern w:val="0"/>
                <w:sz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14:paraId="42CF43A8">
            <w:pPr>
              <w:spacing w:line="360" w:lineRule="exact"/>
              <w:jc w:val="left"/>
              <w:rPr>
                <w:rFonts w:ascii="宋体" w:hAnsi="宋体" w:cs="宋体"/>
                <w:color w:val="auto"/>
                <w:kern w:val="0"/>
                <w:sz w:val="24"/>
                <w:highlight w:val="none"/>
              </w:rPr>
            </w:pPr>
          </w:p>
        </w:tc>
      </w:tr>
    </w:tbl>
    <w:p w14:paraId="626C4C62">
      <w:pPr>
        <w:spacing w:line="360" w:lineRule="auto"/>
        <w:jc w:val="left"/>
        <w:rPr>
          <w:rFonts w:ascii="宋体" w:hAnsi="宋体" w:cs="宋体"/>
          <w:color w:val="auto"/>
          <w:kern w:val="0"/>
          <w:sz w:val="24"/>
          <w:highlight w:val="none"/>
        </w:rPr>
      </w:pPr>
    </w:p>
    <w:p w14:paraId="2A92BD68">
      <w:pPr>
        <w:autoSpaceDE w:val="0"/>
        <w:autoSpaceDN w:val="0"/>
        <w:spacing w:line="360" w:lineRule="auto"/>
        <w:ind w:right="1120"/>
        <w:jc w:val="left"/>
        <w:rPr>
          <w:rFonts w:ascii="宋体" w:hAnsi="宋体" w:cs="宋体"/>
          <w:color w:val="auto"/>
          <w:kern w:val="0"/>
          <w:sz w:val="24"/>
          <w:highlight w:val="none"/>
          <w:lang w:val="zh-CN"/>
        </w:rPr>
      </w:pPr>
    </w:p>
    <w:p w14:paraId="35081451">
      <w:pPr>
        <w:autoSpaceDE w:val="0"/>
        <w:autoSpaceDN w:val="0"/>
        <w:spacing w:line="360" w:lineRule="auto"/>
        <w:ind w:right="1120"/>
        <w:jc w:val="left"/>
        <w:rPr>
          <w:rFonts w:ascii="宋体" w:hAnsi="宋体" w:cs="宋体"/>
          <w:color w:val="auto"/>
          <w:kern w:val="0"/>
          <w:sz w:val="24"/>
          <w:highlight w:val="none"/>
          <w:lang w:val="zh-CN"/>
        </w:rPr>
      </w:pPr>
    </w:p>
    <w:p w14:paraId="0B13A35F">
      <w:pPr>
        <w:snapToGrid w:val="0"/>
        <w:spacing w:line="360" w:lineRule="auto"/>
        <w:ind w:firstLine="576"/>
        <w:jc w:val="center"/>
        <w:rPr>
          <w:rFonts w:ascii="宋体" w:hAnsi="宋体" w:cs="宋体"/>
          <w:color w:val="auto"/>
          <w:kern w:val="0"/>
          <w:sz w:val="24"/>
          <w:highlight w:val="none"/>
          <w:lang w:val="zh-CN"/>
        </w:rPr>
      </w:pPr>
      <w:bookmarkStart w:id="530" w:name="_Toc16712"/>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 xml:space="preserve">：                              </w:t>
      </w:r>
    </w:p>
    <w:p w14:paraId="7F74000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8FA9365">
      <w:pPr>
        <w:autoSpaceDE w:val="0"/>
        <w:autoSpaceDN w:val="0"/>
        <w:spacing w:line="360" w:lineRule="auto"/>
        <w:jc w:val="center"/>
        <w:rPr>
          <w:rFonts w:ascii="宋体" w:hAnsi="宋体" w:cs="宋体"/>
          <w:b/>
          <w:color w:val="auto"/>
          <w:kern w:val="0"/>
          <w:sz w:val="32"/>
          <w:szCs w:val="32"/>
          <w:highlight w:val="none"/>
          <w:lang w:val="zh-CN"/>
        </w:rPr>
      </w:pPr>
    </w:p>
    <w:p w14:paraId="0B47AAA9">
      <w:pPr>
        <w:autoSpaceDE w:val="0"/>
        <w:autoSpaceDN w:val="0"/>
        <w:spacing w:line="360" w:lineRule="auto"/>
        <w:jc w:val="center"/>
        <w:rPr>
          <w:rFonts w:ascii="宋体" w:hAnsi="宋体" w:cs="宋体"/>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14:paraId="0761957A">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报价文件部分</w:t>
      </w:r>
      <w:bookmarkEnd w:id="530"/>
    </w:p>
    <w:p w14:paraId="56314BAF">
      <w:pPr>
        <w:spacing w:line="360" w:lineRule="auto"/>
        <w:jc w:val="center"/>
        <w:rPr>
          <w:rFonts w:ascii="宋体" w:hAnsi="宋体" w:cs="宋体"/>
          <w:b/>
          <w:color w:val="auto"/>
          <w:kern w:val="0"/>
          <w:sz w:val="36"/>
          <w:szCs w:val="36"/>
          <w:highlight w:val="none"/>
        </w:rPr>
      </w:pPr>
      <w:bookmarkStart w:id="531" w:name="_Toc31513"/>
    </w:p>
    <w:p w14:paraId="3D0F18E9">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bookmarkEnd w:id="531"/>
    </w:p>
    <w:p w14:paraId="55F9681B">
      <w:pPr>
        <w:spacing w:line="360" w:lineRule="auto"/>
        <w:jc w:val="center"/>
        <w:rPr>
          <w:rFonts w:ascii="宋体" w:hAnsi="宋体" w:cs="宋体"/>
          <w:b/>
          <w:color w:val="auto"/>
          <w:kern w:val="0"/>
          <w:sz w:val="36"/>
          <w:szCs w:val="36"/>
          <w:highlight w:val="none"/>
        </w:rPr>
      </w:pPr>
    </w:p>
    <w:p w14:paraId="23F4D00D">
      <w:pPr>
        <w:numPr>
          <w:ilvl w:val="0"/>
          <w:numId w:val="8"/>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0542A0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（2）投标分项报价表…………………………………………………………………（页码）</w:t>
      </w:r>
    </w:p>
    <w:p w14:paraId="1782040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（3）中小企业声明函（如是请提供）………………………………………………（页码）</w:t>
      </w:r>
    </w:p>
    <w:p w14:paraId="4916A3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（4）残疾人福利性单位声明函（如是请提供）……………………………………（页码）</w:t>
      </w:r>
    </w:p>
    <w:p w14:paraId="7728BDC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（5）由省级以上监狱管理局、戒毒管理局（含新疆生产建设兵团）出具的属于监狱企业的证明文件（如是请提供）…………………………………………………………（页码）</w:t>
      </w:r>
    </w:p>
    <w:p w14:paraId="6E3CEE8B">
      <w:pPr>
        <w:snapToGrid w:val="0"/>
        <w:spacing w:line="360" w:lineRule="auto"/>
        <w:ind w:right="480"/>
        <w:jc w:val="center"/>
        <w:rPr>
          <w:rFonts w:ascii="宋体" w:hAnsi="宋体" w:cs="宋体"/>
          <w:b/>
          <w:color w:val="auto"/>
          <w:kern w:val="0"/>
          <w:sz w:val="32"/>
          <w:szCs w:val="32"/>
          <w:highlight w:val="none"/>
        </w:rPr>
      </w:pPr>
    </w:p>
    <w:p w14:paraId="528B797E">
      <w:pPr>
        <w:snapToGrid w:val="0"/>
        <w:spacing w:line="360" w:lineRule="auto"/>
        <w:ind w:right="480"/>
        <w:jc w:val="center"/>
        <w:rPr>
          <w:rFonts w:ascii="宋体" w:hAnsi="宋体" w:cs="宋体"/>
          <w:b/>
          <w:color w:val="auto"/>
          <w:kern w:val="0"/>
          <w:sz w:val="32"/>
          <w:szCs w:val="32"/>
          <w:highlight w:val="none"/>
        </w:rPr>
      </w:pPr>
    </w:p>
    <w:p w14:paraId="7762E5B0">
      <w:pPr>
        <w:snapToGrid w:val="0"/>
        <w:spacing w:line="360" w:lineRule="auto"/>
        <w:ind w:right="480"/>
        <w:jc w:val="center"/>
        <w:rPr>
          <w:rFonts w:ascii="宋体" w:hAnsi="宋体" w:cs="宋体"/>
          <w:b/>
          <w:color w:val="auto"/>
          <w:kern w:val="0"/>
          <w:sz w:val="32"/>
          <w:szCs w:val="32"/>
          <w:highlight w:val="none"/>
        </w:rPr>
      </w:pPr>
    </w:p>
    <w:p w14:paraId="2EA9460E">
      <w:pPr>
        <w:pStyle w:val="62"/>
        <w:ind w:firstLine="420"/>
        <w:rPr>
          <w:rFonts w:cs="宋体"/>
          <w:color w:val="auto"/>
          <w:highlight w:val="none"/>
        </w:rPr>
      </w:pPr>
    </w:p>
    <w:p w14:paraId="39C5891B">
      <w:pPr>
        <w:rPr>
          <w:rFonts w:ascii="宋体" w:hAnsi="宋体" w:cs="宋体"/>
          <w:color w:val="auto"/>
          <w:highlight w:val="none"/>
        </w:rPr>
      </w:pPr>
    </w:p>
    <w:p w14:paraId="42AD6600">
      <w:pPr>
        <w:pStyle w:val="62"/>
        <w:ind w:firstLine="420"/>
        <w:rPr>
          <w:rFonts w:cs="宋体"/>
          <w:color w:val="auto"/>
          <w:highlight w:val="none"/>
        </w:rPr>
      </w:pPr>
    </w:p>
    <w:p w14:paraId="6958ACE2">
      <w:pPr>
        <w:rPr>
          <w:rFonts w:ascii="宋体" w:hAnsi="宋体" w:cs="宋体"/>
          <w:color w:val="auto"/>
          <w:highlight w:val="none"/>
        </w:rPr>
      </w:pPr>
    </w:p>
    <w:p w14:paraId="71FD0553">
      <w:pPr>
        <w:pStyle w:val="62"/>
        <w:ind w:firstLine="420"/>
        <w:rPr>
          <w:rFonts w:cs="宋体"/>
          <w:color w:val="auto"/>
          <w:highlight w:val="none"/>
        </w:rPr>
      </w:pPr>
    </w:p>
    <w:p w14:paraId="40FC5E25">
      <w:pPr>
        <w:rPr>
          <w:rFonts w:ascii="宋体" w:hAnsi="宋体" w:cs="宋体"/>
          <w:color w:val="auto"/>
          <w:highlight w:val="none"/>
        </w:rPr>
      </w:pPr>
    </w:p>
    <w:p w14:paraId="0820A9D5">
      <w:pPr>
        <w:pStyle w:val="62"/>
        <w:ind w:firstLine="420"/>
        <w:rPr>
          <w:rFonts w:cs="宋体"/>
          <w:color w:val="auto"/>
          <w:highlight w:val="none"/>
        </w:rPr>
      </w:pPr>
    </w:p>
    <w:p w14:paraId="3E61E9CD">
      <w:pPr>
        <w:rPr>
          <w:rFonts w:ascii="宋体" w:hAnsi="宋体" w:cs="宋体"/>
          <w:color w:val="auto"/>
          <w:highlight w:val="none"/>
        </w:rPr>
      </w:pPr>
    </w:p>
    <w:p w14:paraId="13C9B1FA">
      <w:pPr>
        <w:pStyle w:val="62"/>
        <w:ind w:firstLine="420"/>
        <w:rPr>
          <w:rFonts w:cs="宋体"/>
          <w:color w:val="auto"/>
          <w:highlight w:val="none"/>
        </w:rPr>
      </w:pPr>
    </w:p>
    <w:p w14:paraId="53D7B849">
      <w:pPr>
        <w:rPr>
          <w:rFonts w:ascii="宋体" w:hAnsi="宋体" w:cs="宋体"/>
          <w:color w:val="auto"/>
          <w:highlight w:val="none"/>
        </w:rPr>
      </w:pPr>
    </w:p>
    <w:p w14:paraId="681D2656">
      <w:pPr>
        <w:pStyle w:val="62"/>
        <w:ind w:firstLine="420"/>
        <w:rPr>
          <w:rFonts w:cs="宋体"/>
          <w:color w:val="auto"/>
          <w:highlight w:val="none"/>
        </w:rPr>
      </w:pPr>
    </w:p>
    <w:p w14:paraId="79002915">
      <w:pPr>
        <w:rPr>
          <w:rFonts w:ascii="宋体" w:hAnsi="宋体" w:cs="宋体"/>
          <w:color w:val="auto"/>
          <w:highlight w:val="none"/>
        </w:rPr>
      </w:pPr>
    </w:p>
    <w:p w14:paraId="301F578D">
      <w:pPr>
        <w:pStyle w:val="62"/>
        <w:ind w:firstLine="420"/>
        <w:rPr>
          <w:rFonts w:cs="宋体"/>
          <w:color w:val="auto"/>
          <w:highlight w:val="none"/>
        </w:rPr>
        <w:sectPr>
          <w:headerReference r:id="rId16" w:type="first"/>
          <w:footerReference r:id="rId18" w:type="first"/>
          <w:headerReference r:id="rId15" w:type="default"/>
          <w:footerReference r:id="rId17" w:type="default"/>
          <w:pgSz w:w="11906" w:h="16838"/>
          <w:pgMar w:top="1440" w:right="1440" w:bottom="1440" w:left="1440" w:header="851" w:footer="992" w:gutter="0"/>
          <w:cols w:space="0" w:num="1"/>
          <w:titlePg/>
          <w:docGrid w:linePitch="312" w:charSpace="0"/>
        </w:sectPr>
      </w:pPr>
    </w:p>
    <w:p w14:paraId="49865C5E">
      <w:pPr>
        <w:pStyle w:val="62"/>
        <w:ind w:firstLine="420"/>
        <w:rPr>
          <w:rFonts w:cs="宋体"/>
          <w:color w:val="auto"/>
          <w:highlight w:val="none"/>
        </w:rPr>
      </w:pPr>
    </w:p>
    <w:p w14:paraId="5A96B99F">
      <w:pPr>
        <w:jc w:val="center"/>
        <w:rPr>
          <w:rFonts w:ascii="宋体" w:hAnsi="宋体" w:cs="宋体"/>
          <w:b/>
          <w:bCs/>
          <w:color w:val="auto"/>
          <w:sz w:val="30"/>
          <w:szCs w:val="30"/>
          <w:highlight w:val="none"/>
        </w:rPr>
      </w:pPr>
      <w:bookmarkStart w:id="532" w:name="_Toc21159"/>
      <w:r>
        <w:rPr>
          <w:rFonts w:hint="eastAsia" w:ascii="宋体" w:hAnsi="宋体" w:cs="宋体"/>
          <w:b/>
          <w:bCs/>
          <w:color w:val="auto"/>
          <w:sz w:val="30"/>
          <w:szCs w:val="30"/>
          <w:highlight w:val="none"/>
        </w:rPr>
        <w:t>一、开标一览表（报价表）</w:t>
      </w:r>
      <w:bookmarkEnd w:id="532"/>
    </w:p>
    <w:p w14:paraId="44958DD2">
      <w:pPr>
        <w:snapToGrid w:val="0"/>
        <w:spacing w:line="360" w:lineRule="auto"/>
        <w:rPr>
          <w:rFonts w:ascii="宋体" w:hAnsi="宋体" w:cs="宋体"/>
          <w:color w:val="auto"/>
          <w:sz w:val="24"/>
          <w:highlight w:val="none"/>
        </w:rPr>
      </w:pPr>
    </w:p>
    <w:tbl>
      <w:tblPr>
        <w:tblStyle w:val="63"/>
        <w:tblW w:w="4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3835"/>
        <w:gridCol w:w="3904"/>
      </w:tblGrid>
      <w:tr w14:paraId="5D3B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14:paraId="42256AD3">
            <w:pPr>
              <w:spacing w:line="0" w:lineRule="atLeast"/>
              <w:jc w:val="center"/>
              <w:rPr>
                <w:rFonts w:ascii="宋体" w:hAnsi="宋体" w:cs="宋体"/>
                <w:color w:val="auto"/>
                <w:sz w:val="24"/>
                <w:highlight w:val="none"/>
              </w:rPr>
            </w:pPr>
            <w:r>
              <w:rPr>
                <w:rFonts w:hint="eastAsia" w:ascii="宋体" w:hAnsi="宋体" w:cs="宋体"/>
                <w:color w:val="auto"/>
                <w:sz w:val="24"/>
                <w:highlight w:val="none"/>
                <w:lang w:bidi="ar"/>
              </w:rPr>
              <w:t>标项</w:t>
            </w:r>
          </w:p>
        </w:tc>
        <w:tc>
          <w:tcPr>
            <w:tcW w:w="2267" w:type="pct"/>
            <w:tcBorders>
              <w:top w:val="single" w:color="auto" w:sz="4" w:space="0"/>
              <w:left w:val="single" w:color="auto" w:sz="4" w:space="0"/>
              <w:bottom w:val="single" w:color="auto" w:sz="4" w:space="0"/>
              <w:right w:val="single" w:color="auto" w:sz="4" w:space="0"/>
            </w:tcBorders>
            <w:vAlign w:val="center"/>
          </w:tcPr>
          <w:p w14:paraId="355BC9E4">
            <w:pPr>
              <w:spacing w:line="0" w:lineRule="atLeast"/>
              <w:jc w:val="center"/>
              <w:rPr>
                <w:rFonts w:ascii="宋体" w:hAnsi="宋体" w:cs="宋体"/>
                <w:color w:val="auto"/>
                <w:sz w:val="24"/>
                <w:highlight w:val="none"/>
                <w:lang w:bidi="ar"/>
              </w:rPr>
            </w:pPr>
            <w:r>
              <w:rPr>
                <w:rFonts w:hint="eastAsia" w:ascii="宋体" w:hAnsi="宋体" w:cs="宋体"/>
                <w:color w:val="auto"/>
                <w:sz w:val="24"/>
                <w:highlight w:val="none"/>
                <w:lang w:bidi="ar"/>
              </w:rPr>
              <w:t>采购内容</w:t>
            </w:r>
          </w:p>
        </w:tc>
        <w:tc>
          <w:tcPr>
            <w:tcW w:w="2307" w:type="pct"/>
            <w:tcBorders>
              <w:top w:val="single" w:color="auto" w:sz="4" w:space="0"/>
              <w:left w:val="single" w:color="auto" w:sz="4" w:space="0"/>
              <w:bottom w:val="single" w:color="auto" w:sz="4" w:space="0"/>
              <w:right w:val="single" w:color="auto" w:sz="4" w:space="0"/>
            </w:tcBorders>
            <w:vAlign w:val="center"/>
          </w:tcPr>
          <w:p w14:paraId="43B208B2">
            <w:pPr>
              <w:spacing w:line="0" w:lineRule="atLeast"/>
              <w:jc w:val="center"/>
              <w:rPr>
                <w:rFonts w:ascii="宋体" w:hAnsi="宋体" w:cs="宋体"/>
                <w:color w:val="auto"/>
                <w:sz w:val="24"/>
                <w:highlight w:val="none"/>
                <w:lang w:bidi="ar"/>
              </w:rPr>
            </w:pPr>
            <w:r>
              <w:rPr>
                <w:rFonts w:hint="eastAsia" w:ascii="宋体" w:hAnsi="宋体" w:cs="宋体"/>
                <w:color w:val="auto"/>
                <w:sz w:val="24"/>
                <w:highlight w:val="none"/>
                <w:lang w:bidi="ar"/>
              </w:rPr>
              <w:t>投标报价</w:t>
            </w:r>
          </w:p>
        </w:tc>
      </w:tr>
      <w:tr w14:paraId="6043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14:paraId="361D0EE3">
            <w:pPr>
              <w:pStyle w:val="58"/>
              <w:widowControl w:val="0"/>
              <w:snapToGrid w:val="0"/>
              <w:spacing w:after="120" w:line="360" w:lineRule="auto"/>
              <w:jc w:val="center"/>
              <w:rPr>
                <w:rFonts w:cs="宋体"/>
                <w:color w:val="auto"/>
                <w:highlight w:val="none"/>
              </w:rPr>
            </w:pPr>
            <w:r>
              <w:rPr>
                <w:rFonts w:hint="eastAsia" w:cs="宋体"/>
                <w:color w:val="auto"/>
                <w:highlight w:val="none"/>
              </w:rPr>
              <w:t>一</w:t>
            </w:r>
          </w:p>
        </w:tc>
        <w:tc>
          <w:tcPr>
            <w:tcW w:w="2267" w:type="pct"/>
            <w:tcBorders>
              <w:top w:val="single" w:color="auto" w:sz="4" w:space="0"/>
              <w:left w:val="single" w:color="auto" w:sz="4" w:space="0"/>
              <w:bottom w:val="single" w:color="auto" w:sz="4" w:space="0"/>
              <w:right w:val="single" w:color="auto" w:sz="4" w:space="0"/>
            </w:tcBorders>
            <w:vAlign w:val="center"/>
          </w:tcPr>
          <w:p w14:paraId="565EA147">
            <w:pPr>
              <w:autoSpaceDE w:val="0"/>
              <w:autoSpaceDN w:val="0"/>
              <w:snapToGrid w:val="0"/>
              <w:spacing w:line="360" w:lineRule="auto"/>
              <w:jc w:val="center"/>
              <w:rPr>
                <w:rFonts w:ascii="宋体" w:hAnsi="宋体" w:cs="宋体"/>
                <w:color w:val="auto"/>
                <w:kern w:val="0"/>
                <w:sz w:val="24"/>
                <w:highlight w:val="none"/>
              </w:rPr>
            </w:pPr>
          </w:p>
        </w:tc>
        <w:tc>
          <w:tcPr>
            <w:tcW w:w="2307" w:type="pct"/>
            <w:tcBorders>
              <w:top w:val="single" w:color="auto" w:sz="4" w:space="0"/>
              <w:left w:val="single" w:color="auto" w:sz="4" w:space="0"/>
              <w:bottom w:val="single" w:color="auto" w:sz="4" w:space="0"/>
              <w:right w:val="single" w:color="auto" w:sz="4" w:space="0"/>
            </w:tcBorders>
            <w:vAlign w:val="center"/>
          </w:tcPr>
          <w:p w14:paraId="109EF69A">
            <w:pPr>
              <w:pStyle w:val="26"/>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元  </w:t>
            </w:r>
          </w:p>
          <w:p w14:paraId="1D171B0D">
            <w:pPr>
              <w:pStyle w:val="26"/>
              <w:ind w:firstLine="720" w:firstLineChars="300"/>
              <w:rPr>
                <w:rFonts w:ascii="宋体" w:hAnsi="宋体" w:cs="宋体"/>
                <w:color w:val="auto"/>
                <w:sz w:val="24"/>
                <w:highlight w:val="none"/>
              </w:rPr>
            </w:pP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tc>
      </w:tr>
    </w:tbl>
    <w:p w14:paraId="10442F8E">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2071400">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876832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F9EC6EB">
      <w:pPr>
        <w:snapToGrid w:val="0"/>
        <w:spacing w:line="360" w:lineRule="auto"/>
        <w:ind w:firstLine="480" w:firstLineChars="200"/>
        <w:jc w:val="left"/>
        <w:rPr>
          <w:rFonts w:ascii="宋体" w:hAnsi="宋体" w:cs="宋体"/>
          <w:color w:val="auto"/>
          <w:sz w:val="32"/>
          <w:szCs w:val="32"/>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DA30B5B">
      <w:pPr>
        <w:jc w:val="center"/>
        <w:rPr>
          <w:rFonts w:ascii="宋体" w:hAnsi="宋体" w:cs="宋体"/>
          <w:b/>
          <w:bCs/>
          <w:color w:val="auto"/>
          <w:sz w:val="30"/>
          <w:szCs w:val="30"/>
          <w:highlight w:val="none"/>
        </w:rPr>
      </w:pPr>
    </w:p>
    <w:p w14:paraId="381805CC">
      <w:pPr>
        <w:autoSpaceDE w:val="0"/>
        <w:autoSpaceDN w:val="0"/>
        <w:spacing w:line="360" w:lineRule="auto"/>
        <w:ind w:right="1120"/>
        <w:jc w:val="left"/>
        <w:rPr>
          <w:rFonts w:ascii="宋体" w:hAnsi="宋体" w:cs="宋体"/>
          <w:color w:val="auto"/>
          <w:kern w:val="0"/>
          <w:sz w:val="24"/>
          <w:highlight w:val="none"/>
          <w:lang w:val="zh-CN"/>
        </w:rPr>
      </w:pPr>
    </w:p>
    <w:p w14:paraId="1D4A33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 xml:space="preserve">：                              </w:t>
      </w:r>
    </w:p>
    <w:p w14:paraId="1361613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7CE8C9B">
      <w:pPr>
        <w:autoSpaceDE w:val="0"/>
        <w:autoSpaceDN w:val="0"/>
        <w:spacing w:line="360" w:lineRule="auto"/>
        <w:jc w:val="center"/>
        <w:rPr>
          <w:rFonts w:ascii="宋体" w:hAnsi="宋体" w:cs="宋体"/>
          <w:b/>
          <w:color w:val="auto"/>
          <w:kern w:val="0"/>
          <w:sz w:val="32"/>
          <w:szCs w:val="32"/>
          <w:highlight w:val="none"/>
          <w:lang w:val="zh-CN"/>
        </w:rPr>
      </w:pPr>
    </w:p>
    <w:p w14:paraId="6AB4634A">
      <w:pPr>
        <w:autoSpaceDE w:val="0"/>
        <w:autoSpaceDN w:val="0"/>
        <w:spacing w:line="360" w:lineRule="auto"/>
        <w:jc w:val="center"/>
        <w:rPr>
          <w:rFonts w:ascii="宋体" w:hAnsi="宋体" w:cs="宋体"/>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14:paraId="742C39D8">
      <w:pPr>
        <w:jc w:val="center"/>
        <w:rPr>
          <w:rFonts w:ascii="宋体" w:hAnsi="宋体" w:cs="宋体"/>
          <w:b/>
          <w:color w:val="auto"/>
          <w:kern w:val="44"/>
          <w:sz w:val="32"/>
          <w:szCs w:val="32"/>
          <w:highlight w:val="none"/>
        </w:rPr>
      </w:pPr>
      <w:r>
        <w:rPr>
          <w:rFonts w:hint="eastAsia" w:ascii="宋体" w:hAnsi="宋体" w:cs="宋体"/>
          <w:b/>
          <w:color w:val="auto"/>
          <w:kern w:val="44"/>
          <w:sz w:val="32"/>
          <w:szCs w:val="32"/>
          <w:highlight w:val="none"/>
        </w:rPr>
        <w:t>二、投标分项报价表</w:t>
      </w:r>
    </w:p>
    <w:p w14:paraId="727DF794">
      <w:pPr>
        <w:rPr>
          <w:rFonts w:ascii="宋体" w:hAnsi="宋体" w:cs="宋体"/>
          <w:color w:val="auto"/>
          <w:highlight w:val="none"/>
        </w:rPr>
      </w:pPr>
    </w:p>
    <w:tbl>
      <w:tblPr>
        <w:tblStyle w:val="6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914"/>
        <w:gridCol w:w="843"/>
        <w:gridCol w:w="720"/>
        <w:gridCol w:w="1235"/>
        <w:gridCol w:w="1177"/>
        <w:gridCol w:w="1325"/>
        <w:gridCol w:w="1294"/>
      </w:tblGrid>
      <w:tr w14:paraId="1023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trPr>
        <w:tc>
          <w:tcPr>
            <w:tcW w:w="416" w:type="pct"/>
            <w:noWrap/>
            <w:vAlign w:val="center"/>
          </w:tcPr>
          <w:p w14:paraId="183C55EA">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1031" w:type="pct"/>
            <w:noWrap/>
            <w:vAlign w:val="center"/>
          </w:tcPr>
          <w:p w14:paraId="3DF78DEE">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设备名称</w:t>
            </w:r>
          </w:p>
        </w:tc>
        <w:tc>
          <w:tcPr>
            <w:tcW w:w="454" w:type="pct"/>
            <w:noWrap/>
            <w:vAlign w:val="center"/>
          </w:tcPr>
          <w:p w14:paraId="5EE55B4B">
            <w:pPr>
              <w:widowControl/>
              <w:spacing w:line="24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品牌</w:t>
            </w:r>
          </w:p>
        </w:tc>
        <w:tc>
          <w:tcPr>
            <w:tcW w:w="387" w:type="pct"/>
            <w:noWrap/>
            <w:vAlign w:val="center"/>
          </w:tcPr>
          <w:p w14:paraId="60AC0F73">
            <w:pPr>
              <w:widowControl/>
              <w:spacing w:line="240" w:lineRule="exact"/>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型号</w:t>
            </w:r>
          </w:p>
        </w:tc>
        <w:tc>
          <w:tcPr>
            <w:tcW w:w="665" w:type="pct"/>
            <w:noWrap/>
            <w:vAlign w:val="center"/>
          </w:tcPr>
          <w:p w14:paraId="678B0489">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单位</w:t>
            </w:r>
          </w:p>
        </w:tc>
        <w:tc>
          <w:tcPr>
            <w:tcW w:w="634" w:type="pct"/>
            <w:noWrap/>
            <w:vAlign w:val="center"/>
          </w:tcPr>
          <w:p w14:paraId="3FA46239">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数量</w:t>
            </w:r>
          </w:p>
        </w:tc>
        <w:tc>
          <w:tcPr>
            <w:tcW w:w="714" w:type="pct"/>
            <w:noWrap/>
            <w:vAlign w:val="center"/>
          </w:tcPr>
          <w:p w14:paraId="6B202549">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单价（元）</w:t>
            </w:r>
          </w:p>
        </w:tc>
        <w:tc>
          <w:tcPr>
            <w:tcW w:w="696" w:type="pct"/>
            <w:noWrap/>
            <w:vAlign w:val="center"/>
          </w:tcPr>
          <w:p w14:paraId="59F4F303">
            <w:pPr>
              <w:widowControl/>
              <w:spacing w:line="24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小计（元）</w:t>
            </w:r>
          </w:p>
        </w:tc>
      </w:tr>
      <w:tr w14:paraId="2C4F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16" w:type="pct"/>
            <w:noWrap/>
            <w:vAlign w:val="center"/>
          </w:tcPr>
          <w:p w14:paraId="33FDE58D">
            <w:pPr>
              <w:widowControl/>
              <w:spacing w:line="240" w:lineRule="exact"/>
              <w:jc w:val="center"/>
              <w:textAlignment w:val="center"/>
              <w:rPr>
                <w:rFonts w:ascii="宋体" w:hAnsi="宋体" w:cs="宋体"/>
                <w:color w:val="auto"/>
                <w:szCs w:val="21"/>
                <w:highlight w:val="none"/>
              </w:rPr>
            </w:pPr>
          </w:p>
        </w:tc>
        <w:tc>
          <w:tcPr>
            <w:tcW w:w="1031" w:type="pct"/>
            <w:noWrap/>
            <w:vAlign w:val="center"/>
          </w:tcPr>
          <w:p w14:paraId="152CEB60">
            <w:pPr>
              <w:widowControl/>
              <w:spacing w:line="240" w:lineRule="exact"/>
              <w:jc w:val="center"/>
              <w:textAlignment w:val="center"/>
              <w:rPr>
                <w:rFonts w:ascii="宋体" w:hAnsi="宋体" w:cs="宋体"/>
                <w:color w:val="auto"/>
                <w:szCs w:val="21"/>
                <w:highlight w:val="none"/>
              </w:rPr>
            </w:pPr>
          </w:p>
        </w:tc>
        <w:tc>
          <w:tcPr>
            <w:tcW w:w="454" w:type="pct"/>
            <w:vAlign w:val="center"/>
          </w:tcPr>
          <w:p w14:paraId="7AB092CE">
            <w:pPr>
              <w:widowControl/>
              <w:spacing w:line="240" w:lineRule="exact"/>
              <w:jc w:val="left"/>
              <w:textAlignment w:val="center"/>
              <w:rPr>
                <w:rFonts w:ascii="宋体" w:hAnsi="宋体" w:cs="宋体"/>
                <w:color w:val="auto"/>
                <w:szCs w:val="21"/>
                <w:highlight w:val="none"/>
              </w:rPr>
            </w:pPr>
          </w:p>
        </w:tc>
        <w:tc>
          <w:tcPr>
            <w:tcW w:w="387" w:type="pct"/>
            <w:vAlign w:val="center"/>
          </w:tcPr>
          <w:p w14:paraId="009F154E">
            <w:pPr>
              <w:widowControl/>
              <w:spacing w:line="240" w:lineRule="exact"/>
              <w:jc w:val="left"/>
              <w:textAlignment w:val="center"/>
              <w:rPr>
                <w:rFonts w:ascii="宋体" w:hAnsi="宋体" w:cs="宋体"/>
                <w:color w:val="auto"/>
                <w:szCs w:val="21"/>
                <w:highlight w:val="none"/>
              </w:rPr>
            </w:pPr>
          </w:p>
        </w:tc>
        <w:tc>
          <w:tcPr>
            <w:tcW w:w="665" w:type="pct"/>
            <w:vAlign w:val="center"/>
          </w:tcPr>
          <w:p w14:paraId="7FE0A1C7">
            <w:pPr>
              <w:widowControl/>
              <w:spacing w:line="240" w:lineRule="exact"/>
              <w:jc w:val="center"/>
              <w:textAlignment w:val="center"/>
              <w:rPr>
                <w:rFonts w:ascii="宋体" w:hAnsi="宋体" w:cs="宋体"/>
                <w:color w:val="auto"/>
                <w:szCs w:val="21"/>
                <w:highlight w:val="none"/>
              </w:rPr>
            </w:pPr>
          </w:p>
        </w:tc>
        <w:tc>
          <w:tcPr>
            <w:tcW w:w="634" w:type="pct"/>
            <w:noWrap/>
            <w:vAlign w:val="center"/>
          </w:tcPr>
          <w:p w14:paraId="37E5DF02">
            <w:pPr>
              <w:widowControl/>
              <w:spacing w:line="240" w:lineRule="exact"/>
              <w:jc w:val="center"/>
              <w:textAlignment w:val="center"/>
              <w:rPr>
                <w:rFonts w:ascii="宋体" w:hAnsi="宋体" w:cs="宋体"/>
                <w:color w:val="auto"/>
                <w:szCs w:val="21"/>
                <w:highlight w:val="none"/>
              </w:rPr>
            </w:pPr>
          </w:p>
        </w:tc>
        <w:tc>
          <w:tcPr>
            <w:tcW w:w="714" w:type="pct"/>
            <w:noWrap/>
            <w:vAlign w:val="center"/>
          </w:tcPr>
          <w:p w14:paraId="3089ED04">
            <w:pPr>
              <w:widowControl/>
              <w:spacing w:line="240" w:lineRule="exact"/>
              <w:rPr>
                <w:rFonts w:ascii="宋体" w:hAnsi="宋体" w:cs="宋体"/>
                <w:color w:val="auto"/>
                <w:szCs w:val="21"/>
                <w:highlight w:val="none"/>
              </w:rPr>
            </w:pPr>
          </w:p>
        </w:tc>
        <w:tc>
          <w:tcPr>
            <w:tcW w:w="696" w:type="pct"/>
            <w:noWrap/>
            <w:vAlign w:val="center"/>
          </w:tcPr>
          <w:p w14:paraId="6053119D">
            <w:pPr>
              <w:widowControl/>
              <w:spacing w:line="240" w:lineRule="exact"/>
              <w:rPr>
                <w:rFonts w:ascii="宋体" w:hAnsi="宋体" w:cs="宋体"/>
                <w:color w:val="auto"/>
                <w:szCs w:val="21"/>
                <w:highlight w:val="none"/>
              </w:rPr>
            </w:pPr>
          </w:p>
        </w:tc>
      </w:tr>
      <w:tr w14:paraId="6FD4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16" w:type="pct"/>
            <w:noWrap/>
            <w:vAlign w:val="center"/>
          </w:tcPr>
          <w:p w14:paraId="7F0991D3">
            <w:pPr>
              <w:widowControl/>
              <w:spacing w:line="240" w:lineRule="exact"/>
              <w:jc w:val="center"/>
              <w:textAlignment w:val="center"/>
              <w:rPr>
                <w:rFonts w:ascii="宋体" w:hAnsi="宋体" w:cs="宋体"/>
                <w:color w:val="auto"/>
                <w:szCs w:val="21"/>
                <w:highlight w:val="none"/>
              </w:rPr>
            </w:pPr>
          </w:p>
        </w:tc>
        <w:tc>
          <w:tcPr>
            <w:tcW w:w="1031" w:type="pct"/>
            <w:vAlign w:val="center"/>
          </w:tcPr>
          <w:p w14:paraId="2D0A237C">
            <w:pPr>
              <w:widowControl/>
              <w:spacing w:line="240" w:lineRule="exact"/>
              <w:jc w:val="center"/>
              <w:textAlignment w:val="center"/>
              <w:rPr>
                <w:rFonts w:ascii="宋体" w:hAnsi="宋体" w:cs="宋体"/>
                <w:color w:val="auto"/>
                <w:szCs w:val="21"/>
                <w:highlight w:val="none"/>
              </w:rPr>
            </w:pPr>
          </w:p>
        </w:tc>
        <w:tc>
          <w:tcPr>
            <w:tcW w:w="454" w:type="pct"/>
            <w:vAlign w:val="center"/>
          </w:tcPr>
          <w:p w14:paraId="20871059">
            <w:pPr>
              <w:widowControl/>
              <w:spacing w:line="240" w:lineRule="exact"/>
              <w:jc w:val="left"/>
              <w:textAlignment w:val="center"/>
              <w:rPr>
                <w:rFonts w:ascii="宋体" w:hAnsi="宋体" w:cs="宋体"/>
                <w:color w:val="auto"/>
                <w:szCs w:val="21"/>
                <w:highlight w:val="none"/>
              </w:rPr>
            </w:pPr>
          </w:p>
        </w:tc>
        <w:tc>
          <w:tcPr>
            <w:tcW w:w="387" w:type="pct"/>
            <w:vAlign w:val="center"/>
          </w:tcPr>
          <w:p w14:paraId="07B712BA">
            <w:pPr>
              <w:widowControl/>
              <w:spacing w:line="240" w:lineRule="exact"/>
              <w:jc w:val="left"/>
              <w:textAlignment w:val="center"/>
              <w:rPr>
                <w:rFonts w:ascii="宋体" w:hAnsi="宋体" w:cs="宋体"/>
                <w:color w:val="auto"/>
                <w:szCs w:val="21"/>
                <w:highlight w:val="none"/>
              </w:rPr>
            </w:pPr>
          </w:p>
        </w:tc>
        <w:tc>
          <w:tcPr>
            <w:tcW w:w="665" w:type="pct"/>
            <w:vAlign w:val="center"/>
          </w:tcPr>
          <w:p w14:paraId="33A01153">
            <w:pPr>
              <w:widowControl/>
              <w:spacing w:line="240" w:lineRule="exact"/>
              <w:jc w:val="center"/>
              <w:textAlignment w:val="center"/>
              <w:rPr>
                <w:rFonts w:ascii="宋体" w:hAnsi="宋体" w:cs="宋体"/>
                <w:color w:val="auto"/>
                <w:szCs w:val="21"/>
                <w:highlight w:val="none"/>
              </w:rPr>
            </w:pPr>
          </w:p>
        </w:tc>
        <w:tc>
          <w:tcPr>
            <w:tcW w:w="634" w:type="pct"/>
            <w:noWrap/>
            <w:vAlign w:val="center"/>
          </w:tcPr>
          <w:p w14:paraId="2017914F">
            <w:pPr>
              <w:widowControl/>
              <w:spacing w:line="240" w:lineRule="exact"/>
              <w:jc w:val="center"/>
              <w:textAlignment w:val="center"/>
              <w:rPr>
                <w:rFonts w:ascii="宋体" w:hAnsi="宋体" w:cs="宋体"/>
                <w:color w:val="auto"/>
                <w:szCs w:val="21"/>
                <w:highlight w:val="none"/>
              </w:rPr>
            </w:pPr>
          </w:p>
        </w:tc>
        <w:tc>
          <w:tcPr>
            <w:tcW w:w="714" w:type="pct"/>
            <w:noWrap/>
            <w:vAlign w:val="center"/>
          </w:tcPr>
          <w:p w14:paraId="62D8B8D2">
            <w:pPr>
              <w:widowControl/>
              <w:spacing w:line="240" w:lineRule="exact"/>
              <w:rPr>
                <w:rFonts w:ascii="宋体" w:hAnsi="宋体" w:cs="宋体"/>
                <w:color w:val="auto"/>
                <w:szCs w:val="21"/>
                <w:highlight w:val="none"/>
              </w:rPr>
            </w:pPr>
          </w:p>
        </w:tc>
        <w:tc>
          <w:tcPr>
            <w:tcW w:w="696" w:type="pct"/>
            <w:noWrap/>
            <w:vAlign w:val="center"/>
          </w:tcPr>
          <w:p w14:paraId="59394F27">
            <w:pPr>
              <w:widowControl/>
              <w:spacing w:line="240" w:lineRule="exact"/>
              <w:rPr>
                <w:rFonts w:ascii="宋体" w:hAnsi="宋体" w:cs="宋体"/>
                <w:color w:val="auto"/>
                <w:szCs w:val="21"/>
                <w:highlight w:val="none"/>
              </w:rPr>
            </w:pPr>
          </w:p>
        </w:tc>
      </w:tr>
      <w:tr w14:paraId="0108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16" w:type="pct"/>
            <w:noWrap/>
            <w:vAlign w:val="center"/>
          </w:tcPr>
          <w:p w14:paraId="47D2DB4C">
            <w:pPr>
              <w:widowControl/>
              <w:spacing w:line="240" w:lineRule="exact"/>
              <w:jc w:val="center"/>
              <w:textAlignment w:val="center"/>
              <w:rPr>
                <w:rFonts w:ascii="宋体" w:hAnsi="宋体" w:cs="宋体"/>
                <w:color w:val="auto"/>
                <w:szCs w:val="21"/>
                <w:highlight w:val="none"/>
              </w:rPr>
            </w:pPr>
          </w:p>
        </w:tc>
        <w:tc>
          <w:tcPr>
            <w:tcW w:w="1031" w:type="pct"/>
            <w:noWrap/>
            <w:vAlign w:val="center"/>
          </w:tcPr>
          <w:p w14:paraId="338EA4C7">
            <w:pPr>
              <w:widowControl/>
              <w:spacing w:line="240" w:lineRule="exact"/>
              <w:jc w:val="center"/>
              <w:textAlignment w:val="center"/>
              <w:rPr>
                <w:rFonts w:ascii="宋体" w:hAnsi="宋体" w:cs="宋体"/>
                <w:color w:val="auto"/>
                <w:szCs w:val="21"/>
                <w:highlight w:val="none"/>
              </w:rPr>
            </w:pPr>
          </w:p>
        </w:tc>
        <w:tc>
          <w:tcPr>
            <w:tcW w:w="454" w:type="pct"/>
            <w:vAlign w:val="center"/>
          </w:tcPr>
          <w:p w14:paraId="734DB476">
            <w:pPr>
              <w:widowControl/>
              <w:spacing w:line="240" w:lineRule="exact"/>
              <w:jc w:val="left"/>
              <w:textAlignment w:val="center"/>
              <w:rPr>
                <w:rFonts w:ascii="宋体" w:hAnsi="宋体" w:cs="宋体"/>
                <w:color w:val="auto"/>
                <w:szCs w:val="21"/>
                <w:highlight w:val="none"/>
              </w:rPr>
            </w:pPr>
          </w:p>
        </w:tc>
        <w:tc>
          <w:tcPr>
            <w:tcW w:w="387" w:type="pct"/>
            <w:vAlign w:val="center"/>
          </w:tcPr>
          <w:p w14:paraId="66156BB7">
            <w:pPr>
              <w:widowControl/>
              <w:spacing w:line="240" w:lineRule="exact"/>
              <w:jc w:val="left"/>
              <w:textAlignment w:val="center"/>
              <w:rPr>
                <w:rFonts w:ascii="宋体" w:hAnsi="宋体" w:cs="宋体"/>
                <w:color w:val="auto"/>
                <w:szCs w:val="21"/>
                <w:highlight w:val="none"/>
              </w:rPr>
            </w:pPr>
          </w:p>
        </w:tc>
        <w:tc>
          <w:tcPr>
            <w:tcW w:w="665" w:type="pct"/>
            <w:vAlign w:val="center"/>
          </w:tcPr>
          <w:p w14:paraId="4B2DB83B">
            <w:pPr>
              <w:widowControl/>
              <w:spacing w:line="240" w:lineRule="exact"/>
              <w:jc w:val="center"/>
              <w:textAlignment w:val="center"/>
              <w:rPr>
                <w:rFonts w:ascii="宋体" w:hAnsi="宋体" w:cs="宋体"/>
                <w:color w:val="auto"/>
                <w:szCs w:val="21"/>
                <w:highlight w:val="none"/>
              </w:rPr>
            </w:pPr>
          </w:p>
        </w:tc>
        <w:tc>
          <w:tcPr>
            <w:tcW w:w="634" w:type="pct"/>
            <w:noWrap/>
            <w:vAlign w:val="center"/>
          </w:tcPr>
          <w:p w14:paraId="399A598D">
            <w:pPr>
              <w:widowControl/>
              <w:spacing w:line="240" w:lineRule="exact"/>
              <w:jc w:val="center"/>
              <w:textAlignment w:val="center"/>
              <w:rPr>
                <w:rFonts w:ascii="宋体" w:hAnsi="宋体" w:cs="宋体"/>
                <w:color w:val="auto"/>
                <w:szCs w:val="21"/>
                <w:highlight w:val="none"/>
              </w:rPr>
            </w:pPr>
          </w:p>
        </w:tc>
        <w:tc>
          <w:tcPr>
            <w:tcW w:w="714" w:type="pct"/>
            <w:noWrap/>
            <w:vAlign w:val="center"/>
          </w:tcPr>
          <w:p w14:paraId="3E5E0577">
            <w:pPr>
              <w:widowControl/>
              <w:spacing w:line="240" w:lineRule="exact"/>
              <w:jc w:val="left"/>
              <w:rPr>
                <w:rFonts w:ascii="宋体" w:hAnsi="宋体" w:cs="宋体"/>
                <w:color w:val="auto"/>
                <w:szCs w:val="21"/>
                <w:highlight w:val="none"/>
              </w:rPr>
            </w:pPr>
          </w:p>
        </w:tc>
        <w:tc>
          <w:tcPr>
            <w:tcW w:w="696" w:type="pct"/>
            <w:noWrap/>
            <w:vAlign w:val="center"/>
          </w:tcPr>
          <w:p w14:paraId="5FB193C6">
            <w:pPr>
              <w:widowControl/>
              <w:spacing w:line="240" w:lineRule="exact"/>
              <w:jc w:val="left"/>
              <w:rPr>
                <w:rFonts w:ascii="宋体" w:hAnsi="宋体" w:cs="宋体"/>
                <w:color w:val="auto"/>
                <w:szCs w:val="21"/>
                <w:highlight w:val="none"/>
              </w:rPr>
            </w:pPr>
          </w:p>
        </w:tc>
      </w:tr>
      <w:tr w14:paraId="2583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16" w:type="pct"/>
            <w:noWrap/>
            <w:vAlign w:val="center"/>
          </w:tcPr>
          <w:p w14:paraId="20E009C0">
            <w:pPr>
              <w:widowControl/>
              <w:spacing w:line="240" w:lineRule="exact"/>
              <w:jc w:val="center"/>
              <w:textAlignment w:val="center"/>
              <w:rPr>
                <w:rFonts w:ascii="宋体" w:hAnsi="宋体" w:cs="宋体"/>
                <w:color w:val="auto"/>
                <w:szCs w:val="21"/>
                <w:highlight w:val="none"/>
              </w:rPr>
            </w:pPr>
          </w:p>
        </w:tc>
        <w:tc>
          <w:tcPr>
            <w:tcW w:w="1031" w:type="pct"/>
            <w:noWrap/>
            <w:vAlign w:val="center"/>
          </w:tcPr>
          <w:p w14:paraId="71DD0B1D">
            <w:pPr>
              <w:widowControl/>
              <w:spacing w:line="240" w:lineRule="exact"/>
              <w:jc w:val="center"/>
              <w:textAlignment w:val="center"/>
              <w:rPr>
                <w:rFonts w:ascii="宋体" w:hAnsi="宋体" w:cs="宋体"/>
                <w:color w:val="auto"/>
                <w:szCs w:val="21"/>
                <w:highlight w:val="none"/>
              </w:rPr>
            </w:pPr>
          </w:p>
        </w:tc>
        <w:tc>
          <w:tcPr>
            <w:tcW w:w="454" w:type="pct"/>
            <w:vAlign w:val="center"/>
          </w:tcPr>
          <w:p w14:paraId="282A947A">
            <w:pPr>
              <w:widowControl/>
              <w:spacing w:line="240" w:lineRule="exact"/>
              <w:jc w:val="left"/>
              <w:textAlignment w:val="center"/>
              <w:rPr>
                <w:rFonts w:ascii="宋体" w:hAnsi="宋体" w:cs="宋体"/>
                <w:color w:val="auto"/>
                <w:szCs w:val="21"/>
                <w:highlight w:val="none"/>
              </w:rPr>
            </w:pPr>
          </w:p>
        </w:tc>
        <w:tc>
          <w:tcPr>
            <w:tcW w:w="387" w:type="pct"/>
            <w:vAlign w:val="center"/>
          </w:tcPr>
          <w:p w14:paraId="2AB4D889">
            <w:pPr>
              <w:widowControl/>
              <w:spacing w:line="240" w:lineRule="exact"/>
              <w:jc w:val="left"/>
              <w:textAlignment w:val="center"/>
              <w:rPr>
                <w:rFonts w:ascii="宋体" w:hAnsi="宋体" w:cs="宋体"/>
                <w:color w:val="auto"/>
                <w:szCs w:val="21"/>
                <w:highlight w:val="none"/>
              </w:rPr>
            </w:pPr>
          </w:p>
        </w:tc>
        <w:tc>
          <w:tcPr>
            <w:tcW w:w="665" w:type="pct"/>
            <w:vAlign w:val="center"/>
          </w:tcPr>
          <w:p w14:paraId="19021AB5">
            <w:pPr>
              <w:widowControl/>
              <w:spacing w:line="240" w:lineRule="exact"/>
              <w:jc w:val="center"/>
              <w:textAlignment w:val="center"/>
              <w:rPr>
                <w:rFonts w:ascii="宋体" w:hAnsi="宋体" w:cs="宋体"/>
                <w:color w:val="auto"/>
                <w:szCs w:val="21"/>
                <w:highlight w:val="none"/>
              </w:rPr>
            </w:pPr>
          </w:p>
        </w:tc>
        <w:tc>
          <w:tcPr>
            <w:tcW w:w="634" w:type="pct"/>
            <w:noWrap/>
            <w:vAlign w:val="center"/>
          </w:tcPr>
          <w:p w14:paraId="21BF86F7">
            <w:pPr>
              <w:widowControl/>
              <w:spacing w:line="240" w:lineRule="exact"/>
              <w:jc w:val="center"/>
              <w:textAlignment w:val="center"/>
              <w:rPr>
                <w:rFonts w:ascii="宋体" w:hAnsi="宋体" w:cs="宋体"/>
                <w:color w:val="auto"/>
                <w:szCs w:val="21"/>
                <w:highlight w:val="none"/>
              </w:rPr>
            </w:pPr>
          </w:p>
        </w:tc>
        <w:tc>
          <w:tcPr>
            <w:tcW w:w="714" w:type="pct"/>
            <w:noWrap/>
            <w:vAlign w:val="center"/>
          </w:tcPr>
          <w:p w14:paraId="068FBE1A">
            <w:pPr>
              <w:widowControl/>
              <w:spacing w:line="240" w:lineRule="exact"/>
              <w:rPr>
                <w:rFonts w:ascii="宋体" w:hAnsi="宋体" w:cs="宋体"/>
                <w:color w:val="auto"/>
                <w:szCs w:val="21"/>
                <w:highlight w:val="none"/>
              </w:rPr>
            </w:pPr>
          </w:p>
        </w:tc>
        <w:tc>
          <w:tcPr>
            <w:tcW w:w="696" w:type="pct"/>
            <w:noWrap/>
            <w:vAlign w:val="center"/>
          </w:tcPr>
          <w:p w14:paraId="43311823">
            <w:pPr>
              <w:widowControl/>
              <w:spacing w:line="240" w:lineRule="exact"/>
              <w:rPr>
                <w:rFonts w:ascii="宋体" w:hAnsi="宋体" w:cs="宋体"/>
                <w:color w:val="auto"/>
                <w:szCs w:val="21"/>
                <w:highlight w:val="none"/>
              </w:rPr>
            </w:pPr>
          </w:p>
        </w:tc>
      </w:tr>
      <w:tr w14:paraId="2733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16" w:type="pct"/>
            <w:noWrap/>
            <w:vAlign w:val="center"/>
          </w:tcPr>
          <w:p w14:paraId="40251CF0">
            <w:pPr>
              <w:widowControl/>
              <w:spacing w:line="240" w:lineRule="exact"/>
              <w:jc w:val="center"/>
              <w:textAlignment w:val="center"/>
              <w:rPr>
                <w:rFonts w:ascii="宋体" w:hAnsi="宋体" w:cs="宋体"/>
                <w:color w:val="auto"/>
                <w:szCs w:val="21"/>
                <w:highlight w:val="none"/>
              </w:rPr>
            </w:pPr>
          </w:p>
        </w:tc>
        <w:tc>
          <w:tcPr>
            <w:tcW w:w="1031" w:type="pct"/>
            <w:vAlign w:val="center"/>
          </w:tcPr>
          <w:p w14:paraId="1E92CCDC">
            <w:pPr>
              <w:widowControl/>
              <w:spacing w:line="240" w:lineRule="exact"/>
              <w:jc w:val="center"/>
              <w:textAlignment w:val="center"/>
              <w:rPr>
                <w:rFonts w:ascii="宋体" w:hAnsi="宋体" w:cs="宋体"/>
                <w:color w:val="auto"/>
                <w:szCs w:val="21"/>
                <w:highlight w:val="none"/>
              </w:rPr>
            </w:pPr>
          </w:p>
        </w:tc>
        <w:tc>
          <w:tcPr>
            <w:tcW w:w="454" w:type="pct"/>
            <w:vAlign w:val="center"/>
          </w:tcPr>
          <w:p w14:paraId="382AA170">
            <w:pPr>
              <w:widowControl/>
              <w:spacing w:line="240" w:lineRule="exact"/>
              <w:jc w:val="left"/>
              <w:textAlignment w:val="center"/>
              <w:rPr>
                <w:rFonts w:ascii="宋体" w:hAnsi="宋体" w:cs="宋体"/>
                <w:color w:val="auto"/>
                <w:szCs w:val="21"/>
                <w:highlight w:val="none"/>
              </w:rPr>
            </w:pPr>
          </w:p>
        </w:tc>
        <w:tc>
          <w:tcPr>
            <w:tcW w:w="387" w:type="pct"/>
            <w:vAlign w:val="center"/>
          </w:tcPr>
          <w:p w14:paraId="2240FCFB">
            <w:pPr>
              <w:widowControl/>
              <w:spacing w:line="240" w:lineRule="exact"/>
              <w:jc w:val="left"/>
              <w:textAlignment w:val="center"/>
              <w:rPr>
                <w:rFonts w:ascii="宋体" w:hAnsi="宋体" w:cs="宋体"/>
                <w:color w:val="auto"/>
                <w:szCs w:val="21"/>
                <w:highlight w:val="none"/>
              </w:rPr>
            </w:pPr>
          </w:p>
        </w:tc>
        <w:tc>
          <w:tcPr>
            <w:tcW w:w="665" w:type="pct"/>
            <w:vAlign w:val="center"/>
          </w:tcPr>
          <w:p w14:paraId="296D9BE1">
            <w:pPr>
              <w:widowControl/>
              <w:spacing w:line="240" w:lineRule="exact"/>
              <w:jc w:val="center"/>
              <w:textAlignment w:val="center"/>
              <w:rPr>
                <w:rFonts w:ascii="宋体" w:hAnsi="宋体" w:cs="宋体"/>
                <w:color w:val="auto"/>
                <w:szCs w:val="21"/>
                <w:highlight w:val="none"/>
              </w:rPr>
            </w:pPr>
          </w:p>
        </w:tc>
        <w:tc>
          <w:tcPr>
            <w:tcW w:w="634" w:type="pct"/>
            <w:noWrap/>
            <w:vAlign w:val="center"/>
          </w:tcPr>
          <w:p w14:paraId="7BE76279">
            <w:pPr>
              <w:widowControl/>
              <w:spacing w:line="240" w:lineRule="exact"/>
              <w:jc w:val="center"/>
              <w:textAlignment w:val="center"/>
              <w:rPr>
                <w:rFonts w:ascii="宋体" w:hAnsi="宋体" w:cs="宋体"/>
                <w:color w:val="auto"/>
                <w:szCs w:val="21"/>
                <w:highlight w:val="none"/>
              </w:rPr>
            </w:pPr>
          </w:p>
        </w:tc>
        <w:tc>
          <w:tcPr>
            <w:tcW w:w="714" w:type="pct"/>
            <w:noWrap/>
            <w:vAlign w:val="center"/>
          </w:tcPr>
          <w:p w14:paraId="6A4AB22B">
            <w:pPr>
              <w:widowControl/>
              <w:spacing w:line="240" w:lineRule="exact"/>
              <w:jc w:val="left"/>
              <w:rPr>
                <w:rFonts w:ascii="宋体" w:hAnsi="宋体" w:cs="宋体"/>
                <w:color w:val="auto"/>
                <w:szCs w:val="21"/>
                <w:highlight w:val="none"/>
              </w:rPr>
            </w:pPr>
          </w:p>
        </w:tc>
        <w:tc>
          <w:tcPr>
            <w:tcW w:w="696" w:type="pct"/>
            <w:noWrap/>
            <w:vAlign w:val="center"/>
          </w:tcPr>
          <w:p w14:paraId="465D1677">
            <w:pPr>
              <w:widowControl/>
              <w:spacing w:line="240" w:lineRule="exact"/>
              <w:jc w:val="left"/>
              <w:rPr>
                <w:rFonts w:ascii="宋体" w:hAnsi="宋体" w:cs="宋体"/>
                <w:color w:val="auto"/>
                <w:szCs w:val="21"/>
                <w:highlight w:val="none"/>
              </w:rPr>
            </w:pPr>
          </w:p>
        </w:tc>
      </w:tr>
      <w:tr w14:paraId="063E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16" w:type="pct"/>
            <w:noWrap/>
            <w:vAlign w:val="center"/>
          </w:tcPr>
          <w:p w14:paraId="6048B74E">
            <w:pPr>
              <w:widowControl/>
              <w:spacing w:line="240" w:lineRule="exact"/>
              <w:jc w:val="center"/>
              <w:textAlignment w:val="center"/>
              <w:rPr>
                <w:rFonts w:ascii="宋体" w:hAnsi="宋体" w:cs="宋体"/>
                <w:color w:val="auto"/>
                <w:szCs w:val="21"/>
                <w:highlight w:val="none"/>
              </w:rPr>
            </w:pPr>
          </w:p>
        </w:tc>
        <w:tc>
          <w:tcPr>
            <w:tcW w:w="1031" w:type="pct"/>
            <w:vAlign w:val="center"/>
          </w:tcPr>
          <w:p w14:paraId="3E684741">
            <w:pPr>
              <w:widowControl/>
              <w:spacing w:line="240" w:lineRule="exact"/>
              <w:jc w:val="center"/>
              <w:textAlignment w:val="center"/>
              <w:rPr>
                <w:rFonts w:ascii="宋体" w:hAnsi="宋体" w:cs="宋体"/>
                <w:color w:val="auto"/>
                <w:szCs w:val="21"/>
                <w:highlight w:val="none"/>
              </w:rPr>
            </w:pPr>
          </w:p>
        </w:tc>
        <w:tc>
          <w:tcPr>
            <w:tcW w:w="454" w:type="pct"/>
            <w:vAlign w:val="center"/>
          </w:tcPr>
          <w:p w14:paraId="6123769B">
            <w:pPr>
              <w:widowControl/>
              <w:spacing w:line="240" w:lineRule="exact"/>
              <w:jc w:val="left"/>
              <w:textAlignment w:val="center"/>
              <w:rPr>
                <w:rFonts w:ascii="宋体" w:hAnsi="宋体" w:cs="宋体"/>
                <w:color w:val="auto"/>
                <w:szCs w:val="21"/>
                <w:highlight w:val="none"/>
              </w:rPr>
            </w:pPr>
          </w:p>
        </w:tc>
        <w:tc>
          <w:tcPr>
            <w:tcW w:w="387" w:type="pct"/>
            <w:vAlign w:val="center"/>
          </w:tcPr>
          <w:p w14:paraId="1F428AF7">
            <w:pPr>
              <w:widowControl/>
              <w:spacing w:line="240" w:lineRule="exact"/>
              <w:jc w:val="left"/>
              <w:textAlignment w:val="center"/>
              <w:rPr>
                <w:rFonts w:ascii="宋体" w:hAnsi="宋体" w:cs="宋体"/>
                <w:color w:val="auto"/>
                <w:szCs w:val="21"/>
                <w:highlight w:val="none"/>
              </w:rPr>
            </w:pPr>
          </w:p>
        </w:tc>
        <w:tc>
          <w:tcPr>
            <w:tcW w:w="665" w:type="pct"/>
            <w:vAlign w:val="center"/>
          </w:tcPr>
          <w:p w14:paraId="09E48BE0">
            <w:pPr>
              <w:widowControl/>
              <w:spacing w:line="240" w:lineRule="exact"/>
              <w:jc w:val="center"/>
              <w:textAlignment w:val="center"/>
              <w:rPr>
                <w:rFonts w:ascii="宋体" w:hAnsi="宋体" w:cs="宋体"/>
                <w:color w:val="auto"/>
                <w:szCs w:val="21"/>
                <w:highlight w:val="none"/>
              </w:rPr>
            </w:pPr>
          </w:p>
        </w:tc>
        <w:tc>
          <w:tcPr>
            <w:tcW w:w="634" w:type="pct"/>
            <w:noWrap/>
            <w:vAlign w:val="center"/>
          </w:tcPr>
          <w:p w14:paraId="2CDE7ACD">
            <w:pPr>
              <w:widowControl/>
              <w:spacing w:line="240" w:lineRule="exact"/>
              <w:jc w:val="center"/>
              <w:textAlignment w:val="center"/>
              <w:rPr>
                <w:rFonts w:ascii="宋体" w:hAnsi="宋体" w:cs="宋体"/>
                <w:color w:val="auto"/>
                <w:szCs w:val="21"/>
                <w:highlight w:val="none"/>
              </w:rPr>
            </w:pPr>
          </w:p>
        </w:tc>
        <w:tc>
          <w:tcPr>
            <w:tcW w:w="714" w:type="pct"/>
            <w:vAlign w:val="center"/>
          </w:tcPr>
          <w:p w14:paraId="705FA807">
            <w:pPr>
              <w:widowControl/>
              <w:spacing w:line="240" w:lineRule="exact"/>
              <w:jc w:val="left"/>
              <w:rPr>
                <w:rFonts w:ascii="宋体" w:hAnsi="宋体" w:cs="宋体"/>
                <w:color w:val="auto"/>
                <w:szCs w:val="21"/>
                <w:highlight w:val="none"/>
              </w:rPr>
            </w:pPr>
          </w:p>
        </w:tc>
        <w:tc>
          <w:tcPr>
            <w:tcW w:w="696" w:type="pct"/>
            <w:vAlign w:val="center"/>
          </w:tcPr>
          <w:p w14:paraId="1E9FC702">
            <w:pPr>
              <w:widowControl/>
              <w:spacing w:line="240" w:lineRule="exact"/>
              <w:jc w:val="left"/>
              <w:rPr>
                <w:rFonts w:ascii="宋体" w:hAnsi="宋体" w:cs="宋体"/>
                <w:color w:val="auto"/>
                <w:szCs w:val="21"/>
                <w:highlight w:val="none"/>
              </w:rPr>
            </w:pPr>
          </w:p>
        </w:tc>
      </w:tr>
      <w:tr w14:paraId="7DB0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16" w:type="pct"/>
            <w:noWrap/>
            <w:vAlign w:val="center"/>
          </w:tcPr>
          <w:p w14:paraId="71D0E09B">
            <w:pPr>
              <w:widowControl/>
              <w:spacing w:line="240" w:lineRule="exact"/>
              <w:jc w:val="center"/>
              <w:textAlignment w:val="center"/>
              <w:rPr>
                <w:rFonts w:ascii="宋体" w:hAnsi="宋体" w:cs="宋体"/>
                <w:color w:val="auto"/>
                <w:szCs w:val="21"/>
                <w:highlight w:val="none"/>
              </w:rPr>
            </w:pPr>
          </w:p>
        </w:tc>
        <w:tc>
          <w:tcPr>
            <w:tcW w:w="1031" w:type="pct"/>
            <w:vAlign w:val="center"/>
          </w:tcPr>
          <w:p w14:paraId="4D0BE632">
            <w:pPr>
              <w:widowControl/>
              <w:spacing w:line="240" w:lineRule="exact"/>
              <w:jc w:val="center"/>
              <w:textAlignment w:val="center"/>
              <w:rPr>
                <w:rFonts w:ascii="宋体" w:hAnsi="宋体" w:cs="宋体"/>
                <w:color w:val="auto"/>
                <w:szCs w:val="21"/>
                <w:highlight w:val="none"/>
              </w:rPr>
            </w:pPr>
          </w:p>
        </w:tc>
        <w:tc>
          <w:tcPr>
            <w:tcW w:w="454" w:type="pct"/>
            <w:vAlign w:val="center"/>
          </w:tcPr>
          <w:p w14:paraId="6F353634">
            <w:pPr>
              <w:widowControl/>
              <w:spacing w:line="240" w:lineRule="exact"/>
              <w:jc w:val="left"/>
              <w:textAlignment w:val="center"/>
              <w:rPr>
                <w:rFonts w:ascii="宋体" w:hAnsi="宋体" w:cs="宋体"/>
                <w:color w:val="auto"/>
                <w:szCs w:val="21"/>
                <w:highlight w:val="none"/>
              </w:rPr>
            </w:pPr>
          </w:p>
        </w:tc>
        <w:tc>
          <w:tcPr>
            <w:tcW w:w="387" w:type="pct"/>
            <w:vAlign w:val="center"/>
          </w:tcPr>
          <w:p w14:paraId="03840E05">
            <w:pPr>
              <w:widowControl/>
              <w:spacing w:line="240" w:lineRule="exact"/>
              <w:jc w:val="left"/>
              <w:textAlignment w:val="center"/>
              <w:rPr>
                <w:rFonts w:ascii="宋体" w:hAnsi="宋体" w:cs="宋体"/>
                <w:color w:val="auto"/>
                <w:szCs w:val="21"/>
                <w:highlight w:val="none"/>
              </w:rPr>
            </w:pPr>
          </w:p>
        </w:tc>
        <w:tc>
          <w:tcPr>
            <w:tcW w:w="665" w:type="pct"/>
            <w:vAlign w:val="center"/>
          </w:tcPr>
          <w:p w14:paraId="2659933B">
            <w:pPr>
              <w:widowControl/>
              <w:spacing w:line="240" w:lineRule="exact"/>
              <w:jc w:val="center"/>
              <w:textAlignment w:val="center"/>
              <w:rPr>
                <w:rFonts w:ascii="宋体" w:hAnsi="宋体" w:cs="宋体"/>
                <w:color w:val="auto"/>
                <w:szCs w:val="21"/>
                <w:highlight w:val="none"/>
              </w:rPr>
            </w:pPr>
          </w:p>
        </w:tc>
        <w:tc>
          <w:tcPr>
            <w:tcW w:w="634" w:type="pct"/>
            <w:noWrap/>
            <w:vAlign w:val="center"/>
          </w:tcPr>
          <w:p w14:paraId="52DABCDE">
            <w:pPr>
              <w:widowControl/>
              <w:spacing w:line="240" w:lineRule="exact"/>
              <w:jc w:val="center"/>
              <w:textAlignment w:val="center"/>
              <w:rPr>
                <w:rFonts w:ascii="宋体" w:hAnsi="宋体" w:cs="宋体"/>
                <w:color w:val="auto"/>
                <w:szCs w:val="21"/>
                <w:highlight w:val="none"/>
              </w:rPr>
            </w:pPr>
          </w:p>
        </w:tc>
        <w:tc>
          <w:tcPr>
            <w:tcW w:w="714" w:type="pct"/>
            <w:noWrap/>
            <w:vAlign w:val="center"/>
          </w:tcPr>
          <w:p w14:paraId="6D25FB29">
            <w:pPr>
              <w:widowControl/>
              <w:spacing w:line="240" w:lineRule="exact"/>
              <w:jc w:val="left"/>
              <w:rPr>
                <w:rFonts w:ascii="宋体" w:hAnsi="宋体" w:cs="宋体"/>
                <w:color w:val="auto"/>
                <w:szCs w:val="21"/>
                <w:highlight w:val="none"/>
              </w:rPr>
            </w:pPr>
          </w:p>
        </w:tc>
        <w:tc>
          <w:tcPr>
            <w:tcW w:w="696" w:type="pct"/>
            <w:noWrap/>
            <w:vAlign w:val="center"/>
          </w:tcPr>
          <w:p w14:paraId="7F32ECC0">
            <w:pPr>
              <w:widowControl/>
              <w:spacing w:line="240" w:lineRule="exact"/>
              <w:jc w:val="left"/>
              <w:rPr>
                <w:rFonts w:ascii="宋体" w:hAnsi="宋体" w:cs="宋体"/>
                <w:color w:val="auto"/>
                <w:szCs w:val="21"/>
                <w:highlight w:val="none"/>
              </w:rPr>
            </w:pPr>
          </w:p>
        </w:tc>
      </w:tr>
      <w:tr w14:paraId="55FD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16" w:type="pct"/>
            <w:noWrap/>
            <w:vAlign w:val="center"/>
          </w:tcPr>
          <w:p w14:paraId="3EAFFDF7">
            <w:pPr>
              <w:widowControl/>
              <w:spacing w:line="240" w:lineRule="exact"/>
              <w:jc w:val="center"/>
              <w:textAlignment w:val="center"/>
              <w:rPr>
                <w:rFonts w:ascii="宋体" w:hAnsi="宋体" w:cs="宋体"/>
                <w:color w:val="auto"/>
                <w:szCs w:val="21"/>
                <w:highlight w:val="none"/>
              </w:rPr>
            </w:pPr>
          </w:p>
        </w:tc>
        <w:tc>
          <w:tcPr>
            <w:tcW w:w="1031" w:type="pct"/>
            <w:vAlign w:val="center"/>
          </w:tcPr>
          <w:p w14:paraId="72348018">
            <w:pPr>
              <w:widowControl/>
              <w:spacing w:line="240" w:lineRule="exact"/>
              <w:jc w:val="center"/>
              <w:textAlignment w:val="center"/>
              <w:rPr>
                <w:rFonts w:ascii="宋体" w:hAnsi="宋体" w:cs="宋体"/>
                <w:color w:val="auto"/>
                <w:szCs w:val="21"/>
                <w:highlight w:val="none"/>
              </w:rPr>
            </w:pPr>
          </w:p>
        </w:tc>
        <w:tc>
          <w:tcPr>
            <w:tcW w:w="454" w:type="pct"/>
            <w:vAlign w:val="center"/>
          </w:tcPr>
          <w:p w14:paraId="0DCD4166">
            <w:pPr>
              <w:widowControl/>
              <w:spacing w:line="240" w:lineRule="exact"/>
              <w:jc w:val="left"/>
              <w:textAlignment w:val="center"/>
              <w:rPr>
                <w:rFonts w:ascii="宋体" w:hAnsi="宋体" w:cs="宋体"/>
                <w:color w:val="auto"/>
                <w:szCs w:val="21"/>
                <w:highlight w:val="none"/>
              </w:rPr>
            </w:pPr>
          </w:p>
        </w:tc>
        <w:tc>
          <w:tcPr>
            <w:tcW w:w="387" w:type="pct"/>
            <w:vAlign w:val="center"/>
          </w:tcPr>
          <w:p w14:paraId="7C2FA061">
            <w:pPr>
              <w:widowControl/>
              <w:spacing w:line="240" w:lineRule="exact"/>
              <w:jc w:val="left"/>
              <w:textAlignment w:val="center"/>
              <w:rPr>
                <w:rFonts w:ascii="宋体" w:hAnsi="宋体" w:cs="宋体"/>
                <w:color w:val="auto"/>
                <w:szCs w:val="21"/>
                <w:highlight w:val="none"/>
              </w:rPr>
            </w:pPr>
          </w:p>
        </w:tc>
        <w:tc>
          <w:tcPr>
            <w:tcW w:w="665" w:type="pct"/>
            <w:vAlign w:val="center"/>
          </w:tcPr>
          <w:p w14:paraId="583AD9B1">
            <w:pPr>
              <w:widowControl/>
              <w:spacing w:line="240" w:lineRule="exact"/>
              <w:jc w:val="center"/>
              <w:textAlignment w:val="center"/>
              <w:rPr>
                <w:rFonts w:ascii="宋体" w:hAnsi="宋体" w:cs="宋体"/>
                <w:color w:val="auto"/>
                <w:szCs w:val="21"/>
                <w:highlight w:val="none"/>
              </w:rPr>
            </w:pPr>
          </w:p>
        </w:tc>
        <w:tc>
          <w:tcPr>
            <w:tcW w:w="634" w:type="pct"/>
            <w:noWrap/>
            <w:vAlign w:val="center"/>
          </w:tcPr>
          <w:p w14:paraId="6AD9D238">
            <w:pPr>
              <w:widowControl/>
              <w:spacing w:line="240" w:lineRule="exact"/>
              <w:jc w:val="center"/>
              <w:textAlignment w:val="center"/>
              <w:rPr>
                <w:rFonts w:ascii="宋体" w:hAnsi="宋体" w:cs="宋体"/>
                <w:color w:val="auto"/>
                <w:szCs w:val="21"/>
                <w:highlight w:val="none"/>
              </w:rPr>
            </w:pPr>
          </w:p>
        </w:tc>
        <w:tc>
          <w:tcPr>
            <w:tcW w:w="714" w:type="pct"/>
            <w:noWrap/>
            <w:vAlign w:val="center"/>
          </w:tcPr>
          <w:p w14:paraId="0294AA2A">
            <w:pPr>
              <w:widowControl/>
              <w:spacing w:line="240" w:lineRule="exact"/>
              <w:jc w:val="left"/>
              <w:rPr>
                <w:rFonts w:ascii="宋体" w:hAnsi="宋体" w:cs="宋体"/>
                <w:color w:val="auto"/>
                <w:szCs w:val="21"/>
                <w:highlight w:val="none"/>
              </w:rPr>
            </w:pPr>
          </w:p>
        </w:tc>
        <w:tc>
          <w:tcPr>
            <w:tcW w:w="696" w:type="pct"/>
            <w:noWrap/>
            <w:vAlign w:val="center"/>
          </w:tcPr>
          <w:p w14:paraId="10C04001">
            <w:pPr>
              <w:widowControl/>
              <w:spacing w:line="240" w:lineRule="exact"/>
              <w:jc w:val="left"/>
              <w:rPr>
                <w:rFonts w:ascii="宋体" w:hAnsi="宋体" w:cs="宋体"/>
                <w:color w:val="auto"/>
                <w:szCs w:val="21"/>
                <w:highlight w:val="none"/>
              </w:rPr>
            </w:pPr>
          </w:p>
        </w:tc>
      </w:tr>
      <w:tr w14:paraId="5495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89" w:type="pct"/>
            <w:gridSpan w:val="4"/>
            <w:noWrap/>
            <w:vAlign w:val="center"/>
          </w:tcPr>
          <w:p w14:paraId="2A7F0DF6">
            <w:pPr>
              <w:widowControl/>
              <w:spacing w:line="24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投标总价（元）</w:t>
            </w:r>
          </w:p>
        </w:tc>
        <w:tc>
          <w:tcPr>
            <w:tcW w:w="2710" w:type="pct"/>
            <w:gridSpan w:val="4"/>
            <w:noWrap/>
            <w:vAlign w:val="center"/>
          </w:tcPr>
          <w:p w14:paraId="102F03D9">
            <w:pPr>
              <w:widowControl/>
              <w:spacing w:line="240" w:lineRule="exact"/>
              <w:jc w:val="left"/>
              <w:rPr>
                <w:rFonts w:ascii="宋体" w:hAnsi="宋体" w:cs="宋体"/>
                <w:color w:val="auto"/>
                <w:szCs w:val="21"/>
                <w:highlight w:val="none"/>
              </w:rPr>
            </w:pPr>
          </w:p>
        </w:tc>
      </w:tr>
    </w:tbl>
    <w:p w14:paraId="318CFFF0">
      <w:pPr>
        <w:autoSpaceDE w:val="0"/>
        <w:autoSpaceDN w:val="0"/>
        <w:spacing w:line="360" w:lineRule="auto"/>
        <w:ind w:left="2" w:leftChars="1" w:right="1120" w:firstLine="3990" w:firstLineChars="1900"/>
        <w:jc w:val="left"/>
        <w:rPr>
          <w:rFonts w:ascii="宋体" w:hAnsi="宋体" w:cs="宋体"/>
          <w:color w:val="auto"/>
          <w:szCs w:val="21"/>
          <w:highlight w:val="none"/>
        </w:rPr>
      </w:pPr>
    </w:p>
    <w:p w14:paraId="1A75D2CD">
      <w:pPr>
        <w:autoSpaceDE w:val="0"/>
        <w:autoSpaceDN w:val="0"/>
        <w:spacing w:line="360" w:lineRule="auto"/>
        <w:ind w:left="2" w:leftChars="1" w:right="1120" w:firstLine="3990" w:firstLineChars="1900"/>
        <w:jc w:val="left"/>
        <w:rPr>
          <w:rFonts w:ascii="宋体" w:hAnsi="宋体" w:cs="宋体"/>
          <w:color w:val="auto"/>
          <w:szCs w:val="21"/>
          <w:highlight w:val="none"/>
        </w:rPr>
      </w:pPr>
    </w:p>
    <w:p w14:paraId="42884581">
      <w:pPr>
        <w:snapToGrid w:val="0"/>
        <w:spacing w:line="360" w:lineRule="auto"/>
        <w:ind w:firstLine="576"/>
        <w:jc w:val="center"/>
        <w:rPr>
          <w:rFonts w:ascii="宋体" w:hAnsi="宋体" w:cs="宋体"/>
          <w:color w:val="auto"/>
          <w:kern w:val="0"/>
          <w:sz w:val="24"/>
          <w:highlight w:val="none"/>
          <w:lang w:val="zh-CN"/>
        </w:rPr>
      </w:pPr>
      <w:bookmarkStart w:id="533" w:name="_Toc8239"/>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 xml:space="preserve">：                              </w:t>
      </w:r>
    </w:p>
    <w:p w14:paraId="201A488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EAE9986">
      <w:pPr>
        <w:autoSpaceDE w:val="0"/>
        <w:autoSpaceDN w:val="0"/>
        <w:spacing w:line="360" w:lineRule="auto"/>
        <w:jc w:val="center"/>
        <w:rPr>
          <w:rFonts w:ascii="宋体" w:hAnsi="宋体" w:cs="宋体"/>
          <w:b/>
          <w:color w:val="auto"/>
          <w:kern w:val="0"/>
          <w:sz w:val="32"/>
          <w:szCs w:val="32"/>
          <w:highlight w:val="none"/>
          <w:lang w:val="zh-CN"/>
        </w:rPr>
      </w:pPr>
    </w:p>
    <w:p w14:paraId="23F0B1A1">
      <w:pPr>
        <w:autoSpaceDE w:val="0"/>
        <w:autoSpaceDN w:val="0"/>
        <w:spacing w:line="360" w:lineRule="auto"/>
        <w:jc w:val="center"/>
        <w:rPr>
          <w:rFonts w:ascii="宋体" w:hAnsi="宋体" w:cs="宋体"/>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14:paraId="7D8FE0AC">
      <w:pPr>
        <w:rPr>
          <w:rFonts w:ascii="宋体" w:hAnsi="宋体" w:cs="宋体"/>
          <w:b/>
          <w:bCs/>
          <w:color w:val="auto"/>
          <w:sz w:val="32"/>
          <w:szCs w:val="32"/>
          <w:highlight w:val="none"/>
        </w:rPr>
      </w:pPr>
    </w:p>
    <w:p w14:paraId="33A60602">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三、中小企业声明函</w:t>
      </w:r>
      <w:bookmarkStart w:id="534" w:name="_Hlk101259491"/>
      <w:r>
        <w:rPr>
          <w:rFonts w:hint="eastAsia" w:ascii="宋体" w:hAnsi="宋体" w:cs="宋体"/>
          <w:b/>
          <w:bCs/>
          <w:color w:val="auto"/>
          <w:sz w:val="32"/>
          <w:szCs w:val="32"/>
          <w:highlight w:val="none"/>
        </w:rPr>
        <w:t>（如果有）</w:t>
      </w:r>
      <w:bookmarkEnd w:id="533"/>
      <w:bookmarkEnd w:id="534"/>
    </w:p>
    <w:p w14:paraId="7ACA709E">
      <w:pPr>
        <w:pStyle w:val="696"/>
        <w:ind w:firstLine="0"/>
        <w:jc w:val="both"/>
        <w:rPr>
          <w:rFonts w:hAnsi="宋体" w:cs="宋体"/>
          <w:b/>
          <w:bCs/>
          <w:color w:val="auto"/>
          <w:sz w:val="32"/>
          <w:szCs w:val="32"/>
          <w:highlight w:val="none"/>
        </w:rPr>
      </w:pPr>
    </w:p>
    <w:p w14:paraId="5084EA12">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7F2B64F7">
      <w:pPr>
        <w:rPr>
          <w:rFonts w:ascii="宋体" w:hAnsi="宋体" w:cs="宋体"/>
          <w:b/>
          <w:color w:val="auto"/>
          <w:sz w:val="24"/>
          <w:highlight w:val="none"/>
        </w:rPr>
      </w:pPr>
      <w:r>
        <w:rPr>
          <w:rFonts w:hint="eastAsia" w:ascii="宋体" w:hAnsi="宋体" w:cs="宋体"/>
          <w:b/>
          <w:color w:val="auto"/>
          <w:sz w:val="24"/>
          <w:highlight w:val="none"/>
        </w:rPr>
        <w:br w:type="page"/>
      </w:r>
    </w:p>
    <w:p w14:paraId="3B518205">
      <w:pPr>
        <w:jc w:val="center"/>
        <w:rPr>
          <w:rFonts w:ascii="宋体" w:hAnsi="宋体" w:cs="宋体"/>
          <w:b/>
          <w:bCs/>
          <w:color w:val="auto"/>
          <w:sz w:val="44"/>
          <w:szCs w:val="44"/>
          <w:highlight w:val="none"/>
        </w:rPr>
      </w:pPr>
      <w:bookmarkStart w:id="535" w:name="_Toc465665161"/>
      <w:bookmarkStart w:id="536" w:name="_Toc20847"/>
      <w:r>
        <w:rPr>
          <w:rFonts w:hint="eastAsia" w:ascii="宋体" w:hAnsi="宋体" w:cs="宋体"/>
          <w:b/>
          <w:bCs/>
          <w:color w:val="auto"/>
          <w:sz w:val="44"/>
          <w:szCs w:val="44"/>
          <w:highlight w:val="none"/>
        </w:rPr>
        <w:t>附件</w:t>
      </w:r>
      <w:bookmarkEnd w:id="535"/>
      <w:bookmarkEnd w:id="536"/>
    </w:p>
    <w:p w14:paraId="3F67CE9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BEF891A">
      <w:pPr>
        <w:spacing w:line="360" w:lineRule="auto"/>
        <w:jc w:val="center"/>
        <w:rPr>
          <w:rFonts w:ascii="宋体" w:hAnsi="宋体" w:cs="宋体"/>
          <w:b/>
          <w:color w:val="auto"/>
          <w:spacing w:val="6"/>
          <w:sz w:val="32"/>
          <w:szCs w:val="32"/>
          <w:highlight w:val="none"/>
        </w:rPr>
      </w:pPr>
      <w:bookmarkStart w:id="537" w:name="OLE_LINK13"/>
      <w:bookmarkStart w:id="538" w:name="OLE_LINK14"/>
      <w:r>
        <w:rPr>
          <w:rFonts w:hint="eastAsia" w:ascii="宋体" w:hAnsi="宋体" w:cs="宋体"/>
          <w:b/>
          <w:color w:val="auto"/>
          <w:spacing w:val="6"/>
          <w:sz w:val="32"/>
          <w:szCs w:val="32"/>
          <w:highlight w:val="none"/>
        </w:rPr>
        <w:t>残疾人福利性单位声明函</w:t>
      </w:r>
    </w:p>
    <w:bookmarkEnd w:id="537"/>
    <w:bookmarkEnd w:id="538"/>
    <w:p w14:paraId="53E531B7">
      <w:pPr>
        <w:spacing w:line="360" w:lineRule="auto"/>
        <w:rPr>
          <w:rFonts w:ascii="宋体" w:hAnsi="宋体" w:cs="宋体"/>
          <w:b/>
          <w:color w:val="auto"/>
          <w:spacing w:val="6"/>
          <w:sz w:val="30"/>
          <w:szCs w:val="30"/>
          <w:highlight w:val="none"/>
        </w:rPr>
      </w:pPr>
    </w:p>
    <w:p w14:paraId="023DD5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FCC9D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E26853E">
      <w:pPr>
        <w:spacing w:line="360" w:lineRule="auto"/>
        <w:ind w:firstLine="480" w:firstLineChars="200"/>
        <w:rPr>
          <w:rFonts w:ascii="宋体" w:hAnsi="宋体" w:cs="宋体"/>
          <w:color w:val="auto"/>
          <w:sz w:val="24"/>
          <w:highlight w:val="none"/>
        </w:rPr>
      </w:pPr>
    </w:p>
    <w:p w14:paraId="776F65E0">
      <w:pPr>
        <w:spacing w:line="360" w:lineRule="auto"/>
        <w:ind w:firstLine="480" w:firstLineChars="200"/>
        <w:rPr>
          <w:rFonts w:ascii="宋体" w:hAnsi="宋体" w:cs="宋体"/>
          <w:color w:val="auto"/>
          <w:sz w:val="24"/>
          <w:highlight w:val="none"/>
        </w:rPr>
      </w:pPr>
    </w:p>
    <w:p w14:paraId="2C009B2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w:t>
      </w:r>
      <w:r>
        <w:rPr>
          <w:rFonts w:hint="eastAsia" w:ascii="宋体" w:hAnsi="宋体" w:cs="宋体"/>
          <w:color w:val="auto"/>
          <w:kern w:val="0"/>
          <w:sz w:val="24"/>
          <w:highlight w:val="none"/>
        </w:rPr>
        <w:t>章/公章</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14:paraId="280C664F">
      <w:pPr>
        <w:tabs>
          <w:tab w:val="left" w:pos="4860"/>
        </w:tabs>
        <w:spacing w:line="360" w:lineRule="auto"/>
        <w:ind w:right="1560" w:firstLine="480" w:firstLineChars="200"/>
        <w:jc w:val="center"/>
        <w:rPr>
          <w:rFonts w:ascii="宋体" w:hAnsi="宋体" w:cs="宋体"/>
          <w:color w:val="auto"/>
          <w:highlight w:val="none"/>
        </w:rPr>
      </w:pPr>
      <w:r>
        <w:rPr>
          <w:rFonts w:hint="eastAsia" w:ascii="宋体" w:hAnsi="宋体" w:cs="宋体"/>
          <w:color w:val="auto"/>
          <w:sz w:val="24"/>
          <w:highlight w:val="none"/>
        </w:rPr>
        <w:t xml:space="preserve">       日  期</w:t>
      </w:r>
    </w:p>
    <w:p w14:paraId="142CC799">
      <w:pPr>
        <w:pStyle w:val="62"/>
        <w:ind w:firstLine="420"/>
        <w:rPr>
          <w:rFonts w:cs="宋体"/>
          <w:color w:val="auto"/>
          <w:highlight w:val="none"/>
        </w:rPr>
      </w:pPr>
    </w:p>
    <w:p w14:paraId="7A018706">
      <w:pPr>
        <w:rPr>
          <w:rFonts w:ascii="宋体" w:hAnsi="宋体" w:cs="宋体"/>
          <w:color w:val="auto"/>
          <w:highlight w:val="none"/>
        </w:rPr>
      </w:pPr>
    </w:p>
    <w:p w14:paraId="0A64085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注：</w:t>
      </w:r>
    </w:p>
    <w:p w14:paraId="6149F92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享受政府采购支持政策的残疾人福利性单位应当同时满足以下条件：</w:t>
      </w:r>
    </w:p>
    <w:p w14:paraId="59C8B9D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（一）安置的残疾人占本单位在职职工人数的比例不低于25%（含25%），并且安置的残疾人人数不少于10人（含10人）；</w:t>
      </w:r>
    </w:p>
    <w:p w14:paraId="78C0964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（二）依法与安置的每位残疾人签订了一年以上（含一年）的劳动合同或服务协议；</w:t>
      </w:r>
    </w:p>
    <w:p w14:paraId="5570A64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（三）为安置的每位残疾人按月足额缴纳了基本养老保险、基本医疗保险、失业保险、工伤保险和生育保险等社会保险费；</w:t>
      </w:r>
    </w:p>
    <w:p w14:paraId="68B9CEC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（四）通过银行等金融机构向安置的每位残疾人，按月支付了不低于单位所在区县适用的经省级人民政府批准的月最低工资标准的工资；</w:t>
      </w:r>
    </w:p>
    <w:p w14:paraId="16EE365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（五）提供本单位制造的货物、承担的工程或者服务（以下简称产品），或者提供其他残疾人福利性单位制造的货物（不包括使用非残疾人福利性单位注册商标的货物）。</w:t>
      </w:r>
    </w:p>
    <w:p w14:paraId="6ADA554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B13DC73">
      <w:pPr>
        <w:pStyle w:val="62"/>
        <w:ind w:firstLine="420"/>
        <w:rPr>
          <w:rFonts w:cs="宋体"/>
          <w:color w:val="auto"/>
          <w:highlight w:val="none"/>
        </w:rPr>
      </w:pPr>
    </w:p>
    <w:p w14:paraId="45A9FCCC">
      <w:pPr>
        <w:rPr>
          <w:rFonts w:ascii="宋体" w:hAnsi="宋体" w:cs="宋体"/>
          <w:color w:val="auto"/>
          <w:highlight w:val="none"/>
        </w:rPr>
      </w:pPr>
    </w:p>
    <w:p w14:paraId="014F8C2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附件2：</w:t>
      </w:r>
      <w:r>
        <w:rPr>
          <w:rFonts w:hint="eastAsia" w:ascii="宋体" w:hAnsi="宋体" w:cs="宋体"/>
          <w:b/>
          <w:bCs/>
          <w:color w:val="auto"/>
          <w:sz w:val="32"/>
          <w:szCs w:val="32"/>
          <w:highlight w:val="none"/>
        </w:rPr>
        <w:t>业务专用章使用说明函</w:t>
      </w:r>
    </w:p>
    <w:p w14:paraId="3BEF7FDD">
      <w:pPr>
        <w:spacing w:line="360" w:lineRule="auto"/>
        <w:rPr>
          <w:rFonts w:ascii="宋体" w:hAnsi="宋体" w:cs="宋体"/>
          <w:color w:val="auto"/>
          <w:sz w:val="24"/>
          <w:highlight w:val="none"/>
          <w:u w:val="single"/>
        </w:rPr>
      </w:pPr>
    </w:p>
    <w:p w14:paraId="07B7AB2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E05CB4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E04CA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B817380">
      <w:pPr>
        <w:spacing w:line="360" w:lineRule="auto"/>
        <w:ind w:firstLine="494"/>
        <w:rPr>
          <w:rFonts w:ascii="宋体" w:hAnsi="宋体" w:cs="宋体"/>
          <w:color w:val="auto"/>
          <w:sz w:val="24"/>
          <w:highlight w:val="none"/>
        </w:rPr>
      </w:pPr>
    </w:p>
    <w:p w14:paraId="4EDB4F6A">
      <w:pPr>
        <w:spacing w:line="360" w:lineRule="auto"/>
        <w:ind w:firstLine="494"/>
        <w:rPr>
          <w:rFonts w:ascii="宋体" w:hAnsi="宋体" w:cs="宋体"/>
          <w:color w:val="auto"/>
          <w:sz w:val="24"/>
          <w:highlight w:val="none"/>
        </w:rPr>
      </w:pPr>
    </w:p>
    <w:p w14:paraId="6F5E732A">
      <w:pPr>
        <w:spacing w:line="360" w:lineRule="auto"/>
        <w:ind w:firstLine="494"/>
        <w:rPr>
          <w:rFonts w:ascii="宋体" w:hAnsi="宋体" w:cs="宋体"/>
          <w:color w:val="auto"/>
          <w:sz w:val="24"/>
          <w:highlight w:val="none"/>
        </w:rPr>
      </w:pPr>
    </w:p>
    <w:p w14:paraId="3531D75E">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C38DD3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6096D70">
      <w:pPr>
        <w:rPr>
          <w:rFonts w:ascii="宋体" w:hAnsi="宋体" w:cs="宋体"/>
          <w:color w:val="auto"/>
          <w:sz w:val="24"/>
          <w:highlight w:val="none"/>
        </w:rPr>
      </w:pPr>
      <w:r>
        <w:rPr>
          <w:rFonts w:hint="eastAsia" w:ascii="宋体" w:hAnsi="宋体" w:cs="宋体"/>
          <w:b/>
          <w:bCs/>
          <w:color w:val="auto"/>
          <w:sz w:val="24"/>
          <w:highlight w:val="none"/>
        </w:rPr>
        <w:t>附：</w:t>
      </w:r>
    </w:p>
    <w:p w14:paraId="1104A5D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0" distR="0" simplePos="0" relativeHeight="251665408"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739FDD">
                            <w:pPr>
                              <w:jc w:val="center"/>
                            </w:pPr>
                          </w:p>
                        </w:txbxContent>
                      </wps:txbx>
                      <wps:bodyPr vert="horz" wrap="square" lIns="91440" tIns="45720" rIns="91440" bIns="45720" anchor="t" upright="1">
                        <a:noAutofit/>
                      </wps:bodyPr>
                    </wps:wsp>
                  </a:graphicData>
                </a:graphic>
              </wp:anchor>
            </w:drawing>
          </mc:Choice>
          <mc:Fallback>
            <w:pict>
              <v:rect id="Rectangle 17" o:spid="_x0000_s1026" o:spt="1" style="position:absolute;left:0pt;margin-left:238.9pt;margin-top:28.05pt;height:177.45pt;width:212.95pt;z-index:-25165107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Ml2/TQCAACkBAAADgAAAGRycy9lMm9Eb2MueG1srVTb&#10;jtMwEH1H4h8sv9Nc6IWtmq4QpQgJsSsWPsB1nMSSb4zdJuXrGbuh7S489IE8JDPx5MycMzNZ3Q9a&#10;kYMAL62paDHJKRGG21qatqI/vm/fvKPEB2ZqpqwRFT0KT+/Xr1+tercUpe2sqgUQBDF+2buKdiG4&#10;ZZZ53gnN/MQ6YfCwsaBZQBfarAbWI7pWWZnn86y3UDuwXHiPbzenQzoiwi2AtmkkFxvL91qYcEIF&#10;oVhASr6TztN1qrZpBA8PTeNFIKqiyDSkOyZBexfv2XrFli0w10k+lsBuKeEFJ82kwaRnqA0LjOxB&#10;/gWlJQfrbRMm3OrsRCQpgiyK/IU2Tx1zInFBqb07i+7/Hyz/engEImuchLycU2KYxp5/Q92YaZUg&#10;xSJK1Du/xMgn9wij59GMfIcGdHwiEzIkWY9nWcUQCMeX5SKfTuczSjieleXs7byYRdTs8rkDHz4J&#10;q0k0KgqYP8nJDl98OIX+CYnZvFWy3kqlkgPt7oMCcmDY4226RvRnYcqQvqJ3szIWwnBwGxwYNLVD&#10;8t60Kd+zL/w1cJ6ufwHHwjbMd6cCEkIMY0stg4BkdYLVH01NwtGhugb3isZitKgpUQLXMFopMjCp&#10;bolE7ZRBCWNnTr2IVhh2A8JEc2frI3YWFx317Cz8wow45kj1554B5lefDc7RXTGdxr1IznS2KNGB&#10;65Pd9QkzHKEqirrtHci2Q+wiCWfs+32wjUzNuuQfK8ThTe0eFy1ux7Wfoi4/l/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c/4wdgAAAAKAQAADwAAAAAAAAABACAAAAAiAAAAZHJzL2Rvd25yZXYu&#10;eG1sUEsBAhQAFAAAAAgAh07iQIjJdv00AgAApAQAAA4AAAAAAAAAAQAgAAAAJwEAAGRycy9lMm9E&#10;b2MueG1sUEsFBgAAAAAGAAYAWQEAAM0FAAAAAA==&#10;">
                <v:fill on="t" focussize="0,0"/>
                <v:stroke color="#000000" joinstyle="miter"/>
                <v:imagedata o:title=""/>
                <o:lock v:ext="edit" aspectratio="f"/>
                <v:textbox>
                  <w:txbxContent>
                    <w:p w14:paraId="45739FDD">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0" distR="0" simplePos="0" relativeHeight="251666432"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C900B1">
                            <w:pPr>
                              <w:jc w:val="center"/>
                            </w:pPr>
                          </w:p>
                        </w:txbxContent>
                      </wps:txbx>
                      <wps:bodyPr vert="horz" wrap="square" lIns="91440" tIns="45720" rIns="91440" bIns="45720" anchor="t" upright="1">
                        <a:noAutofit/>
                      </wps:bodyPr>
                    </wps:wsp>
                  </a:graphicData>
                </a:graphic>
              </wp:anchor>
            </w:drawing>
          </mc:Choice>
          <mc:Fallback>
            <w:pict>
              <v:rect id="Rectangle 16" o:spid="_x0000_s1026" o:spt="1" style="position:absolute;left:0pt;margin-left:-7.2pt;margin-top:30.3pt;height:177.45pt;width:208.5pt;z-index:-25165004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C0nFyzUCAACkBAAADgAAAGRycy9lMm9Eb2MueG1srVTb&#10;jtMwEH1H4h8sv9NcaLu0arpClCIkxK5Y+ADXcRJLvjF2m5SvZ+yGtrvw0AfykMzEkzNzzsxkdT9o&#10;RQ4CvLSmosUkp0QYbmtp2or++L59844SH5ipmbJGVPQoPL1fv3616t1SlLazqhZAEMT4Ze8q2oXg&#10;llnmeSc08xPrhMHDxoJmAV1osxpYj+haZWWez7PeQu3AcuE9vt2cDumICLcA2qaRXGws32thwgkV&#10;hGIBKflOOk/XqdqmETw8NI0XgaiKItOQ7pgE7V28Z+sVW7bAXCf5WAK7pYQXnDSTBpOeoTYsMLIH&#10;+ReUlhyst02YcKuzE5GkCLIo8hfaPHXMicQFpfbuLLr/f7D86+ERiKxxEvLyjhLDNPb8G+rGTKsE&#10;KeZRot75JUY+uUcYPY9m5Ds0oOMTmZAhyXo8yyqGQDi+LOfTu8UMFed4Vpazt/NiFlGzy+cOfPgk&#10;rCbRqChg/iQnO3zx4RT6JyRm81bJeiuVSg60uw8KyIFhj7fpGtGfhSlD+oouZuUMC2E4uA0ODJra&#10;IXlv2pTv2Rf+GjhP17+AY2Eb5rtTAQkhhrGllkFAsjrB6o+mJuHoUF2De0VjMVrUlCiBaxitFBmY&#10;VLdEonbKoISxM6deRCsMuwFhormz9RE7i4uOenYWfmFGHHOk+nPPAPOrzwbnaFFMp3EvkjOd3ZXo&#10;wPXJ7vqEGY5QFUXd9g5k2yF2kYQz9v0+2EamZl3yjxXi8KZ2j4sWt+PaT1GXn8v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3TsFjYAAAACgEAAA8AAAAAAAAAAQAgAAAAIgAAAGRycy9kb3ducmV2&#10;LnhtbFBLAQIUABQAAAAIAIdO4kALScXLNQIAAKQEAAAOAAAAAAAAAAEAIAAAACcBAABkcnMvZTJv&#10;RG9jLnhtbFBLBQYAAAAABgAGAFkBAADOBQAAAAA=&#10;">
                <v:fill on="t" focussize="0,0"/>
                <v:stroke color="#000000" joinstyle="miter"/>
                <v:imagedata o:title=""/>
                <o:lock v:ext="edit" aspectratio="f"/>
                <v:textbox>
                  <w:txbxContent>
                    <w:p w14:paraId="69C900B1">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0818D876">
      <w:pPr>
        <w:autoSpaceDE w:val="0"/>
        <w:autoSpaceDN w:val="0"/>
        <w:jc w:val="center"/>
        <w:rPr>
          <w:rFonts w:ascii="宋体" w:hAnsi="宋体" w:cs="宋体"/>
          <w:b/>
          <w:color w:val="auto"/>
          <w:spacing w:val="6"/>
          <w:sz w:val="32"/>
          <w:szCs w:val="32"/>
          <w:highlight w:val="none"/>
        </w:rPr>
      </w:pPr>
    </w:p>
    <w:p w14:paraId="713EF626">
      <w:pPr>
        <w:autoSpaceDE w:val="0"/>
        <w:autoSpaceDN w:val="0"/>
        <w:jc w:val="center"/>
        <w:rPr>
          <w:rFonts w:ascii="宋体" w:hAnsi="宋体" w:cs="宋体"/>
          <w:b/>
          <w:color w:val="auto"/>
          <w:spacing w:val="6"/>
          <w:sz w:val="32"/>
          <w:szCs w:val="32"/>
          <w:highlight w:val="none"/>
        </w:rPr>
      </w:pPr>
    </w:p>
    <w:p w14:paraId="007D8BC9">
      <w:pPr>
        <w:autoSpaceDE w:val="0"/>
        <w:autoSpaceDN w:val="0"/>
        <w:jc w:val="center"/>
        <w:rPr>
          <w:rFonts w:ascii="宋体" w:hAnsi="宋体" w:cs="宋体"/>
          <w:b/>
          <w:color w:val="auto"/>
          <w:spacing w:val="6"/>
          <w:sz w:val="32"/>
          <w:szCs w:val="32"/>
          <w:highlight w:val="none"/>
        </w:rPr>
      </w:pPr>
    </w:p>
    <w:p w14:paraId="462B106F">
      <w:pPr>
        <w:autoSpaceDE w:val="0"/>
        <w:autoSpaceDN w:val="0"/>
        <w:jc w:val="center"/>
        <w:rPr>
          <w:rFonts w:ascii="宋体" w:hAnsi="宋体" w:cs="宋体"/>
          <w:b/>
          <w:color w:val="auto"/>
          <w:spacing w:val="6"/>
          <w:sz w:val="32"/>
          <w:szCs w:val="32"/>
          <w:highlight w:val="none"/>
        </w:rPr>
      </w:pPr>
    </w:p>
    <w:p w14:paraId="6D5441AD">
      <w:pPr>
        <w:autoSpaceDE w:val="0"/>
        <w:autoSpaceDN w:val="0"/>
        <w:jc w:val="center"/>
        <w:rPr>
          <w:rFonts w:ascii="宋体" w:hAnsi="宋体" w:cs="宋体"/>
          <w:b/>
          <w:color w:val="auto"/>
          <w:spacing w:val="6"/>
          <w:sz w:val="32"/>
          <w:szCs w:val="32"/>
          <w:highlight w:val="none"/>
        </w:rPr>
      </w:pPr>
    </w:p>
    <w:p w14:paraId="7CD2AC34">
      <w:pPr>
        <w:autoSpaceDE w:val="0"/>
        <w:autoSpaceDN w:val="0"/>
        <w:jc w:val="center"/>
        <w:rPr>
          <w:rFonts w:ascii="宋体" w:hAnsi="宋体" w:cs="宋体"/>
          <w:b/>
          <w:color w:val="auto"/>
          <w:spacing w:val="6"/>
          <w:sz w:val="32"/>
          <w:szCs w:val="32"/>
          <w:highlight w:val="none"/>
        </w:rPr>
      </w:pPr>
    </w:p>
    <w:p w14:paraId="0AA0C992">
      <w:pPr>
        <w:autoSpaceDE w:val="0"/>
        <w:autoSpaceDN w:val="0"/>
        <w:jc w:val="center"/>
        <w:rPr>
          <w:rFonts w:ascii="宋体" w:hAnsi="宋体" w:cs="宋体"/>
          <w:b/>
          <w:color w:val="auto"/>
          <w:spacing w:val="6"/>
          <w:sz w:val="32"/>
          <w:szCs w:val="32"/>
          <w:highlight w:val="none"/>
        </w:rPr>
      </w:pPr>
    </w:p>
    <w:p w14:paraId="398BD930">
      <w:pPr>
        <w:autoSpaceDE w:val="0"/>
        <w:autoSpaceDN w:val="0"/>
        <w:jc w:val="center"/>
        <w:rPr>
          <w:rFonts w:ascii="宋体" w:hAnsi="宋体" w:cs="宋体"/>
          <w:b/>
          <w:color w:val="auto"/>
          <w:spacing w:val="6"/>
          <w:sz w:val="32"/>
          <w:szCs w:val="32"/>
          <w:highlight w:val="none"/>
        </w:rPr>
      </w:pPr>
    </w:p>
    <w:p w14:paraId="44F41ECF">
      <w:pPr>
        <w:autoSpaceDE w:val="0"/>
        <w:autoSpaceDN w:val="0"/>
        <w:jc w:val="center"/>
        <w:rPr>
          <w:rFonts w:ascii="宋体" w:hAnsi="宋体" w:cs="宋体"/>
          <w:b/>
          <w:color w:val="auto"/>
          <w:spacing w:val="6"/>
          <w:sz w:val="32"/>
          <w:szCs w:val="32"/>
          <w:highlight w:val="none"/>
        </w:rPr>
      </w:pPr>
    </w:p>
    <w:p w14:paraId="74BA0BEA">
      <w:pPr>
        <w:autoSpaceDE w:val="0"/>
        <w:autoSpaceDN w:val="0"/>
        <w:jc w:val="center"/>
        <w:rPr>
          <w:rFonts w:ascii="宋体" w:hAnsi="宋体" w:cs="宋体"/>
          <w:b/>
          <w:color w:val="auto"/>
          <w:spacing w:val="6"/>
          <w:sz w:val="32"/>
          <w:szCs w:val="32"/>
          <w:highlight w:val="none"/>
        </w:rPr>
      </w:pPr>
    </w:p>
    <w:p w14:paraId="6809BAD9">
      <w:pPr>
        <w:autoSpaceDE w:val="0"/>
        <w:autoSpaceDN w:val="0"/>
        <w:jc w:val="center"/>
        <w:rPr>
          <w:rFonts w:ascii="宋体" w:hAnsi="宋体" w:cs="宋体"/>
          <w:b/>
          <w:color w:val="auto"/>
          <w:spacing w:val="6"/>
          <w:sz w:val="32"/>
          <w:szCs w:val="32"/>
          <w:highlight w:val="none"/>
        </w:rPr>
      </w:pPr>
    </w:p>
    <w:p w14:paraId="70236E2A">
      <w:pPr>
        <w:autoSpaceDE w:val="0"/>
        <w:autoSpaceDN w:val="0"/>
        <w:jc w:val="center"/>
        <w:rPr>
          <w:rFonts w:ascii="宋体" w:hAnsi="宋体" w:cs="宋体"/>
          <w:b/>
          <w:color w:val="auto"/>
          <w:spacing w:val="6"/>
          <w:sz w:val="32"/>
          <w:szCs w:val="32"/>
          <w:highlight w:val="none"/>
        </w:rPr>
      </w:pPr>
    </w:p>
    <w:p w14:paraId="1789B006">
      <w:pPr>
        <w:autoSpaceDE w:val="0"/>
        <w:autoSpaceDN w:val="0"/>
        <w:jc w:val="center"/>
        <w:rPr>
          <w:rFonts w:ascii="宋体" w:hAnsi="宋体" w:cs="宋体"/>
          <w:b/>
          <w:color w:val="auto"/>
          <w:spacing w:val="6"/>
          <w:sz w:val="32"/>
          <w:szCs w:val="32"/>
          <w:highlight w:val="none"/>
        </w:rPr>
      </w:pPr>
    </w:p>
    <w:p w14:paraId="657AB552">
      <w:pPr>
        <w:autoSpaceDE w:val="0"/>
        <w:autoSpaceDN w:val="0"/>
        <w:jc w:val="center"/>
        <w:rPr>
          <w:rFonts w:ascii="宋体" w:hAnsi="宋体" w:cs="宋体"/>
          <w:b/>
          <w:color w:val="auto"/>
          <w:spacing w:val="6"/>
          <w:sz w:val="32"/>
          <w:szCs w:val="32"/>
          <w:highlight w:val="none"/>
        </w:rPr>
      </w:pPr>
    </w:p>
    <w:p w14:paraId="0B0BDFB1">
      <w:pPr>
        <w:autoSpaceDE w:val="0"/>
        <w:autoSpaceDN w:val="0"/>
        <w:jc w:val="center"/>
        <w:rPr>
          <w:rFonts w:ascii="宋体" w:hAnsi="宋体" w:cs="宋体"/>
          <w:b/>
          <w:color w:val="auto"/>
          <w:spacing w:val="6"/>
          <w:sz w:val="32"/>
          <w:szCs w:val="32"/>
          <w:highlight w:val="none"/>
        </w:rPr>
      </w:pPr>
    </w:p>
    <w:p w14:paraId="022BB042">
      <w:pPr>
        <w:autoSpaceDE w:val="0"/>
        <w:autoSpaceDN w:val="0"/>
        <w:jc w:val="center"/>
        <w:rPr>
          <w:rFonts w:ascii="宋体" w:hAnsi="宋体" w:cs="宋体"/>
          <w:b/>
          <w:color w:val="auto"/>
          <w:spacing w:val="6"/>
          <w:sz w:val="32"/>
          <w:szCs w:val="32"/>
          <w:highlight w:val="none"/>
        </w:rPr>
      </w:pPr>
    </w:p>
    <w:p w14:paraId="2FE54997">
      <w:pPr>
        <w:autoSpaceDE w:val="0"/>
        <w:autoSpaceDN w:val="0"/>
        <w:jc w:val="center"/>
        <w:rPr>
          <w:rFonts w:ascii="宋体" w:hAnsi="宋体" w:cs="宋体"/>
          <w:b/>
          <w:color w:val="auto"/>
          <w:spacing w:val="6"/>
          <w:sz w:val="32"/>
          <w:szCs w:val="32"/>
          <w:highlight w:val="none"/>
        </w:rPr>
      </w:pPr>
    </w:p>
    <w:p w14:paraId="42CABDE5">
      <w:pPr>
        <w:autoSpaceDE w:val="0"/>
        <w:autoSpaceDN w:val="0"/>
        <w:jc w:val="center"/>
        <w:rPr>
          <w:rFonts w:ascii="宋体" w:hAnsi="宋体" w:cs="宋体"/>
          <w:b/>
          <w:color w:val="auto"/>
          <w:spacing w:val="6"/>
          <w:sz w:val="32"/>
          <w:szCs w:val="32"/>
          <w:highlight w:val="none"/>
        </w:rPr>
      </w:pPr>
    </w:p>
    <w:p w14:paraId="44C01666">
      <w:pPr>
        <w:jc w:val="center"/>
        <w:rPr>
          <w:rFonts w:ascii="宋体" w:hAnsi="宋体" w:cs="宋体"/>
          <w:b/>
          <w:bCs/>
          <w:color w:val="auto"/>
          <w:sz w:val="32"/>
          <w:szCs w:val="32"/>
          <w:highlight w:val="none"/>
        </w:rPr>
      </w:pPr>
      <w:bookmarkStart w:id="539" w:name="_Toc27865"/>
      <w:r>
        <w:rPr>
          <w:rFonts w:hint="eastAsia" w:ascii="宋体" w:hAnsi="宋体" w:cs="宋体"/>
          <w:b/>
          <w:bCs/>
          <w:color w:val="auto"/>
          <w:sz w:val="32"/>
          <w:szCs w:val="32"/>
          <w:highlight w:val="none"/>
        </w:rPr>
        <w:t>附件3：联合协议</w:t>
      </w:r>
      <w:bookmarkEnd w:id="539"/>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lang w:val="en-US" w:eastAsia="zh-CN"/>
        </w:rPr>
        <w:t>如</w:t>
      </w:r>
      <w:r>
        <w:rPr>
          <w:rFonts w:hint="eastAsia" w:ascii="宋体" w:hAnsi="宋体" w:cs="宋体"/>
          <w:b/>
          <w:bCs/>
          <w:color w:val="auto"/>
          <w:sz w:val="32"/>
          <w:szCs w:val="32"/>
          <w:highlight w:val="none"/>
        </w:rPr>
        <w:t>适用）</w:t>
      </w:r>
    </w:p>
    <w:p w14:paraId="1E5F0471">
      <w:pPr>
        <w:pStyle w:val="62"/>
        <w:ind w:firstLine="420"/>
        <w:rPr>
          <w:rFonts w:cs="宋体"/>
          <w:color w:val="auto"/>
          <w:highlight w:val="none"/>
        </w:rPr>
      </w:pPr>
    </w:p>
    <w:p w14:paraId="2270A3D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61EA2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项目编号：（采购编号）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720EA8D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AFA7DF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AFD52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B21CEA6">
      <w:pPr>
        <w:snapToGrid w:val="0"/>
        <w:spacing w:line="360" w:lineRule="auto"/>
        <w:ind w:firstLine="576"/>
        <w:rPr>
          <w:rFonts w:ascii="宋体" w:hAnsi="宋体" w:cs="宋体"/>
          <w:color w:val="auto"/>
          <w:kern w:val="0"/>
          <w:sz w:val="24"/>
          <w:highlight w:val="none"/>
          <w:lang w:val="zh-CN"/>
        </w:rPr>
      </w:pPr>
      <w:bookmarkStart w:id="54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A42DC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1C0F88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40"/>
    <w:p w14:paraId="49F5D9D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73D71D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（联合体成员X,……）</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F3501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327726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7611E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DD09D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B29BC7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2E50B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F9BFC7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62C8F74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75893135">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127B6C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63158F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4B8F40E">
      <w:pPr>
        <w:autoSpaceDE w:val="0"/>
        <w:autoSpaceDN w:val="0"/>
        <w:jc w:val="center"/>
        <w:rPr>
          <w:rFonts w:ascii="宋体" w:hAnsi="宋体" w:cs="宋体"/>
          <w:b/>
          <w:color w:val="auto"/>
          <w:spacing w:val="6"/>
          <w:sz w:val="32"/>
          <w:szCs w:val="32"/>
          <w:highlight w:val="none"/>
        </w:rPr>
      </w:pPr>
    </w:p>
    <w:p w14:paraId="2ECA283A">
      <w:pPr>
        <w:autoSpaceDE w:val="0"/>
        <w:autoSpaceDN w:val="0"/>
        <w:jc w:val="center"/>
        <w:rPr>
          <w:rFonts w:ascii="宋体" w:hAnsi="宋体" w:cs="宋体"/>
          <w:b/>
          <w:color w:val="auto"/>
          <w:spacing w:val="6"/>
          <w:sz w:val="32"/>
          <w:szCs w:val="32"/>
          <w:highlight w:val="none"/>
        </w:rPr>
      </w:pPr>
    </w:p>
    <w:p w14:paraId="29A44440">
      <w:pPr>
        <w:autoSpaceDE w:val="0"/>
        <w:autoSpaceDN w:val="0"/>
        <w:jc w:val="center"/>
        <w:rPr>
          <w:rFonts w:ascii="宋体" w:hAnsi="宋体" w:cs="宋体"/>
          <w:b/>
          <w:color w:val="auto"/>
          <w:spacing w:val="6"/>
          <w:sz w:val="32"/>
          <w:szCs w:val="32"/>
          <w:highlight w:val="none"/>
        </w:rPr>
      </w:pPr>
    </w:p>
    <w:p w14:paraId="234AFBBD">
      <w:pPr>
        <w:autoSpaceDE w:val="0"/>
        <w:autoSpaceDN w:val="0"/>
        <w:jc w:val="center"/>
        <w:rPr>
          <w:rFonts w:ascii="宋体" w:hAnsi="宋体" w:cs="宋体"/>
          <w:b/>
          <w:color w:val="auto"/>
          <w:spacing w:val="6"/>
          <w:sz w:val="32"/>
          <w:szCs w:val="32"/>
          <w:highlight w:val="none"/>
        </w:rPr>
      </w:pPr>
    </w:p>
    <w:p w14:paraId="354059A7">
      <w:pPr>
        <w:autoSpaceDE w:val="0"/>
        <w:autoSpaceDN w:val="0"/>
        <w:jc w:val="center"/>
        <w:rPr>
          <w:rFonts w:ascii="宋体" w:hAnsi="宋体" w:cs="宋体"/>
          <w:b/>
          <w:color w:val="auto"/>
          <w:spacing w:val="6"/>
          <w:sz w:val="32"/>
          <w:szCs w:val="32"/>
          <w:highlight w:val="none"/>
        </w:rPr>
      </w:pPr>
    </w:p>
    <w:p w14:paraId="1B5CB10F">
      <w:pPr>
        <w:autoSpaceDE w:val="0"/>
        <w:autoSpaceDN w:val="0"/>
        <w:jc w:val="center"/>
        <w:rPr>
          <w:rFonts w:ascii="宋体" w:hAnsi="宋体" w:cs="宋体"/>
          <w:b/>
          <w:color w:val="auto"/>
          <w:spacing w:val="6"/>
          <w:sz w:val="32"/>
          <w:szCs w:val="32"/>
          <w:highlight w:val="none"/>
        </w:rPr>
      </w:pPr>
    </w:p>
    <w:p w14:paraId="27823BF4">
      <w:pPr>
        <w:autoSpaceDE w:val="0"/>
        <w:autoSpaceDN w:val="0"/>
        <w:jc w:val="center"/>
        <w:rPr>
          <w:rFonts w:ascii="宋体" w:hAnsi="宋体" w:cs="宋体"/>
          <w:b/>
          <w:color w:val="auto"/>
          <w:spacing w:val="6"/>
          <w:sz w:val="32"/>
          <w:szCs w:val="32"/>
          <w:highlight w:val="none"/>
        </w:rPr>
      </w:pPr>
    </w:p>
    <w:p w14:paraId="45E3F651">
      <w:pPr>
        <w:autoSpaceDE w:val="0"/>
        <w:autoSpaceDN w:val="0"/>
        <w:jc w:val="center"/>
        <w:rPr>
          <w:rFonts w:ascii="宋体" w:hAnsi="宋体" w:cs="宋体"/>
          <w:b/>
          <w:color w:val="auto"/>
          <w:spacing w:val="6"/>
          <w:sz w:val="32"/>
          <w:szCs w:val="32"/>
          <w:highlight w:val="none"/>
        </w:rPr>
      </w:pPr>
    </w:p>
    <w:p w14:paraId="782A5A08">
      <w:pPr>
        <w:autoSpaceDE w:val="0"/>
        <w:autoSpaceDN w:val="0"/>
        <w:jc w:val="center"/>
        <w:rPr>
          <w:rFonts w:ascii="宋体" w:hAnsi="宋体" w:cs="宋体"/>
          <w:b/>
          <w:color w:val="auto"/>
          <w:spacing w:val="6"/>
          <w:sz w:val="32"/>
          <w:szCs w:val="32"/>
          <w:highlight w:val="none"/>
        </w:rPr>
      </w:pPr>
    </w:p>
    <w:p w14:paraId="4027139B">
      <w:pPr>
        <w:autoSpaceDE w:val="0"/>
        <w:autoSpaceDN w:val="0"/>
        <w:jc w:val="center"/>
        <w:rPr>
          <w:rFonts w:ascii="宋体" w:hAnsi="宋体" w:cs="宋体"/>
          <w:b/>
          <w:color w:val="auto"/>
          <w:spacing w:val="6"/>
          <w:sz w:val="32"/>
          <w:szCs w:val="32"/>
          <w:highlight w:val="none"/>
        </w:rPr>
      </w:pPr>
    </w:p>
    <w:p w14:paraId="37FFBE0E">
      <w:pPr>
        <w:autoSpaceDE w:val="0"/>
        <w:autoSpaceDN w:val="0"/>
        <w:jc w:val="center"/>
        <w:rPr>
          <w:rFonts w:ascii="宋体" w:hAnsi="宋体" w:cs="宋体"/>
          <w:b/>
          <w:color w:val="auto"/>
          <w:spacing w:val="6"/>
          <w:sz w:val="32"/>
          <w:szCs w:val="32"/>
          <w:highlight w:val="none"/>
        </w:rPr>
      </w:pPr>
    </w:p>
    <w:p w14:paraId="05D7692A">
      <w:pPr>
        <w:autoSpaceDE w:val="0"/>
        <w:autoSpaceDN w:val="0"/>
        <w:jc w:val="center"/>
        <w:rPr>
          <w:rFonts w:ascii="宋体" w:hAnsi="宋体" w:cs="宋体"/>
          <w:b/>
          <w:color w:val="auto"/>
          <w:spacing w:val="6"/>
          <w:sz w:val="32"/>
          <w:szCs w:val="32"/>
          <w:highlight w:val="none"/>
        </w:rPr>
      </w:pPr>
    </w:p>
    <w:p w14:paraId="196CAF25">
      <w:pPr>
        <w:autoSpaceDE w:val="0"/>
        <w:autoSpaceDN w:val="0"/>
        <w:jc w:val="center"/>
        <w:rPr>
          <w:rFonts w:ascii="宋体" w:hAnsi="宋体" w:cs="宋体"/>
          <w:b/>
          <w:color w:val="auto"/>
          <w:spacing w:val="6"/>
          <w:sz w:val="32"/>
          <w:szCs w:val="32"/>
          <w:highlight w:val="none"/>
        </w:rPr>
      </w:pPr>
    </w:p>
    <w:p w14:paraId="188934C2">
      <w:pPr>
        <w:autoSpaceDE w:val="0"/>
        <w:autoSpaceDN w:val="0"/>
        <w:jc w:val="center"/>
        <w:rPr>
          <w:rFonts w:ascii="宋体" w:hAnsi="宋体" w:cs="宋体"/>
          <w:b/>
          <w:color w:val="auto"/>
          <w:spacing w:val="6"/>
          <w:sz w:val="32"/>
          <w:szCs w:val="32"/>
          <w:highlight w:val="none"/>
        </w:rPr>
      </w:pPr>
    </w:p>
    <w:p w14:paraId="7DDC5863">
      <w:pPr>
        <w:autoSpaceDE w:val="0"/>
        <w:autoSpaceDN w:val="0"/>
        <w:jc w:val="center"/>
        <w:rPr>
          <w:rFonts w:ascii="宋体" w:hAnsi="宋体" w:cs="宋体"/>
          <w:b/>
          <w:color w:val="auto"/>
          <w:spacing w:val="6"/>
          <w:sz w:val="32"/>
          <w:szCs w:val="32"/>
          <w:highlight w:val="none"/>
        </w:rPr>
      </w:pPr>
    </w:p>
    <w:p w14:paraId="784989F8">
      <w:pPr>
        <w:autoSpaceDE w:val="0"/>
        <w:autoSpaceDN w:val="0"/>
        <w:jc w:val="center"/>
        <w:rPr>
          <w:rFonts w:ascii="宋体" w:hAnsi="宋体" w:cs="宋体"/>
          <w:b/>
          <w:color w:val="auto"/>
          <w:spacing w:val="6"/>
          <w:sz w:val="32"/>
          <w:szCs w:val="32"/>
          <w:highlight w:val="none"/>
        </w:rPr>
      </w:pPr>
    </w:p>
    <w:p w14:paraId="0436EE16">
      <w:pPr>
        <w:autoSpaceDE w:val="0"/>
        <w:autoSpaceDN w:val="0"/>
        <w:jc w:val="center"/>
        <w:rPr>
          <w:rFonts w:ascii="宋体" w:hAnsi="宋体" w:cs="宋体"/>
          <w:b/>
          <w:color w:val="auto"/>
          <w:spacing w:val="6"/>
          <w:sz w:val="32"/>
          <w:szCs w:val="32"/>
          <w:highlight w:val="none"/>
        </w:rPr>
      </w:pPr>
    </w:p>
    <w:p w14:paraId="15E7CC7B">
      <w:pPr>
        <w:autoSpaceDE w:val="0"/>
        <w:autoSpaceDN w:val="0"/>
        <w:jc w:val="center"/>
        <w:rPr>
          <w:rFonts w:ascii="宋体" w:hAnsi="宋体" w:cs="宋体"/>
          <w:b/>
          <w:color w:val="auto"/>
          <w:spacing w:val="6"/>
          <w:sz w:val="32"/>
          <w:szCs w:val="32"/>
          <w:highlight w:val="none"/>
        </w:rPr>
      </w:pPr>
    </w:p>
    <w:p w14:paraId="47706C62">
      <w:pPr>
        <w:autoSpaceDE w:val="0"/>
        <w:autoSpaceDN w:val="0"/>
        <w:jc w:val="center"/>
        <w:rPr>
          <w:rFonts w:ascii="宋体" w:hAnsi="宋体" w:cs="宋体"/>
          <w:b/>
          <w:color w:val="auto"/>
          <w:spacing w:val="6"/>
          <w:sz w:val="32"/>
          <w:szCs w:val="32"/>
          <w:highlight w:val="none"/>
        </w:rPr>
      </w:pPr>
    </w:p>
    <w:p w14:paraId="501B314C">
      <w:pPr>
        <w:autoSpaceDE w:val="0"/>
        <w:autoSpaceDN w:val="0"/>
        <w:jc w:val="center"/>
        <w:rPr>
          <w:rFonts w:ascii="宋体" w:hAnsi="宋体" w:cs="宋体"/>
          <w:b/>
          <w:color w:val="auto"/>
          <w:spacing w:val="6"/>
          <w:sz w:val="32"/>
          <w:szCs w:val="32"/>
          <w:highlight w:val="none"/>
        </w:rPr>
      </w:pPr>
    </w:p>
    <w:p w14:paraId="0F408764">
      <w:pPr>
        <w:autoSpaceDE w:val="0"/>
        <w:autoSpaceDN w:val="0"/>
        <w:jc w:val="center"/>
        <w:rPr>
          <w:rFonts w:ascii="宋体" w:hAnsi="宋体" w:cs="宋体"/>
          <w:b/>
          <w:color w:val="auto"/>
          <w:spacing w:val="6"/>
          <w:sz w:val="32"/>
          <w:szCs w:val="32"/>
          <w:highlight w:val="none"/>
        </w:rPr>
      </w:pPr>
    </w:p>
    <w:p w14:paraId="74013AFC">
      <w:pPr>
        <w:autoSpaceDE w:val="0"/>
        <w:autoSpaceDN w:val="0"/>
        <w:jc w:val="center"/>
        <w:rPr>
          <w:rFonts w:ascii="宋体" w:hAnsi="宋体" w:cs="宋体"/>
          <w:b/>
          <w:color w:val="auto"/>
          <w:spacing w:val="6"/>
          <w:sz w:val="32"/>
          <w:szCs w:val="32"/>
          <w:highlight w:val="none"/>
        </w:rPr>
      </w:pPr>
    </w:p>
    <w:p w14:paraId="4F646EAA">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07FC1FF">
      <w:pPr>
        <w:jc w:val="center"/>
        <w:rPr>
          <w:rFonts w:ascii="宋体" w:hAnsi="宋体" w:cs="宋体"/>
          <w:b/>
          <w:bCs/>
          <w:color w:val="auto"/>
          <w:sz w:val="32"/>
          <w:szCs w:val="32"/>
          <w:highlight w:val="none"/>
        </w:rPr>
      </w:pPr>
      <w:bookmarkStart w:id="541" w:name="_Toc22286"/>
      <w:r>
        <w:rPr>
          <w:rFonts w:hint="eastAsia" w:ascii="宋体" w:hAnsi="宋体" w:cs="宋体"/>
          <w:b/>
          <w:bCs/>
          <w:color w:val="auto"/>
          <w:sz w:val="32"/>
          <w:szCs w:val="32"/>
          <w:highlight w:val="none"/>
        </w:rPr>
        <w:t>附件4：分包意向协议</w:t>
      </w:r>
      <w:bookmarkEnd w:id="541"/>
      <w:r>
        <w:rPr>
          <w:rFonts w:hint="eastAsia" w:ascii="宋体" w:hAnsi="宋体" w:cs="宋体"/>
          <w:b/>
          <w:bCs/>
          <w:color w:val="auto"/>
          <w:sz w:val="32"/>
          <w:szCs w:val="32"/>
          <w:highlight w:val="none"/>
        </w:rPr>
        <w:t>（本项目不适用）</w:t>
      </w:r>
    </w:p>
    <w:p w14:paraId="1484BE08">
      <w:pPr>
        <w:pStyle w:val="62"/>
        <w:ind w:firstLine="420"/>
        <w:rPr>
          <w:rFonts w:cs="宋体"/>
          <w:color w:val="auto"/>
          <w:highlight w:val="none"/>
        </w:rPr>
      </w:pPr>
    </w:p>
    <w:p w14:paraId="572310A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1645C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项目编号：（采购编号）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C51AC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7F030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87787E6">
      <w:pPr>
        <w:pStyle w:val="4"/>
        <w:ind w:left="664" w:leftChars="316" w:firstLine="229" w:firstLineChars="95"/>
        <w:rPr>
          <w:rFonts w:ascii="宋体" w:hAnsi="宋体" w:eastAsia="宋体" w:cs="宋体"/>
          <w:color w:val="auto"/>
          <w:kern w:val="0"/>
          <w:sz w:val="24"/>
          <w:szCs w:val="24"/>
          <w:highlight w:val="none"/>
        </w:rPr>
      </w:pPr>
      <w:bookmarkStart w:id="542" w:name="_Toc17735"/>
      <w:r>
        <w:rPr>
          <w:rFonts w:hint="eastAsia" w:ascii="宋体" w:hAnsi="宋体" w:eastAsia="宋体" w:cs="宋体"/>
          <w:color w:val="auto"/>
          <w:kern w:val="0"/>
          <w:sz w:val="24"/>
          <w:szCs w:val="24"/>
          <w:highlight w:val="none"/>
        </w:rPr>
        <w:t>……</w:t>
      </w:r>
      <w:bookmarkEnd w:id="542"/>
    </w:p>
    <w:p w14:paraId="292755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319C8E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B9DE594">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4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43"/>
    </w:p>
    <w:p w14:paraId="14FD05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21F77BB">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E9F9F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9D76E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1E3E0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057D3E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DA8C05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608FF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E25EE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014B9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34F38A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zh-CN"/>
        </w:rPr>
        <w:t>：</w:t>
      </w:r>
    </w:p>
    <w:p w14:paraId="684D0C1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5223345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29D8C7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9979E7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5622387">
      <w:pPr>
        <w:autoSpaceDE w:val="0"/>
        <w:autoSpaceDN w:val="0"/>
        <w:jc w:val="center"/>
        <w:rPr>
          <w:rFonts w:ascii="宋体" w:hAnsi="宋体" w:cs="宋体"/>
          <w:b/>
          <w:color w:val="auto"/>
          <w:spacing w:val="6"/>
          <w:sz w:val="32"/>
          <w:szCs w:val="32"/>
          <w:highlight w:val="none"/>
        </w:rPr>
      </w:pPr>
    </w:p>
    <w:p w14:paraId="313766EF">
      <w:pPr>
        <w:autoSpaceDE w:val="0"/>
        <w:autoSpaceDN w:val="0"/>
        <w:jc w:val="center"/>
        <w:rPr>
          <w:rFonts w:ascii="宋体" w:hAnsi="宋体" w:cs="宋体"/>
          <w:b/>
          <w:color w:val="auto"/>
          <w:spacing w:val="6"/>
          <w:sz w:val="32"/>
          <w:szCs w:val="32"/>
          <w:highlight w:val="none"/>
        </w:rPr>
      </w:pPr>
    </w:p>
    <w:p w14:paraId="1D681FCD">
      <w:pPr>
        <w:autoSpaceDE w:val="0"/>
        <w:autoSpaceDN w:val="0"/>
        <w:jc w:val="center"/>
        <w:rPr>
          <w:rFonts w:ascii="宋体" w:hAnsi="宋体" w:cs="宋体"/>
          <w:b/>
          <w:color w:val="auto"/>
          <w:spacing w:val="6"/>
          <w:sz w:val="32"/>
          <w:szCs w:val="32"/>
          <w:highlight w:val="none"/>
        </w:rPr>
      </w:pPr>
    </w:p>
    <w:p w14:paraId="54A4E81E">
      <w:pPr>
        <w:autoSpaceDE w:val="0"/>
        <w:autoSpaceDN w:val="0"/>
        <w:jc w:val="center"/>
        <w:rPr>
          <w:rFonts w:ascii="宋体" w:hAnsi="宋体" w:cs="宋体"/>
          <w:b/>
          <w:color w:val="auto"/>
          <w:spacing w:val="6"/>
          <w:sz w:val="32"/>
          <w:szCs w:val="32"/>
          <w:highlight w:val="none"/>
        </w:rPr>
      </w:pPr>
    </w:p>
    <w:p w14:paraId="6F66425A">
      <w:pPr>
        <w:autoSpaceDE w:val="0"/>
        <w:autoSpaceDN w:val="0"/>
        <w:jc w:val="center"/>
        <w:rPr>
          <w:rFonts w:ascii="宋体" w:hAnsi="宋体" w:cs="宋体"/>
          <w:b/>
          <w:color w:val="auto"/>
          <w:spacing w:val="6"/>
          <w:sz w:val="32"/>
          <w:szCs w:val="32"/>
          <w:highlight w:val="none"/>
        </w:rPr>
      </w:pPr>
    </w:p>
    <w:p w14:paraId="096FEAC9">
      <w:pPr>
        <w:autoSpaceDE w:val="0"/>
        <w:autoSpaceDN w:val="0"/>
        <w:jc w:val="center"/>
        <w:rPr>
          <w:rFonts w:ascii="宋体" w:hAnsi="宋体" w:cs="宋体"/>
          <w:b/>
          <w:color w:val="auto"/>
          <w:spacing w:val="6"/>
          <w:sz w:val="32"/>
          <w:szCs w:val="32"/>
          <w:highlight w:val="none"/>
        </w:rPr>
      </w:pPr>
    </w:p>
    <w:p w14:paraId="34588CEB">
      <w:pPr>
        <w:autoSpaceDE w:val="0"/>
        <w:autoSpaceDN w:val="0"/>
        <w:jc w:val="center"/>
        <w:rPr>
          <w:rFonts w:ascii="宋体" w:hAnsi="宋体" w:cs="宋体"/>
          <w:b/>
          <w:color w:val="auto"/>
          <w:spacing w:val="6"/>
          <w:sz w:val="32"/>
          <w:szCs w:val="32"/>
          <w:highlight w:val="none"/>
        </w:rPr>
      </w:pPr>
    </w:p>
    <w:p w14:paraId="29ABB079">
      <w:pPr>
        <w:autoSpaceDE w:val="0"/>
        <w:autoSpaceDN w:val="0"/>
        <w:jc w:val="center"/>
        <w:rPr>
          <w:rFonts w:ascii="宋体" w:hAnsi="宋体" w:cs="宋体"/>
          <w:b/>
          <w:color w:val="auto"/>
          <w:spacing w:val="6"/>
          <w:sz w:val="32"/>
          <w:szCs w:val="32"/>
          <w:highlight w:val="none"/>
        </w:rPr>
      </w:pPr>
    </w:p>
    <w:p w14:paraId="53AEAE29">
      <w:pPr>
        <w:autoSpaceDE w:val="0"/>
        <w:autoSpaceDN w:val="0"/>
        <w:jc w:val="center"/>
        <w:rPr>
          <w:rFonts w:ascii="宋体" w:hAnsi="宋体" w:cs="宋体"/>
          <w:b/>
          <w:color w:val="auto"/>
          <w:spacing w:val="6"/>
          <w:sz w:val="32"/>
          <w:szCs w:val="32"/>
          <w:highlight w:val="none"/>
        </w:rPr>
      </w:pPr>
    </w:p>
    <w:p w14:paraId="3F1F4828">
      <w:pPr>
        <w:autoSpaceDE w:val="0"/>
        <w:autoSpaceDN w:val="0"/>
        <w:jc w:val="center"/>
        <w:rPr>
          <w:rFonts w:ascii="宋体" w:hAnsi="宋体" w:cs="宋体"/>
          <w:b/>
          <w:color w:val="auto"/>
          <w:spacing w:val="6"/>
          <w:sz w:val="32"/>
          <w:szCs w:val="32"/>
          <w:highlight w:val="none"/>
        </w:rPr>
      </w:pPr>
    </w:p>
    <w:p w14:paraId="05BE4598">
      <w:pPr>
        <w:autoSpaceDE w:val="0"/>
        <w:autoSpaceDN w:val="0"/>
        <w:jc w:val="center"/>
        <w:rPr>
          <w:rFonts w:ascii="宋体" w:hAnsi="宋体" w:cs="宋体"/>
          <w:b/>
          <w:color w:val="auto"/>
          <w:spacing w:val="6"/>
          <w:sz w:val="32"/>
          <w:szCs w:val="32"/>
          <w:highlight w:val="none"/>
        </w:rPr>
      </w:pPr>
    </w:p>
    <w:p w14:paraId="09134DEE">
      <w:pPr>
        <w:autoSpaceDE w:val="0"/>
        <w:autoSpaceDN w:val="0"/>
        <w:jc w:val="center"/>
        <w:rPr>
          <w:rFonts w:ascii="宋体" w:hAnsi="宋体" w:cs="宋体"/>
          <w:b/>
          <w:color w:val="auto"/>
          <w:spacing w:val="6"/>
          <w:sz w:val="32"/>
          <w:szCs w:val="32"/>
          <w:highlight w:val="none"/>
        </w:rPr>
      </w:pPr>
    </w:p>
    <w:p w14:paraId="4F663272">
      <w:pPr>
        <w:autoSpaceDE w:val="0"/>
        <w:autoSpaceDN w:val="0"/>
        <w:jc w:val="center"/>
        <w:rPr>
          <w:rFonts w:ascii="宋体" w:hAnsi="宋体" w:cs="宋体"/>
          <w:b/>
          <w:color w:val="auto"/>
          <w:spacing w:val="6"/>
          <w:sz w:val="32"/>
          <w:szCs w:val="32"/>
          <w:highlight w:val="none"/>
        </w:rPr>
      </w:pPr>
    </w:p>
    <w:p w14:paraId="4012336A">
      <w:pPr>
        <w:autoSpaceDE w:val="0"/>
        <w:autoSpaceDN w:val="0"/>
        <w:jc w:val="center"/>
        <w:rPr>
          <w:rFonts w:ascii="宋体" w:hAnsi="宋体" w:cs="宋体"/>
          <w:b/>
          <w:color w:val="auto"/>
          <w:spacing w:val="6"/>
          <w:sz w:val="32"/>
          <w:szCs w:val="32"/>
          <w:highlight w:val="none"/>
        </w:rPr>
      </w:pPr>
    </w:p>
    <w:p w14:paraId="71587E56">
      <w:pPr>
        <w:autoSpaceDE w:val="0"/>
        <w:autoSpaceDN w:val="0"/>
        <w:jc w:val="center"/>
        <w:rPr>
          <w:rFonts w:ascii="宋体" w:hAnsi="宋体" w:cs="宋体"/>
          <w:b/>
          <w:color w:val="auto"/>
          <w:spacing w:val="6"/>
          <w:sz w:val="32"/>
          <w:szCs w:val="32"/>
          <w:highlight w:val="none"/>
        </w:rPr>
      </w:pPr>
    </w:p>
    <w:p w14:paraId="3363F0A8">
      <w:pPr>
        <w:autoSpaceDE w:val="0"/>
        <w:autoSpaceDN w:val="0"/>
        <w:jc w:val="center"/>
        <w:rPr>
          <w:rFonts w:ascii="宋体" w:hAnsi="宋体" w:cs="宋体"/>
          <w:b/>
          <w:color w:val="auto"/>
          <w:spacing w:val="6"/>
          <w:sz w:val="32"/>
          <w:szCs w:val="32"/>
          <w:highlight w:val="none"/>
        </w:rPr>
      </w:pPr>
    </w:p>
    <w:p w14:paraId="276B06F6">
      <w:pPr>
        <w:autoSpaceDE w:val="0"/>
        <w:autoSpaceDN w:val="0"/>
        <w:jc w:val="center"/>
        <w:rPr>
          <w:rFonts w:ascii="宋体" w:hAnsi="宋体" w:cs="宋体"/>
          <w:b/>
          <w:color w:val="auto"/>
          <w:spacing w:val="6"/>
          <w:sz w:val="32"/>
          <w:szCs w:val="32"/>
          <w:highlight w:val="none"/>
        </w:rPr>
      </w:pPr>
    </w:p>
    <w:p w14:paraId="199593C9">
      <w:pPr>
        <w:autoSpaceDE w:val="0"/>
        <w:autoSpaceDN w:val="0"/>
        <w:jc w:val="center"/>
        <w:rPr>
          <w:rFonts w:ascii="宋体" w:hAnsi="宋体" w:cs="宋体"/>
          <w:b/>
          <w:color w:val="auto"/>
          <w:spacing w:val="6"/>
          <w:sz w:val="32"/>
          <w:szCs w:val="32"/>
          <w:highlight w:val="none"/>
        </w:rPr>
      </w:pPr>
    </w:p>
    <w:p w14:paraId="6FAFF204">
      <w:pPr>
        <w:autoSpaceDE w:val="0"/>
        <w:autoSpaceDN w:val="0"/>
        <w:jc w:val="center"/>
        <w:rPr>
          <w:rFonts w:ascii="宋体" w:hAnsi="宋体" w:cs="宋体"/>
          <w:b/>
          <w:color w:val="auto"/>
          <w:spacing w:val="6"/>
          <w:sz w:val="32"/>
          <w:szCs w:val="32"/>
          <w:highlight w:val="none"/>
        </w:rPr>
      </w:pPr>
    </w:p>
    <w:p w14:paraId="5A631256">
      <w:pPr>
        <w:autoSpaceDE w:val="0"/>
        <w:autoSpaceDN w:val="0"/>
        <w:jc w:val="center"/>
        <w:rPr>
          <w:rFonts w:ascii="宋体" w:hAnsi="宋体" w:cs="宋体"/>
          <w:b/>
          <w:color w:val="auto"/>
          <w:spacing w:val="6"/>
          <w:sz w:val="32"/>
          <w:szCs w:val="32"/>
          <w:highlight w:val="none"/>
        </w:rPr>
      </w:pPr>
    </w:p>
    <w:p w14:paraId="27189324">
      <w:pPr>
        <w:autoSpaceDE w:val="0"/>
        <w:autoSpaceDN w:val="0"/>
        <w:jc w:val="center"/>
        <w:rPr>
          <w:rFonts w:ascii="宋体" w:hAnsi="宋体" w:cs="宋体"/>
          <w:b/>
          <w:color w:val="auto"/>
          <w:spacing w:val="6"/>
          <w:sz w:val="32"/>
          <w:szCs w:val="32"/>
          <w:highlight w:val="none"/>
        </w:rPr>
      </w:pPr>
    </w:p>
    <w:p w14:paraId="15B0C822">
      <w:pPr>
        <w:autoSpaceDE w:val="0"/>
        <w:autoSpaceDN w:val="0"/>
        <w:jc w:val="center"/>
        <w:rPr>
          <w:rFonts w:ascii="宋体" w:hAnsi="宋体" w:cs="宋体"/>
          <w:b/>
          <w:color w:val="auto"/>
          <w:spacing w:val="6"/>
          <w:sz w:val="32"/>
          <w:szCs w:val="32"/>
          <w:highlight w:val="none"/>
        </w:rPr>
      </w:pPr>
    </w:p>
    <w:p w14:paraId="45B795D4">
      <w:pPr>
        <w:autoSpaceDE w:val="0"/>
        <w:autoSpaceDN w:val="0"/>
        <w:jc w:val="center"/>
        <w:rPr>
          <w:rFonts w:ascii="宋体" w:hAnsi="宋体" w:cs="宋体"/>
          <w:b/>
          <w:color w:val="auto"/>
          <w:spacing w:val="6"/>
          <w:sz w:val="32"/>
          <w:szCs w:val="32"/>
          <w:highlight w:val="none"/>
        </w:rPr>
      </w:pPr>
    </w:p>
    <w:p w14:paraId="6740232D">
      <w:pPr>
        <w:autoSpaceDE w:val="0"/>
        <w:autoSpaceDN w:val="0"/>
        <w:jc w:val="center"/>
        <w:rPr>
          <w:rFonts w:ascii="宋体" w:hAnsi="宋体" w:cs="宋体"/>
          <w:b/>
          <w:color w:val="auto"/>
          <w:spacing w:val="6"/>
          <w:sz w:val="32"/>
          <w:szCs w:val="32"/>
          <w:highlight w:val="none"/>
        </w:rPr>
      </w:pPr>
    </w:p>
    <w:p w14:paraId="20EF0269">
      <w:pPr>
        <w:autoSpaceDE w:val="0"/>
        <w:autoSpaceDN w:val="0"/>
        <w:jc w:val="center"/>
        <w:rPr>
          <w:rFonts w:ascii="宋体" w:hAnsi="宋体" w:cs="宋体"/>
          <w:b/>
          <w:color w:val="auto"/>
          <w:spacing w:val="6"/>
          <w:sz w:val="32"/>
          <w:szCs w:val="32"/>
          <w:highlight w:val="none"/>
        </w:rPr>
      </w:pPr>
    </w:p>
    <w:p w14:paraId="014FD154">
      <w:pPr>
        <w:autoSpaceDE w:val="0"/>
        <w:autoSpaceDN w:val="0"/>
        <w:jc w:val="center"/>
        <w:rPr>
          <w:rFonts w:ascii="宋体" w:hAnsi="宋体" w:cs="宋体"/>
          <w:b/>
          <w:color w:val="auto"/>
          <w:spacing w:val="6"/>
          <w:sz w:val="32"/>
          <w:szCs w:val="32"/>
          <w:highlight w:val="none"/>
        </w:rPr>
      </w:pPr>
    </w:p>
    <w:p w14:paraId="0EA63E5E">
      <w:pPr>
        <w:autoSpaceDE w:val="0"/>
        <w:autoSpaceDN w:val="0"/>
        <w:jc w:val="center"/>
        <w:rPr>
          <w:rFonts w:ascii="宋体" w:hAnsi="宋体" w:cs="宋体"/>
          <w:b/>
          <w:color w:val="auto"/>
          <w:spacing w:val="6"/>
          <w:sz w:val="32"/>
          <w:szCs w:val="32"/>
          <w:highlight w:val="none"/>
        </w:rPr>
      </w:pPr>
    </w:p>
    <w:p w14:paraId="40FA36F5">
      <w:pPr>
        <w:autoSpaceDE w:val="0"/>
        <w:autoSpaceDN w:val="0"/>
        <w:jc w:val="center"/>
        <w:rPr>
          <w:rFonts w:ascii="宋体" w:hAnsi="宋体" w:cs="宋体"/>
          <w:b/>
          <w:color w:val="auto"/>
          <w:spacing w:val="6"/>
          <w:sz w:val="32"/>
          <w:szCs w:val="32"/>
          <w:highlight w:val="none"/>
        </w:rPr>
      </w:pPr>
    </w:p>
    <w:p w14:paraId="418B6196">
      <w:pPr>
        <w:jc w:val="center"/>
        <w:rPr>
          <w:rFonts w:ascii="宋体" w:hAnsi="宋体" w:cs="宋体"/>
          <w:b/>
          <w:bCs/>
          <w:color w:val="auto"/>
          <w:sz w:val="32"/>
          <w:szCs w:val="32"/>
          <w:highlight w:val="none"/>
        </w:rPr>
      </w:pPr>
      <w:bookmarkStart w:id="544" w:name="_Toc3460"/>
    </w:p>
    <w:p w14:paraId="5B4737FC">
      <w:pPr>
        <w:jc w:val="center"/>
        <w:rPr>
          <w:rFonts w:ascii="宋体" w:hAnsi="宋体" w:cs="宋体"/>
          <w:b/>
          <w:bCs/>
          <w:color w:val="auto"/>
          <w:sz w:val="32"/>
          <w:szCs w:val="32"/>
          <w:highlight w:val="none"/>
        </w:rPr>
      </w:pPr>
    </w:p>
    <w:p w14:paraId="5802489E">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附件5：中小企业声明函</w:t>
      </w:r>
      <w:bookmarkEnd w:id="544"/>
    </w:p>
    <w:p w14:paraId="451F3A30">
      <w:pPr>
        <w:spacing w:line="360" w:lineRule="auto"/>
        <w:jc w:val="center"/>
        <w:rPr>
          <w:rFonts w:ascii="宋体" w:hAnsi="宋体" w:cs="宋体"/>
          <w:color w:val="auto"/>
          <w:sz w:val="24"/>
          <w:highlight w:val="none"/>
          <w:u w:val="single"/>
        </w:rPr>
      </w:pPr>
    </w:p>
    <w:p w14:paraId="71AB8947">
      <w:pPr>
        <w:adjustRightInd/>
        <w:spacing w:line="360" w:lineRule="auto"/>
        <w:jc w:val="center"/>
        <w:outlineLvl w:val="0"/>
        <w:rPr>
          <w:rFonts w:ascii="宋体" w:hAnsi="宋体" w:cs="宋体"/>
          <w:b/>
          <w:color w:val="auto"/>
          <w:sz w:val="28"/>
          <w:szCs w:val="28"/>
          <w:highlight w:val="none"/>
        </w:rPr>
      </w:pPr>
      <w:bookmarkStart w:id="545" w:name="_Toc25774"/>
      <w:r>
        <w:rPr>
          <w:rFonts w:hint="eastAsia" w:ascii="宋体" w:hAnsi="宋体" w:cs="宋体"/>
          <w:b/>
          <w:color w:val="auto"/>
          <w:sz w:val="28"/>
          <w:szCs w:val="28"/>
          <w:highlight w:val="none"/>
        </w:rPr>
        <w:t>中小企业声明函（货物）</w:t>
      </w:r>
      <w:bookmarkEnd w:id="545"/>
    </w:p>
    <w:p w14:paraId="49101740">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本公司郑重声明，根据《政府采购促进中小企业发展管理办法》（财库﹝2020﹞46 号）的规定，本公司参加</w:t>
      </w:r>
      <w:r>
        <w:rPr>
          <w:rFonts w:hint="eastAsia" w:ascii="宋体" w:hAnsi="宋体" w:cs="宋体"/>
          <w:color w:val="auto"/>
          <w:spacing w:val="6"/>
          <w:sz w:val="24"/>
          <w:highlight w:val="none"/>
          <w:u w:val="single"/>
        </w:rPr>
        <w:t>宁波市应急管理局</w:t>
      </w:r>
      <w:r>
        <w:rPr>
          <w:rFonts w:hint="eastAsia" w:ascii="宋体" w:hAnsi="宋体" w:cs="宋体"/>
          <w:color w:val="auto"/>
          <w:spacing w:val="6"/>
          <w:sz w:val="24"/>
          <w:highlight w:val="none"/>
        </w:rPr>
        <w:t>的</w:t>
      </w:r>
      <w:r>
        <w:rPr>
          <w:rFonts w:hint="eastAsia" w:ascii="宋体" w:hAnsi="宋体" w:cs="宋体"/>
          <w:color w:val="auto"/>
          <w:spacing w:val="6"/>
          <w:sz w:val="24"/>
          <w:highlight w:val="none"/>
          <w:u w:val="single"/>
          <w:lang w:eastAsia="zh-CN"/>
        </w:rPr>
        <w:t>宁波市自然灾害应急能力提升工程基层防灾项目无人机类（第二批）采购项目</w:t>
      </w:r>
      <w:r>
        <w:rPr>
          <w:rFonts w:hint="eastAsia" w:ascii="宋体" w:hAnsi="宋体" w:cs="宋体"/>
          <w:color w:val="auto"/>
          <w:spacing w:val="6"/>
          <w:sz w:val="24"/>
          <w:highlight w:val="none"/>
        </w:rPr>
        <w:t>采购活动，提供的货物全部由符合政策要求的中小企业制造。相关企业（含联合体中的中小企业、签订分包意向协议的中小企业）的具体情况如下：</w:t>
      </w:r>
    </w:p>
    <w:p w14:paraId="708EC454">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1、</w:t>
      </w:r>
      <w:r>
        <w:rPr>
          <w:rFonts w:hint="eastAsia" w:ascii="宋体" w:hAnsi="宋体" w:cs="宋体"/>
          <w:color w:val="auto"/>
          <w:spacing w:val="6"/>
          <w:sz w:val="24"/>
          <w:highlight w:val="none"/>
          <w:u w:val="single"/>
        </w:rPr>
        <w:t>救援无人机（灭火无人机）</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620A28C2">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2、</w:t>
      </w:r>
      <w:r>
        <w:rPr>
          <w:rFonts w:hint="eastAsia" w:ascii="宋体" w:hAnsi="宋体" w:cs="宋体"/>
          <w:color w:val="auto"/>
          <w:spacing w:val="6"/>
          <w:sz w:val="24"/>
          <w:highlight w:val="none"/>
          <w:u w:val="single"/>
        </w:rPr>
        <w:t>救援无人机（巡堤查险无人机）</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3C191007">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3、</w:t>
      </w:r>
      <w:r>
        <w:rPr>
          <w:rFonts w:hint="eastAsia" w:ascii="宋体" w:hAnsi="宋体" w:cs="宋体"/>
          <w:color w:val="auto"/>
          <w:spacing w:val="6"/>
          <w:sz w:val="24"/>
          <w:highlight w:val="none"/>
          <w:u w:val="single"/>
        </w:rPr>
        <w:t>救援无人机（侦察无人机）</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3D4D9461">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以上企业，不属于大企业的分支机构，不存在控股股东为大企业的情形，也不存在与大企业的负责人为同一人的情形。</w:t>
      </w:r>
    </w:p>
    <w:p w14:paraId="21CC2550">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本企业对上述声明内容的真实性负责。如有虚假，将依法承担相应责任。</w:t>
      </w:r>
    </w:p>
    <w:p w14:paraId="013B93A9">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 xml:space="preserve">                        </w:t>
      </w:r>
    </w:p>
    <w:p w14:paraId="68A171DE">
      <w:pPr>
        <w:spacing w:line="360" w:lineRule="auto"/>
        <w:ind w:firstLine="3780" w:firstLineChars="1500"/>
        <w:rPr>
          <w:rFonts w:ascii="宋体" w:hAnsi="宋体" w:cs="宋体"/>
          <w:color w:val="auto"/>
          <w:spacing w:val="6"/>
          <w:sz w:val="24"/>
          <w:highlight w:val="none"/>
        </w:rPr>
      </w:pPr>
      <w:r>
        <w:rPr>
          <w:rFonts w:hint="eastAsia" w:ascii="宋体" w:hAnsi="宋体" w:cs="宋体"/>
          <w:color w:val="auto"/>
          <w:spacing w:val="6"/>
          <w:sz w:val="24"/>
          <w:highlight w:val="none"/>
        </w:rPr>
        <w:t>企业名称（盖章）：</w:t>
      </w:r>
    </w:p>
    <w:p w14:paraId="190A92EC">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 xml:space="preserve">                         日期：</w:t>
      </w:r>
    </w:p>
    <w:p w14:paraId="7AA216FA">
      <w:pPr>
        <w:spacing w:line="360" w:lineRule="auto"/>
        <w:ind w:right="420"/>
        <w:rPr>
          <w:rFonts w:ascii="宋体" w:hAnsi="宋体" w:cs="宋体"/>
          <w:color w:val="auto"/>
          <w:sz w:val="24"/>
          <w:highlight w:val="none"/>
        </w:rPr>
      </w:pPr>
    </w:p>
    <w:p w14:paraId="71A290D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3C106CEF">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填写要求：①“标的名称”、“采购文件中明确的所属行业”依据</w:t>
      </w:r>
      <w:r>
        <w:rPr>
          <w:rFonts w:hint="eastAsia" w:ascii="宋体" w:hAnsi="宋体" w:cs="宋体"/>
          <w:color w:val="auto"/>
          <w:sz w:val="24"/>
          <w:highlight w:val="none"/>
          <w:lang w:val="en-US" w:eastAsia="zh-CN"/>
        </w:rPr>
        <w:t>招标</w:t>
      </w:r>
      <w:r>
        <w:rPr>
          <w:rFonts w:hint="eastAsia" w:ascii="宋体" w:hAnsi="宋体" w:eastAsia="宋体" w:cs="宋体"/>
          <w:color w:val="auto"/>
          <w:sz w:val="24"/>
          <w:highlight w:val="none"/>
        </w:rPr>
        <w:t>文件第二部分 投标人须知前附表中</w:t>
      </w:r>
      <w:r>
        <w:rPr>
          <w:rFonts w:hint="eastAsia" w:ascii="宋体" w:hAnsi="宋体" w:cs="宋体"/>
          <w:color w:val="auto"/>
          <w:sz w:val="24"/>
          <w:highlight w:val="none"/>
        </w:rPr>
        <w:t>“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sz w:val="24"/>
        </w:rPr>
        <w:t>供应商提供的《中小企业声明函》与实际情况不符的或者未按以上要求填写的，中小企业声明函无效，不享受中小企业扶持政策。声明内容不实的，属于提供虚假材料谋取中标、成交的，依法承担法律责任。</w:t>
      </w:r>
    </w:p>
    <w:p w14:paraId="69C512B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496CF3B">
      <w:pPr>
        <w:spacing w:line="360" w:lineRule="auto"/>
        <w:ind w:right="420" w:firstLine="480" w:firstLineChars="200"/>
        <w:rPr>
          <w:rFonts w:ascii="宋体" w:hAnsi="宋体" w:cs="宋体"/>
          <w:color w:val="auto"/>
          <w:sz w:val="24"/>
          <w:highlight w:val="none"/>
        </w:rPr>
        <w:sectPr>
          <w:headerReference r:id="rId20" w:type="first"/>
          <w:footerReference r:id="rId22" w:type="first"/>
          <w:headerReference r:id="rId19" w:type="default"/>
          <w:footerReference r:id="rId21" w:type="default"/>
          <w:pgSz w:w="11906" w:h="16838"/>
          <w:pgMar w:top="1247" w:right="1417" w:bottom="1276" w:left="1417" w:header="851" w:footer="992" w:gutter="0"/>
          <w:cols w:space="0" w:num="1"/>
          <w:titlePg/>
          <w:docGrid w:linePitch="312" w:charSpace="0"/>
        </w:sectPr>
      </w:pPr>
      <w:r>
        <w:rPr>
          <w:rFonts w:hint="eastAsia" w:ascii="宋体" w:hAnsi="宋体" w:cs="宋体"/>
          <w:color w:val="auto"/>
          <w:sz w:val="24"/>
          <w:highlight w:val="none"/>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5A39571">
      <w:pPr>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附件6：</w:t>
      </w:r>
    </w:p>
    <w:p w14:paraId="5758B857">
      <w:pPr>
        <w:adjustRightInd/>
        <w:spacing w:line="360" w:lineRule="auto"/>
        <w:jc w:val="center"/>
        <w:outlineLvl w:val="0"/>
        <w:rPr>
          <w:rFonts w:ascii="宋体" w:hAnsi="宋体" w:cs="宋体"/>
          <w:b/>
          <w:color w:val="auto"/>
          <w:sz w:val="24"/>
          <w:highlight w:val="none"/>
        </w:rPr>
      </w:pPr>
      <w:bookmarkStart w:id="546" w:name="_Toc25288"/>
      <w:r>
        <w:rPr>
          <w:rFonts w:hint="eastAsia" w:ascii="宋体" w:hAnsi="宋体" w:cs="宋体"/>
          <w:b/>
          <w:color w:val="auto"/>
          <w:sz w:val="24"/>
          <w:highlight w:val="none"/>
        </w:rPr>
        <w:t>政府采购活动现场确认声明书</w:t>
      </w:r>
      <w:bookmarkEnd w:id="546"/>
    </w:p>
    <w:p w14:paraId="79A2ACFE">
      <w:pPr>
        <w:adjustRightInd/>
        <w:snapToGrid w:val="0"/>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u w:val="single"/>
        </w:rPr>
        <w:t xml:space="preserve"> 宁波中基国际招标有限公司</w:t>
      </w:r>
      <w:r>
        <w:rPr>
          <w:rFonts w:hint="eastAsia" w:ascii="宋体" w:hAnsi="宋体" w:cs="宋体"/>
          <w:color w:val="auto"/>
          <w:spacing w:val="6"/>
          <w:szCs w:val="21"/>
          <w:highlight w:val="none"/>
        </w:rPr>
        <w:t>：</w:t>
      </w:r>
    </w:p>
    <w:p w14:paraId="59CAC065">
      <w:pPr>
        <w:adjustRightInd/>
        <w:snapToGrid w:val="0"/>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本人</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（授权代表姓名），经由</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（单位）</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（法定代表人姓名）合法授权参加</w:t>
      </w:r>
      <w:r>
        <w:rPr>
          <w:rFonts w:hint="eastAsia" w:ascii="宋体" w:hAnsi="宋体" w:cs="宋体"/>
          <w:color w:val="auto"/>
          <w:spacing w:val="6"/>
          <w:szCs w:val="21"/>
          <w:highlight w:val="none"/>
          <w:u w:val="single"/>
        </w:rPr>
        <w:t xml:space="preserve">                     项目</w:t>
      </w:r>
      <w:r>
        <w:rPr>
          <w:rFonts w:hint="eastAsia" w:ascii="宋体" w:hAnsi="宋体" w:cs="宋体"/>
          <w:color w:val="auto"/>
          <w:spacing w:val="6"/>
          <w:szCs w:val="21"/>
          <w:highlight w:val="none"/>
        </w:rPr>
        <w:t>（项目编号：</w:t>
      </w:r>
      <w:r>
        <w:rPr>
          <w:rFonts w:hint="eastAsia" w:ascii="宋体" w:hAnsi="宋体" w:cs="宋体"/>
          <w:color w:val="auto"/>
          <w:spacing w:val="6"/>
          <w:szCs w:val="21"/>
          <w:highlight w:val="none"/>
          <w:u w:val="single"/>
        </w:rPr>
        <w:t xml:space="preserve">CBNB-        </w:t>
      </w:r>
      <w:r>
        <w:rPr>
          <w:rFonts w:hint="eastAsia" w:ascii="宋体" w:hAnsi="宋体" w:cs="宋体"/>
          <w:color w:val="auto"/>
          <w:spacing w:val="6"/>
          <w:szCs w:val="21"/>
          <w:highlight w:val="none"/>
        </w:rPr>
        <w:t xml:space="preserve">）政府采购活动，经与本单位法人代表（负责人）联系确认，现就有关公平竞争事项郑重声明如下： </w:t>
      </w:r>
    </w:p>
    <w:p w14:paraId="7F3813F8">
      <w:pPr>
        <w:widowControl/>
        <w:numPr>
          <w:ilvl w:val="0"/>
          <w:numId w:val="9"/>
        </w:numPr>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本单位与采购人之间 （</w:t>
      </w: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不存在利害关系 □存在下列利害关系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66BFA84A">
      <w:pPr>
        <w:widowControl/>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A.投资关系    B.行政隶属关系    C.业务指导关系</w:t>
      </w:r>
    </w:p>
    <w:p w14:paraId="577CFD14">
      <w:pPr>
        <w:widowControl/>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D.其他可能</w:t>
      </w:r>
      <w:r>
        <w:rPr>
          <w:rFonts w:hint="eastAsia" w:ascii="宋体" w:hAnsi="宋体" w:cs="宋体"/>
          <w:color w:val="auto"/>
          <w:szCs w:val="21"/>
          <w:highlight w:val="none"/>
        </w:rPr>
        <w:t>影响采购公正的</w:t>
      </w:r>
      <w:r>
        <w:rPr>
          <w:rFonts w:hint="eastAsia" w:ascii="宋体" w:hAnsi="宋体" w:cs="宋体"/>
          <w:color w:val="auto"/>
          <w:kern w:val="0"/>
          <w:szCs w:val="21"/>
          <w:highlight w:val="none"/>
        </w:rPr>
        <w:t xml:space="preserve">利害关系（如有，请如实说明）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32CD2687">
      <w:pPr>
        <w:widowControl/>
        <w:numPr>
          <w:ilvl w:val="0"/>
          <w:numId w:val="9"/>
        </w:numPr>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现已清楚知道参加本项目采购活动的其他所有供应商名称，本单位 □与其他所有供应商之间均不存在利害关系 □与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（供应商名称）之间存在下列利害关系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4C01DA3">
      <w:pPr>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A.法定代表人或负责人或实际控制人是同一人</w:t>
      </w:r>
    </w:p>
    <w:p w14:paraId="198F5F4E">
      <w:pPr>
        <w:adjustRightInd/>
        <w:snapToGrid w:val="0"/>
        <w:spacing w:line="360" w:lineRule="auto"/>
        <w:ind w:firstLine="420" w:firstLineChars="200"/>
        <w:rPr>
          <w:rFonts w:ascii="宋体" w:hAnsi="宋体" w:cs="宋体"/>
          <w:color w:val="auto"/>
          <w:spacing w:val="6"/>
          <w:szCs w:val="21"/>
          <w:highlight w:val="none"/>
        </w:rPr>
      </w:pPr>
      <w:r>
        <w:rPr>
          <w:rFonts w:hint="eastAsia" w:ascii="宋体" w:hAnsi="宋体" w:cs="宋体"/>
          <w:color w:val="auto"/>
          <w:kern w:val="0"/>
          <w:szCs w:val="21"/>
          <w:highlight w:val="none"/>
        </w:rPr>
        <w:t>B.法定代表人或负责人或实际控制人是夫妻关系</w:t>
      </w:r>
    </w:p>
    <w:p w14:paraId="2639AAA4">
      <w:pPr>
        <w:adjustRightInd/>
        <w:snapToGrid w:val="0"/>
        <w:spacing w:line="360" w:lineRule="auto"/>
        <w:ind w:firstLine="420" w:firstLineChars="200"/>
        <w:rPr>
          <w:rFonts w:ascii="宋体" w:hAnsi="宋体" w:cs="宋体"/>
          <w:color w:val="auto"/>
          <w:spacing w:val="6"/>
          <w:szCs w:val="21"/>
          <w:highlight w:val="none"/>
        </w:rPr>
      </w:pPr>
      <w:r>
        <w:rPr>
          <w:rFonts w:hint="eastAsia" w:ascii="宋体" w:hAnsi="宋体" w:cs="宋体"/>
          <w:color w:val="auto"/>
          <w:kern w:val="0"/>
          <w:szCs w:val="21"/>
          <w:highlight w:val="none"/>
        </w:rPr>
        <w:t>C.法定代表人或负责人或实际控制人是直系血亲关系</w:t>
      </w:r>
    </w:p>
    <w:p w14:paraId="3DC3A426">
      <w:pPr>
        <w:adjustRightInd/>
        <w:snapToGrid w:val="0"/>
        <w:spacing w:line="360" w:lineRule="auto"/>
        <w:ind w:firstLine="420" w:firstLineChars="200"/>
        <w:rPr>
          <w:rFonts w:ascii="宋体" w:hAnsi="宋体" w:cs="宋体"/>
          <w:color w:val="auto"/>
          <w:spacing w:val="6"/>
          <w:szCs w:val="21"/>
          <w:highlight w:val="none"/>
        </w:rPr>
      </w:pPr>
      <w:r>
        <w:rPr>
          <w:rFonts w:hint="eastAsia" w:ascii="宋体" w:hAnsi="宋体" w:cs="宋体"/>
          <w:color w:val="auto"/>
          <w:kern w:val="0"/>
          <w:szCs w:val="21"/>
          <w:highlight w:val="none"/>
        </w:rPr>
        <w:t>D.法定代表人或负责人或实际控制人存在三代以内旁系血亲关系</w:t>
      </w:r>
    </w:p>
    <w:p w14:paraId="3C50EB51">
      <w:pPr>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E.法定代表人或负责人或实际控制人存在近姻亲关系</w:t>
      </w:r>
    </w:p>
    <w:p w14:paraId="4F1877F4">
      <w:pPr>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F.法定代表人或负责人或实际控制人存在股份控制或实际控制关系</w:t>
      </w:r>
    </w:p>
    <w:p w14:paraId="2A506734">
      <w:pPr>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G.存在共同直接或间接投资设立子公司、联营企业和合营企业情况</w:t>
      </w:r>
    </w:p>
    <w:p w14:paraId="21F6BBAD">
      <w:pPr>
        <w:adjustRightInd/>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H.存在分级代理或代销关系、同一生产制造商关系、</w:t>
      </w:r>
      <w:r>
        <w:rPr>
          <w:rFonts w:hint="eastAsia" w:ascii="宋体" w:hAnsi="宋体" w:cs="宋体"/>
          <w:color w:val="auto"/>
          <w:szCs w:val="21"/>
          <w:highlight w:val="none"/>
        </w:rPr>
        <w:t>管理关系、重要业务（占主营业务收入50%以上）或重要财务往来关系（如融资）等其他实质性控制关系</w:t>
      </w:r>
    </w:p>
    <w:p w14:paraId="1573B0D4">
      <w:pPr>
        <w:adjustRightInd/>
        <w:snapToGrid w:val="0"/>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I</w:t>
      </w:r>
      <w:r>
        <w:rPr>
          <w:rFonts w:hint="eastAsia" w:ascii="宋体" w:hAnsi="宋体" w:cs="宋体"/>
          <w:color w:val="auto"/>
          <w:kern w:val="0"/>
          <w:szCs w:val="21"/>
          <w:highlight w:val="none"/>
        </w:rPr>
        <w:t>.</w:t>
      </w:r>
      <w:r>
        <w:rPr>
          <w:rFonts w:hint="eastAsia" w:ascii="宋体" w:hAnsi="宋体" w:cs="宋体"/>
          <w:color w:val="auto"/>
          <w:szCs w:val="21"/>
          <w:highlight w:val="none"/>
        </w:rPr>
        <w:t>其他利害关系情况</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727B9E1E">
      <w:pPr>
        <w:widowControl/>
        <w:numPr>
          <w:ilvl w:val="0"/>
          <w:numId w:val="10"/>
        </w:numPr>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现已清楚知道并</w:t>
      </w:r>
      <w:r>
        <w:rPr>
          <w:rFonts w:hint="eastAsia" w:ascii="宋体" w:hAnsi="宋体" w:cs="宋体"/>
          <w:color w:val="auto"/>
          <w:kern w:val="0"/>
          <w:szCs w:val="21"/>
          <w:highlight w:val="none"/>
        </w:rPr>
        <w:t>严格遵守政府采购法律法规和现场纪律。</w:t>
      </w:r>
    </w:p>
    <w:p w14:paraId="7B8BCDBC">
      <w:pPr>
        <w:widowControl/>
        <w:numPr>
          <w:ilvl w:val="0"/>
          <w:numId w:val="10"/>
        </w:numPr>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我发现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供应商之间存在或可能存在上述第二条第</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项利害关系。</w:t>
      </w:r>
    </w:p>
    <w:p w14:paraId="6A9481DE">
      <w:pPr>
        <w:adjustRightInd/>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（供应商代表签名）：</w:t>
      </w:r>
    </w:p>
    <w:p w14:paraId="3651C479">
      <w:pPr>
        <w:adjustRightInd/>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 xml:space="preserve">                                    2024年  月  日（请填写磋商日当天日期）</w:t>
      </w:r>
    </w:p>
    <w:p w14:paraId="081439A5">
      <w:pPr>
        <w:adjustRightInd/>
        <w:spacing w:line="360" w:lineRule="auto"/>
        <w:rPr>
          <w:rFonts w:ascii="宋体" w:hAnsi="宋体" w:cs="宋体"/>
          <w:b/>
          <w:bCs/>
          <w:color w:val="auto"/>
          <w:szCs w:val="21"/>
          <w:highlight w:val="none"/>
        </w:rPr>
      </w:pPr>
      <w:r>
        <w:rPr>
          <w:rFonts w:hint="eastAsia" w:ascii="宋体" w:hAnsi="宋体" w:cs="宋体"/>
          <w:b/>
          <w:bCs/>
          <w:color w:val="auto"/>
          <w:szCs w:val="21"/>
          <w:highlight w:val="none"/>
        </w:rPr>
        <w:t>说明：（1）供应商解密响应文件及获知其他供应商信息进行如实声明并盖章或授权代表签名后，以扫描件形式通过邮件方式发送至邮箱：</w:t>
      </w:r>
      <w:r>
        <w:rPr>
          <w:rFonts w:hint="eastAsia" w:ascii="宋体" w:hAnsi="宋体" w:cs="宋体"/>
          <w:b/>
          <w:bCs/>
          <w:color w:val="auto"/>
          <w:szCs w:val="21"/>
          <w:highlight w:val="none"/>
          <w:u w:val="single"/>
        </w:rPr>
        <w:t>1115194121@qq.com</w:t>
      </w:r>
      <w:r>
        <w:rPr>
          <w:rFonts w:hint="eastAsia" w:ascii="宋体" w:hAnsi="宋体" w:cs="宋体"/>
          <w:b/>
          <w:bCs/>
          <w:color w:val="auto"/>
          <w:szCs w:val="21"/>
          <w:highlight w:val="none"/>
        </w:rPr>
        <w:t>。</w:t>
      </w:r>
    </w:p>
    <w:p w14:paraId="18587AE6">
      <w:pPr>
        <w:adjustRightInd/>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（2）在电子响应文件解密后供应商可看到所参与标项的供应商名称，在确认与采购人和其他供应商无任何上述关系的情况下，请在一中的“</w:t>
      </w:r>
      <w:r>
        <w:rPr>
          <w:rFonts w:hint="eastAsia" w:ascii="宋体" w:hAnsi="宋体" w:cs="宋体"/>
          <w:b/>
          <w:bCs/>
          <w:color w:val="auto"/>
          <w:kern w:val="0"/>
          <w:szCs w:val="21"/>
          <w:highlight w:val="none"/>
        </w:rPr>
        <w:t>□不存在利害关系</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打钩，二中的</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□与其他所有供应商之间均不存在利害关系</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打钩</w:t>
      </w:r>
      <w:r>
        <w:rPr>
          <w:rFonts w:hint="eastAsia" w:ascii="宋体" w:hAnsi="宋体" w:cs="宋体"/>
          <w:b/>
          <w:bCs/>
          <w:color w:val="auto"/>
          <w:szCs w:val="21"/>
          <w:highlight w:val="none"/>
        </w:rPr>
        <w:t>，四中的2个下划线用斜杠“/”划掉。</w:t>
      </w:r>
    </w:p>
    <w:p w14:paraId="5AE0AF2A">
      <w:pPr>
        <w:spacing w:line="360" w:lineRule="auto"/>
        <w:ind w:firstLine="420"/>
        <w:jc w:val="left"/>
        <w:rPr>
          <w:rFonts w:ascii="宋体" w:hAnsi="宋体" w:cs="宋体"/>
          <w:bCs/>
          <w:color w:val="auto"/>
          <w:sz w:val="24"/>
          <w:highlight w:val="none"/>
        </w:rPr>
      </w:pPr>
      <w:r>
        <w:rPr>
          <w:rFonts w:hint="eastAsia" w:ascii="宋体" w:hAnsi="宋体" w:cs="宋体"/>
          <w:b/>
          <w:bCs/>
          <w:color w:val="auto"/>
          <w:szCs w:val="21"/>
          <w:highlight w:val="none"/>
        </w:rPr>
        <w:t>（3）此声明书非响应文件的组成内容，无需编入响应文件中。</w:t>
      </w:r>
    </w:p>
    <w:sectPr>
      <w:pgSz w:w="11906" w:h="16838"/>
      <w:pgMar w:top="1247" w:right="1417" w:bottom="1276"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仿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微软雅黑"/>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31267">
    <w:pPr>
      <w:pStyle w:val="40"/>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B968F59">
                          <w:pPr>
                            <w:pStyle w:val="40"/>
                          </w:pPr>
                          <w:r>
                            <w:fldChar w:fldCharType="begin"/>
                          </w:r>
                          <w:r>
                            <w:instrText xml:space="preserve"> PAGE  \* MERGEFORMAT </w:instrText>
                          </w:r>
                          <w:r>
                            <w:fldChar w:fldCharType="separate"/>
                          </w:r>
                          <w:r>
                            <w:t>19</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5B968F59">
                    <w:pPr>
                      <w:pStyle w:val="40"/>
                    </w:pPr>
                    <w:r>
                      <w:fldChar w:fldCharType="begin"/>
                    </w:r>
                    <w:r>
                      <w:instrText xml:space="preserve"> PAGE  \* MERGEFORMAT </w:instrText>
                    </w:r>
                    <w:r>
                      <w:fldChar w:fldCharType="separate"/>
                    </w:r>
                    <w:r>
                      <w:t>19</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18578">
    <w:pPr>
      <w:pStyle w:val="40"/>
      <w:rPr>
        <w:rFonts w:ascii="仿宋_GB2312" w:eastAsia="仿宋_GB2312"/>
      </w:rPr>
    </w:pPr>
    <w:r>
      <mc:AlternateContent>
        <mc:Choice Requires="wps">
          <w:drawing>
            <wp:anchor distT="0" distB="0" distL="0" distR="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4" name="文本框 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389822B">
                          <w:pPr>
                            <w:pStyle w:val="40"/>
                          </w:pPr>
                          <w:r>
                            <w:fldChar w:fldCharType="begin"/>
                          </w:r>
                          <w:r>
                            <w:instrText xml:space="preserve"> PAGE  \* MERGEFORMAT </w:instrText>
                          </w:r>
                          <w:r>
                            <w:fldChar w:fldCharType="separate"/>
                          </w:r>
                          <w:r>
                            <w:t>72</w:t>
                          </w:r>
                          <w:r>
                            <w:fldChar w:fldCharType="end"/>
                          </w:r>
                        </w:p>
                      </w:txbxContent>
                    </wps:txbx>
                    <wps:bodyPr vert="horz" wrap="none" lIns="0" tIns="0" rIns="0" bIns="0" anchor="t">
                      <a:spAutoFit/>
                    </wps:bodyPr>
                  </wps:wsp>
                </a:graphicData>
              </a:graphic>
            </wp:anchor>
          </w:drawing>
        </mc:Choice>
        <mc:Fallback>
          <w:pict>
            <v:rect id="文本框 25"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rWg93LAQAAkwMAAA4AAABkcnMvZTJvRG9jLnhtbK1TS27bMBDdF8gd&#10;CO5rSUZaGILloICRIkDRBEh7AJqiLAL8YYa25B4gvUFX3XTfc/kcHerjFOkmi26oGQ755r3H0fqm&#10;t4YdFaD2ruLFIudMOelr7fYV//rl9u2KM4zC1cJ4pyp+UshvNldv1l0o1dK33tQKGIE4LLtQ8TbG&#10;UGYZylZZgQsflKNi48GKSCnssxpER+jWZMs8f591HuoAXipE2t2ORT4hwmsAfdNoqbZeHqxycUQF&#10;ZUQkSdjqgHwzsG0aJeN906CKzFSclMZhpSYU79Kabdai3IMIrZYTBfEaCi80WaEdNb1AbUUU7AD6&#10;HyirJXj0TVxIb7NRyOAIqSjyF948tiKoQQtZjeFiOv4/WPn5+ABM1xW/Loprzpyw9ObnH9/PP3+f&#10;fz2x5btkURewpJOP4QGmDClMevsGbPqSEtYPtp4utqo+MkmbxWq5WuXkuKTanBBO9nw9AMaPyluW&#10;gooDvdtgpzh+wjgenY+kbsal1flbbcxYTTtZojkSS1Hsd/3EdufrE8mkqSfw1sM3zjp684o7GnHO&#10;zJ0jS9N4zAHMwW4OhJN0seIjLwwfDpHaD9xSs7HDxIHealA3zVUahr/z4dTzv7T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Da1oPdywEAAJMDAAAOAAAAAAAAAAEAIAAAAB8BAABkcnMvZTJv&#10;RG9jLnhtbFBLBQYAAAAABgAGAFkBAABcBQAAAAA=&#10;">
              <v:fill on="f" focussize="0,0"/>
              <v:stroke on="f"/>
              <v:imagedata o:title=""/>
              <o:lock v:ext="edit" aspectratio="f"/>
              <v:textbox inset="0mm,0mm,0mm,0mm" style="mso-fit-shape-to-text:t;">
                <w:txbxContent>
                  <w:p w14:paraId="3389822B">
                    <w:pPr>
                      <w:pStyle w:val="40"/>
                    </w:pPr>
                    <w:r>
                      <w:fldChar w:fldCharType="begin"/>
                    </w:r>
                    <w:r>
                      <w:instrText xml:space="preserve"> PAGE  \* MERGEFORMAT </w:instrText>
                    </w:r>
                    <w:r>
                      <w:fldChar w:fldCharType="separate"/>
                    </w:r>
                    <w:r>
                      <w:t>72</w:t>
                    </w:r>
                    <w:r>
                      <w:fldChar w:fldCharType="end"/>
                    </w:r>
                  </w:p>
                </w:txbxContent>
              </v:textbox>
            </v:rect>
          </w:pict>
        </mc:Fallback>
      </mc:AlternateContent>
    </w:r>
    <w:r>
      <mc:AlternateContent>
        <mc:Choice Requires="wps">
          <w:drawing>
            <wp:anchor distT="0" distB="0" distL="0" distR="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5"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819BC05">
                          <w:pPr>
                            <w:pStyle w:val="40"/>
                          </w:pPr>
                        </w:p>
                        <w:p w14:paraId="62EBE6B8"/>
                      </w:txbxContent>
                    </wps:txbx>
                    <wps:bodyPr vert="horz" wrap="none" lIns="0" tIns="0" rIns="0" bIns="0" anchor="t">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h7Kh7LAQAAkwMAAA4AAABkcnMvZTJvRG9jLnhtbK1TS27bMBDdF8gd&#10;CO5jSUYbGILloICRIkDQBkh7AJqiLAL8YYa25B6gvUFX3XTfc/kcHerjFOkmi26oGQ755r3H0fq2&#10;t4YdFaD2ruLFIudMOelr7fYV//L57nrFGUbhamG8UxU/KeS3m6s36y6Uaulbb2oFjEAcll2oeBtj&#10;KLMMZauswIUPylGx8WBFpBT2WQ2iI3RrsmWe32SdhzqAlwqRdrdjkU+I8BpA3zRaqq2XB6tcHFFB&#10;GRFJErY6IN8MbJtGyfipaVBFZipOSuOwUhOKd2nNNmtR7kGEVsuJgngNhRearNCOml6gtiIKdgD9&#10;D5TVEjz6Ji6kt9koZHCEVBT5C2+eWhHUoIWsxnAxHf8frPx4fASm64q/LYp3nDlh6c3PP76ff/4+&#10;//rGiptkURewpJNP4RGmDClMevsGbPqSEtYPtp4utqo+MkmbxWq5WuXkuKTanBBO9nw9AMYPyluW&#10;gooDvdtgpzg+YByPzkdSN+PS6vydNmaspp0s0RyJpSj2u35iu/P1iWTS1BN46+ErZx29ecUdjThn&#10;5t6RpWk85gDmYDcHwkm6WPGRF4b3h0jtB26p2dhh4kBvNaib5ioNw9/5cOr5X9r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DIeyoeywEAAJMDAAAOAAAAAAAAAAEAIAAAAB8BAABkcnMvZTJv&#10;RG9jLnhtbFBLBQYAAAAABgAGAFkBAABcBQAAAAA=&#10;">
              <v:fill on="f" focussize="0,0"/>
              <v:stroke on="f"/>
              <v:imagedata o:title=""/>
              <o:lock v:ext="edit" aspectratio="f"/>
              <v:textbox inset="0mm,0mm,0mm,0mm" style="mso-fit-shape-to-text:t;">
                <w:txbxContent>
                  <w:p w14:paraId="1819BC05">
                    <w:pPr>
                      <w:pStyle w:val="40"/>
                    </w:pPr>
                  </w:p>
                  <w:p w14:paraId="62EBE6B8"/>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81B78">
    <w:pPr>
      <w:pStyle w:val="40"/>
      <w:rPr>
        <w:rFonts w:ascii="仿宋_GB2312" w:eastAsia="仿宋_GB2312"/>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4ACA5EF">
                          <w:pPr>
                            <w:pStyle w:val="40"/>
                          </w:pPr>
                          <w:r>
                            <w:fldChar w:fldCharType="begin"/>
                          </w:r>
                          <w:r>
                            <w:instrText xml:space="preserve"> PAGE  \* MERGEFORMAT </w:instrText>
                          </w:r>
                          <w:r>
                            <w:fldChar w:fldCharType="separate"/>
                          </w:r>
                          <w:r>
                            <w:t>3</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Eb63X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8RvrdckBAACSAwAADgAAAAAAAAABACAAAAAfAQAAZHJzL2Uyb0Rv&#10;Yy54bWxQSwUGAAAAAAYABgBZAQAAWgUAAAAA&#10;">
              <v:fill on="f" focussize="0,0"/>
              <v:stroke on="f"/>
              <v:imagedata o:title=""/>
              <o:lock v:ext="edit" aspectratio="f"/>
              <v:textbox inset="0mm,0mm,0mm,0mm" style="mso-fit-shape-to-text:t;">
                <w:txbxContent>
                  <w:p w14:paraId="04ACA5EF">
                    <w:pPr>
                      <w:pStyle w:val="40"/>
                    </w:pPr>
                    <w:r>
                      <w:fldChar w:fldCharType="begin"/>
                    </w:r>
                    <w:r>
                      <w:instrText xml:space="preserve"> PAGE  \* MERGEFORMAT </w:instrText>
                    </w:r>
                    <w:r>
                      <w:fldChar w:fldCharType="separate"/>
                    </w:r>
                    <w:r>
                      <w:t>3</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11D5E">
    <w:pPr>
      <w:pStyle w:val="40"/>
      <w:jc w:val="cente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825C98F">
                          <w:pPr>
                            <w:pStyle w:val="40"/>
                          </w:pPr>
                          <w:r>
                            <w:fldChar w:fldCharType="begin"/>
                          </w:r>
                          <w:r>
                            <w:instrText xml:space="preserve"> PAGE  \* MERGEFORMAT </w:instrText>
                          </w:r>
                          <w:r>
                            <w:fldChar w:fldCharType="separate"/>
                          </w:r>
                          <w:r>
                            <w:t>62</w:t>
                          </w:r>
                          <w:r>
                            <w:fldChar w:fldCharType="end"/>
                          </w:r>
                        </w:p>
                      </w:txbxContent>
                    </wps:txbx>
                    <wps:bodyPr vert="horz" wrap="none" lIns="0" tIns="0" rIns="0" bIns="0" anchor="t">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8+gJnLAQAAkwMAAA4AAABkcnMvZTJvRG9jLnhtbK1TS27bMBDdF+gd&#10;CO5ryUZR2ILlIICRIkDQBkh7AJqiLAL8YYa25BwgvUFX3XTfc/kcHerjFOkmi2yoGQ755r3H0fqq&#10;s4YdFaD2ruTzWc6ZctJX2u1L/v3bzYclZxiFq4TxTpX8pJBfbd6/W7ehUAvfeFMpYATisGhDyZsY&#10;Q5FlKBtlBc58UI6KtQcrIqWwzyoQLaFbky3y/FPWeqgCeKkQaXc7FPmICK8B9HWtpdp6ebDKxQEV&#10;lBGRJGGjA/JNz7aulYxf6xpVZKbkpDT2KzWheJfWbLMWxR5EaLQcKYjXUHihyQrtqOkFaiuiYAfQ&#10;/0FZLcGjr+NMepsNQnpHSMU8f+HNQyOC6rWQ1RgupuPbwcovx3tguir5x3y14swJS29+/vnj/OvP&#10;+fcTm6+SRW3Agk4+hHsYM6Qw6e1qsOlLSljX23q62Kq6yCRtzpeL5TInxyXVpoRwsufrATB+Vt6y&#10;FJQc6N16O8XxDuNwdDqSuhmXVudvtDFDNe1kieZALEWx23Uj252vTiSTpp7AGw+PnLX05iV3NOKc&#10;mVtHlqbxmAKYgt0UCCfpYskHXhiuD5Ha99xSs6HDyIHeqlc3zlUahn/z/tTzv7T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vPoCZywEAAJMDAAAOAAAAAAAAAAEAIAAAAB8BAABkcnMvZTJv&#10;RG9jLnhtbFBLBQYAAAAABgAGAFkBAABcBQAAAAA=&#10;">
              <v:fill on="f" focussize="0,0"/>
              <v:stroke on="f"/>
              <v:imagedata o:title=""/>
              <o:lock v:ext="edit" aspectratio="f"/>
              <v:textbox inset="0mm,0mm,0mm,0mm" style="mso-fit-shape-to-text:t;">
                <w:txbxContent>
                  <w:p w14:paraId="7825C98F">
                    <w:pPr>
                      <w:pStyle w:val="40"/>
                    </w:pPr>
                    <w:r>
                      <w:fldChar w:fldCharType="begin"/>
                    </w:r>
                    <w:r>
                      <w:instrText xml:space="preserve"> PAGE  \* MERGEFORMAT </w:instrText>
                    </w:r>
                    <w:r>
                      <w:fldChar w:fldCharType="separate"/>
                    </w:r>
                    <w:r>
                      <w:t>62</w:t>
                    </w:r>
                    <w:r>
                      <w:fldChar w:fldCharType="end"/>
                    </w:r>
                  </w:p>
                </w:txbxContent>
              </v:textbox>
            </v:rect>
          </w:pict>
        </mc:Fallback>
      </mc:AlternateContent>
    </w: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36EED07">
                          <w:pPr>
                            <w:pStyle w:val="40"/>
                            <w:jc w:val="center"/>
                          </w:pPr>
                        </w:p>
                        <w:p w14:paraId="5CBBB58B"/>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2Qfd/IAQAAkgMAAA4AAABkcnMvZTJvRG9jLnhtbK1TzY7TMBC+I/EO&#10;lu80aYWgipqukKpFSAhWWngA13EaS/7TjNukPAC8AScu3HmuPgdjJ+mulsseuDgzHvub7/s82dwM&#10;1rCTAtTe1Xy5KDlTTvpGu0PNv365fbXmDKNwjTDeqZqfFfKb7csXmz5UauU7bxoFjEAcVn2oeRdj&#10;qIoCZaeswIUPylGx9WBFpBQORQOiJ3RrilVZvil6D00ALxUi7e7GIp8Q4TmAvm21VDsvj1a5OKKC&#10;MiKSJOx0QL7NbNtWyfi5bVFFZmpOSmNeqQnF+7QW242oDiBCp+VEQTyHwhNNVmhHTa9QOxEFO4L+&#10;B8pqCR59GxfS22IUkh0hFcvyiTf3nQgqayGrMVxNx/8HKz+d7oDppuavlyWZ4oSlN7/8/HH59efy&#10;+zt7mxzqA1Z08D7cwZQhhUnu0IJNXxLChuzq+eqqGiKTtLlcr9brhC2pNieEUzxcD4DxvfKWpaDm&#10;QM+W3RSnjxjHo/OR1M24tDp/q40Zq2mnSDRHYimKw36Y2O59cyaVNPQE3nn4xllPT15zRxPOmfng&#10;yNE0HXMAc7CfA+EkXaz5yAvDu2Ok9plbajZ2mDjQU2V101ilWXic51MPv9L2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CtkH3fyAEAAJIDAAAOAAAAAAAAAAEAIAAAAB8BAABkcnMvZTJvRG9j&#10;LnhtbFBLBQYAAAAABgAGAFkBAABZBQAAAAA=&#10;">
              <v:fill on="f" focussize="0,0"/>
              <v:stroke on="f"/>
              <v:imagedata o:title=""/>
              <o:lock v:ext="edit" aspectratio="f"/>
              <v:textbox inset="0mm,0mm,0mm,0mm" style="mso-fit-shape-to-text:t;">
                <w:txbxContent>
                  <w:p w14:paraId="436EED07">
                    <w:pPr>
                      <w:pStyle w:val="40"/>
                      <w:jc w:val="center"/>
                    </w:pPr>
                  </w:p>
                  <w:p w14:paraId="5CBBB58B"/>
                </w:txbxContent>
              </v:textbox>
            </v:rect>
          </w:pict>
        </mc:Fallback>
      </mc:AlternateContent>
    </w:r>
  </w:p>
  <w:p w14:paraId="74AF4108">
    <w:pPr>
      <w:pStyle w:val="4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A635E">
    <w:pPr>
      <w:pStyle w:val="40"/>
      <w:jc w:val="center"/>
      <w:rPr>
        <w:rFonts w:ascii="仿宋_GB2312" w:eastAsia="仿宋_GB2312"/>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1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BAD996C">
                          <w:pPr>
                            <w:pStyle w:val="40"/>
                          </w:pPr>
                          <w:r>
                            <w:fldChar w:fldCharType="begin"/>
                          </w:r>
                          <w:r>
                            <w:instrText xml:space="preserve"> PAGE  \* MERGEFORMAT </w:instrText>
                          </w:r>
                          <w:r>
                            <w:fldChar w:fldCharType="separate"/>
                          </w:r>
                          <w:r>
                            <w:t>63</w:t>
                          </w:r>
                          <w:r>
                            <w:fldChar w:fldCharType="end"/>
                          </w:r>
                        </w:p>
                      </w:txbxContent>
                    </wps:txbx>
                    <wps:bodyPr vert="horz" wrap="none" lIns="0" tIns="0" rIns="0" bIns="0" anchor="t">
                      <a:spAutoFit/>
                    </wps:bodyPr>
                  </wps:wsp>
                </a:graphicData>
              </a:graphic>
            </wp:anchor>
          </w:drawing>
        </mc:Choice>
        <mc:Fallback>
          <w:pict>
            <v:rect id="文本框 18"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GPEMTKAQAAkwMAAA4AAABkcnMvZTJvRG9jLnhtbK1TS47UMBDdI3EH&#10;y3s6SQuhKOr0CKk1o5EQjDRwALfjdCz5pyp3J80B4Aas2LDnXH0Oyvn0oGEzCzZOlct+9d5zZXMz&#10;WMNOClB7V/NilXOmnPSNdoeaf/l8+6bkDKNwjTDeqZqfFfKb7etXmz5Uau07bxoFjEAcVn2oeRdj&#10;qLIMZaeswJUPylGx9WBFpBQOWQOiJ3RrsnWev8t6D00ALxUi7e6mIp8R4SWAvm21VDsvj1a5OKGC&#10;MiKSJOx0QL4d2batkvFT26KKzNSclMZxpSYU79OabTeiOoAInZYzBfESCs80WaEdNb1C7UQU7Aj6&#10;HyirJXj0bVxJb7NJyOgIqSjyZ948diKoUQtZjeFqOv4/WPnx9ABMNzV/W+QFZ05YevPLj++Xn78v&#10;v76xokwW9QErOvkYHmDOkMKkd2jBpi8pYcNo6/lqqxoik7RZlOuyzMlxSbUlIZzs6XoAjHfKW5aC&#10;mgO922inOH3AOB1djqRuxqXV+VttzFRNO1miORFLURz2w8x275szyaSpJ/DOw1fOenrzmjsacc7M&#10;vSNL03gsASzBfgmEk3Sx5hMvDO+PkdqP3FKzqcPMgd5qVDfPVRqGv/Px1NO/t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IGPEMTKAQAAkwMAAA4AAAAAAAAAAQAgAAAAHwEAAGRycy9lMm9E&#10;b2MueG1sUEsFBgAAAAAGAAYAWQEAAFsFAAAAAA==&#10;">
              <v:fill on="f" focussize="0,0"/>
              <v:stroke on="f"/>
              <v:imagedata o:title=""/>
              <o:lock v:ext="edit" aspectratio="f"/>
              <v:textbox inset="0mm,0mm,0mm,0mm" style="mso-fit-shape-to-text:t;">
                <w:txbxContent>
                  <w:p w14:paraId="7BAD996C">
                    <w:pPr>
                      <w:pStyle w:val="40"/>
                    </w:pPr>
                    <w:r>
                      <w:fldChar w:fldCharType="begin"/>
                    </w:r>
                    <w:r>
                      <w:instrText xml:space="preserve"> PAGE  \* MERGEFORMAT </w:instrText>
                    </w:r>
                    <w:r>
                      <w:fldChar w:fldCharType="separate"/>
                    </w:r>
                    <w:r>
                      <w:t>63</w:t>
                    </w:r>
                    <w:r>
                      <w:fldChar w:fldCharType="end"/>
                    </w:r>
                  </w:p>
                </w:txbxContent>
              </v:textbox>
            </v:rect>
          </w:pict>
        </mc:Fallback>
      </mc:AlternateContent>
    </w: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8EEE0FF">
                          <w:pPr>
                            <w:pStyle w:val="40"/>
                            <w:jc w:val="center"/>
                          </w:pPr>
                        </w:p>
                        <w:p w14:paraId="68B37811"/>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Rdhb7JAQAAkgMAAA4AAABkcnMvZTJvRG9jLnhtbK1TS44TMRDdI3EH&#10;y3vSnQiNolacEVI0CAnBSAMHcNzutCX/VOWkOxwAbsCKDXvOlXNQ7k9mNGxmwcZd5bJfvfdcvbnt&#10;nWUnDWiCF3y5KDnTXoXa+IPgX7/cvVlzhkn6WtrgteBnjfx2+/rVpouVXoU22FoDIxCPVRcFb1OK&#10;VVGgarWTuAhReyo2AZxMlMKhqEF2hO5ssSrLm6ILUEcISiPS7m4s8gkRXgIYmsYovQvq6LRPIypo&#10;KxNJwtZE5NuBbdNolT43DerErOCkNA0rNaF4n9diu5HVAWRsjZooyJdQeKbJSeOp6RVqJ5NkRzD/&#10;QDmjIGBo0kIFV4xCBkdIxbJ85s1DK6MetJDVGK+m4/+DVZ9O98BMLfjbZbnizEtHb375+ePy68/l&#10;93d2kx3qIlZ08CHew5QhhVlu34DLXxLC+sHV89VV3SemaHO5Xq3XJRmuqDYnhFM8Xo+A6b0OjuVA&#10;cKBnG9yUp4+YxqPzkdzN+rz6cGesHat5p8g0R2I5Sv2+n9juQ30mlTT0BN4G+MZZR08uuKcJ58x+&#10;8ORono45gDnYz4H0ii4KPvLC+O6YqP3ALTcbO0wc6KkGddNY5Vl4mg+nHn+l7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1F2FvskBAACSAwAADgAAAAAAAAABACAAAAAfAQAAZHJzL2Uyb0Rv&#10;Yy54bWxQSwUGAAAAAAYABgBZAQAAWgUAAAAA&#10;">
              <v:fill on="f" focussize="0,0"/>
              <v:stroke on="f"/>
              <v:imagedata o:title=""/>
              <o:lock v:ext="edit" aspectratio="f"/>
              <v:textbox inset="0mm,0mm,0mm,0mm" style="mso-fit-shape-to-text:t;">
                <w:txbxContent>
                  <w:p w14:paraId="48EEE0FF">
                    <w:pPr>
                      <w:pStyle w:val="40"/>
                      <w:jc w:val="center"/>
                    </w:pPr>
                  </w:p>
                  <w:p w14:paraId="68B37811"/>
                </w:txbxContent>
              </v:textbox>
            </v:rect>
          </w:pict>
        </mc:Fallback>
      </mc:AlternateContent>
    </w:r>
  </w:p>
  <w:p w14:paraId="16AB447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B028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79A328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CA1D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FEBC28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99450">
    <w:pPr>
      <w:pStyle w:val="40"/>
      <w:jc w:val="center"/>
      <w:rPr>
        <w:rFonts w:ascii="仿宋_GB2312" w:eastAsia="仿宋_GB2312"/>
      </w:rPr>
    </w:pP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8" name="文本框 2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F142973">
                          <w:pPr>
                            <w:pStyle w:val="40"/>
                          </w:pPr>
                          <w:r>
                            <w:fldChar w:fldCharType="begin"/>
                          </w:r>
                          <w:r>
                            <w:instrText xml:space="preserve"> PAGE  \* MERGEFORMAT </w:instrText>
                          </w:r>
                          <w:r>
                            <w:fldChar w:fldCharType="separate"/>
                          </w:r>
                          <w:r>
                            <w:t>79</w:t>
                          </w:r>
                          <w:r>
                            <w:fldChar w:fldCharType="end"/>
                          </w:r>
                        </w:p>
                      </w:txbxContent>
                    </wps:txbx>
                    <wps:bodyPr vert="horz" wrap="none" lIns="0" tIns="0" rIns="0" bIns="0" anchor="t">
                      <a:spAutoFit/>
                    </wps:bodyPr>
                  </wps:wsp>
                </a:graphicData>
              </a:graphic>
            </wp:anchor>
          </w:drawing>
        </mc:Choice>
        <mc:Fallback>
          <w:pict>
            <v:rect id="文本框 22"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00kIzKAQAAkwMAAA4AAABkcnMvZTJvRG9jLnhtbK1TS27bMBDdB+gd&#10;CO5ryUJRGILloICRIEDRBkhzAJqiLAL8YYa25B6gvUFX3WSfc/kcHerjFOkmi26oGX7evPdmtL7u&#10;rWFHBai9q/hykXOmnPS1dvuKP367eb/iDKNwtTDeqYqfFPLrzburdRdKVfjWm1oBIxCHZRcq3sYY&#10;yixD2SorcOGDcnTYeLAiUgr7rAbREbo1WZHnH7POQx3AS4VIu9vxkE+I8BZA3zRaqq2XB6tcHFFB&#10;GRFJErY6IN8MbJtGyfi1aVBFZipOSuOwUhGKd2nNNmtR7kGEVsuJgngLhVearNCOil6gtiIKdgD9&#10;D5TVEjz6Ji6kt9koZHCEVCzzV948tCKoQQtZjeFiOv4/WPnleA9M1xX/sMyp805Y6vn518/z7+fz&#10;0w9WFMmiLmBJNx/CPUwZUpj09g3Y9CUlrB9sPV1sVX1kkjaXq2K1yslxSWdzQjjZy/MAGG+VtywF&#10;FQfq22CnOH7GOF6dr6RqxqXV+RttzHiadrJEcySWotjv+ontztcnkklTT+Cth++cddTzijsacc7M&#10;nSNL03jMAczBbg6Ek/Sw4iMvDJ8OkcoP3FKxscLEgXo1qJvmKg3D3/lw6+Vf2v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C00kIzKAQAAkwMAAA4AAAAAAAAAAQAgAAAAHwEAAGRycy9lMm9E&#10;b2MueG1sUEsFBgAAAAAGAAYAWQEAAFsFAAAAAA==&#10;">
              <v:fill on="f" focussize="0,0"/>
              <v:stroke on="f"/>
              <v:imagedata o:title=""/>
              <o:lock v:ext="edit" aspectratio="f"/>
              <v:textbox inset="0mm,0mm,0mm,0mm" style="mso-fit-shape-to-text:t;">
                <w:txbxContent>
                  <w:p w14:paraId="4F142973">
                    <w:pPr>
                      <w:pStyle w:val="40"/>
                    </w:pPr>
                    <w:r>
                      <w:fldChar w:fldCharType="begin"/>
                    </w:r>
                    <w:r>
                      <w:instrText xml:space="preserve"> PAGE  \* MERGEFORMAT </w:instrText>
                    </w:r>
                    <w:r>
                      <w:fldChar w:fldCharType="separate"/>
                    </w:r>
                    <w:r>
                      <w:t>79</w:t>
                    </w:r>
                    <w:r>
                      <w:fldChar w:fldCharType="end"/>
                    </w:r>
                  </w:p>
                </w:txbxContent>
              </v:textbox>
            </v:rect>
          </w:pict>
        </mc:Fallback>
      </mc:AlternateContent>
    </w:r>
    <w:r>
      <mc:AlternateContent>
        <mc:Choice Requires="wps">
          <w:drawing>
            <wp:anchor distT="0" distB="0" distL="0" distR="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9"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D99E47D">
                          <w:pPr>
                            <w:pStyle w:val="40"/>
                            <w:jc w:val="center"/>
                          </w:pPr>
                        </w:p>
                        <w:p w14:paraId="42B14222"/>
                      </w:txbxContent>
                    </wps:txbx>
                    <wps:bodyPr vert="horz" wrap="none" lIns="0" tIns="0" rIns="0" bIns="0" anchor="t">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1lY7jLAQAAkwMAAA4AAABkcnMvZTJvRG9jLnhtbK1TS27bMBDdF8gd&#10;CO5jSW5RuILloICRIEDRBkh7AJqiLAL8YYa25B6gvUFX3XTfc/kcHerjFOkmi26oGQ755r3H0fqm&#10;t4YdFaD2ruLFIudMOelr7fYV//L59nrFGUbhamG8UxU/KeQ3m6tX6y6Uaulbb2oFjEAcll2oeBtj&#10;KLMMZauswIUPylGx8WBFpBT2WQ2iI3RrsmWev806D3UALxUi7W7HIp8Q4SWAvmm0VFsvD1a5OKKC&#10;MiKSJGx1QL4Z2DaNkvFT06CKzFSclMZhpSYU79Kabdai3IMIrZYTBfESCs80WaEdNb1AbUUU7AD6&#10;HyirJXj0TVxIb7NRyOAIqSjyZ948tiKoQQtZjeFiOv4/WPnx+ABM1xV/U+TvOHPC0puff3w///x9&#10;/vWNFa+TRV3Akk4+hgeYMqQw6e0bsOlLSlg/2Hq62Kr6yCRtFqvlapWT45Jqc0I42dP1ABjvlLcs&#10;BRUHerfBTnH8gHE8Oh9J3YxLq/O32pixmnayRHMklqLY7/qJ7c7XJ5JJU0/grYevnHX05hV3NOKc&#10;mXtHlqbxmAOYg90cCCfpYsVHXhjeHyK1H7ilZmOHiQO91aBumqs0DH/nw6mnf2n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tZWO4ywEAAJMDAAAOAAAAAAAAAAEAIAAAAB8BAABkcnMvZTJv&#10;RG9jLnhtbFBLBQYAAAAABgAGAFkBAABcBQAAAAA=&#10;">
              <v:fill on="f" focussize="0,0"/>
              <v:stroke on="f"/>
              <v:imagedata o:title=""/>
              <o:lock v:ext="edit" aspectratio="f"/>
              <v:textbox inset="0mm,0mm,0mm,0mm" style="mso-fit-shape-to-text:t;">
                <w:txbxContent>
                  <w:p w14:paraId="1D99E47D">
                    <w:pPr>
                      <w:pStyle w:val="40"/>
                      <w:jc w:val="center"/>
                    </w:pPr>
                  </w:p>
                  <w:p w14:paraId="42B14222"/>
                </w:txbxContent>
              </v:textbox>
            </v:rect>
          </w:pict>
        </mc:Fallback>
      </mc:AlternateContent>
    </w:r>
  </w:p>
  <w:p w14:paraId="0F70259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8FD0A">
    <w:pPr>
      <w:pStyle w:val="40"/>
      <w:jc w:val="center"/>
      <w:rPr>
        <w:rFonts w:ascii="仿宋_GB2312" w:eastAsia="仿宋_GB2312"/>
      </w:rPr>
    </w:pPr>
    <w:r>
      <mc:AlternateContent>
        <mc:Choice Requires="wps">
          <w:drawing>
            <wp:anchor distT="0" distB="0" distL="0" distR="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0" name="文本框 2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1D655EC">
                          <w:pPr>
                            <w:pStyle w:val="40"/>
                          </w:pPr>
                          <w:r>
                            <w:fldChar w:fldCharType="begin"/>
                          </w:r>
                          <w:r>
                            <w:instrText xml:space="preserve"> PAGE  \* MERGEFORMAT </w:instrText>
                          </w:r>
                          <w:r>
                            <w:fldChar w:fldCharType="separate"/>
                          </w:r>
                          <w:r>
                            <w:t>71</w:t>
                          </w:r>
                          <w:r>
                            <w:fldChar w:fldCharType="end"/>
                          </w:r>
                        </w:p>
                      </w:txbxContent>
                    </wps:txbx>
                    <wps:bodyPr vert="horz" wrap="none" lIns="0" tIns="0" rIns="0" bIns="0" anchor="t">
                      <a:spAutoFit/>
                    </wps:bodyPr>
                  </wps:wsp>
                </a:graphicData>
              </a:graphic>
            </wp:anchor>
          </w:drawing>
        </mc:Choice>
        <mc:Fallback>
          <w:pict>
            <v:rect id="文本框 23" o:spid="_x0000_s1026" o:spt="1"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OdI7/KAQAAkwMAAA4AAABkcnMvZTJvRG9jLnhtbK1TS27bMBDdF+gd&#10;CO5jSU5RGILloICRokDRBkh7AJqiLAL8YYa25B6gvUFX3XTfc/kcHerjBMkmi2yoGQ755r3H0fqm&#10;t4YdFaD2ruLFIudMOelr7fYV//7t9mrFGUbhamG8UxU/KeQ3m7dv1l0o1dK33tQKGIE4LLtQ8TbG&#10;UGYZylZZgQsflKNi48GKSCnssxpER+jWZMs8f591HuoAXipE2t2ORT4hwksAfdNoqbZeHqxycUQF&#10;ZUQkSdjqgHwzsG0aJePXpkEVmak4KY3DSk0o3qU126xFuQcRWi0nCuIlFJ5oskI7anqB2ooo2AH0&#10;MyirJXj0TVxIb7NRyOAIqSjyJ97ctyKoQQtZjeFiOr4erPxyvAOm64q/KwoyxQlLb37+/ev859/5&#10;70+2vE4WdQFLOnkf7mDKkMKkt2/Api8pYf1g6+liq+ojk7RZrJarVU7gkmpzQjjZw/UAGD8qb1kK&#10;Kg70boOd4vgZ43h0PpK6GZdW52+1MWM17WSJ5kgsRbHf9RPbna9PJJOmnsBbDz846+jNK+5oxDkz&#10;nxxZmsZjDmAOdnMgnKSLFR95YfhwiNR+4JaajR0mDvRWg7pprtIwPM6HUw//0uY/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LOdI7/KAQAAkwMAAA4AAAAAAAAAAQAgAAAAHwEAAGRycy9lMm9E&#10;b2MueG1sUEsFBgAAAAAGAAYAWQEAAFsFAAAAAA==&#10;">
              <v:fill on="f" focussize="0,0"/>
              <v:stroke on="f"/>
              <v:imagedata o:title=""/>
              <o:lock v:ext="edit" aspectratio="f"/>
              <v:textbox inset="0mm,0mm,0mm,0mm" style="mso-fit-shape-to-text:t;">
                <w:txbxContent>
                  <w:p w14:paraId="51D655EC">
                    <w:pPr>
                      <w:pStyle w:val="40"/>
                    </w:pPr>
                    <w:r>
                      <w:fldChar w:fldCharType="begin"/>
                    </w:r>
                    <w:r>
                      <w:instrText xml:space="preserve"> PAGE  \* MERGEFORMAT </w:instrText>
                    </w:r>
                    <w:r>
                      <w:fldChar w:fldCharType="separate"/>
                    </w:r>
                    <w:r>
                      <w:t>71</w:t>
                    </w:r>
                    <w:r>
                      <w:fldChar w:fldCharType="end"/>
                    </w:r>
                  </w:p>
                </w:txbxContent>
              </v:textbox>
            </v:rect>
          </w:pict>
        </mc:Fallback>
      </mc:AlternateContent>
    </w:r>
    <w:r>
      <mc:AlternateContent>
        <mc:Choice Requires="wps">
          <w:drawing>
            <wp:anchor distT="0" distB="0" distL="0" distR="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1"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6568FA9">
                          <w:pPr>
                            <w:pStyle w:val="40"/>
                            <w:jc w:val="center"/>
                          </w:pPr>
                        </w:p>
                        <w:p w14:paraId="5F0104C4"/>
                      </w:txbxContent>
                    </wps:txbx>
                    <wps:bodyPr vert="horz" wrap="none" lIns="0" tIns="0" rIns="0" bIns="0" anchor="t">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TOTknKAQAAkwMAAA4AAABkcnMvZTJvRG9jLnhtbK1TS27bMBDdF8gd&#10;CO5rSUZQGILloICRokDQBkh7AJqiLAL8YYa25B6gvUFX3XTfc/kcHerjBMkmi2yoGQ755r3H0fqm&#10;t4YdFaD2ruLFIudMOelr7fYV//7t9v2KM4zC1cJ4pyp+UshvNlfv1l0o1dK33tQKGIE4LLtQ8TbG&#10;UGYZylZZgQsflKNi48GKSCnssxpER+jWZMs8/5B1HuoAXipE2t2ORT4hwmsAfdNoqbZeHqxycUQF&#10;ZUQkSdjqgHwzsG0aJePXpkEVmak4KY3DSk0o3qU126xFuQcRWi0nCuI1FJ5pskI7anqB2ooo2AH0&#10;CyirJXj0TVxIb7NRyOAIqSjyZ948tCKoQQtZjeFiOr4drPxyvAem64pfF0XBmROW3vz8+9f5z7/z&#10;35+suE4WdQFLOvkQ7mHKkMKkt2/Api8pYf1g6+liq+ojk7RZrJarVU6OS6rNCeFkj9cDYPykvGUp&#10;qDjQuw12iuMdxvHofCR1My6tzt9qY8Zq2skSzZFYimK/6ye2O1+fSCZNPYG3Hn5w1tGbV9zRiHNm&#10;PjuyNI3HHMAc7OZAOEkXKz7ywvDxEKn9wC01GztMHOitBnXTXKVheJoPpx7/pc1/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MTOTknKAQAAkwMAAA4AAAAAAAAAAQAgAAAAHwEAAGRycy9lMm9E&#10;b2MueG1sUEsFBgAAAAAGAAYAWQEAAFsFAAAAAA==&#10;">
              <v:fill on="f" focussize="0,0"/>
              <v:stroke on="f"/>
              <v:imagedata o:title=""/>
              <o:lock v:ext="edit" aspectratio="f"/>
              <v:textbox inset="0mm,0mm,0mm,0mm" style="mso-fit-shape-to-text:t;">
                <w:txbxContent>
                  <w:p w14:paraId="26568FA9">
                    <w:pPr>
                      <w:pStyle w:val="40"/>
                      <w:jc w:val="center"/>
                    </w:pPr>
                  </w:p>
                  <w:p w14:paraId="5F0104C4"/>
                </w:txbxContent>
              </v:textbox>
            </v:rect>
          </w:pict>
        </mc:Fallback>
      </mc:AlternateContent>
    </w:r>
  </w:p>
  <w:p w14:paraId="744C904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4FB97">
    <w:pPr>
      <w:pStyle w:val="40"/>
      <w:rPr>
        <w:rFonts w:ascii="仿宋_GB2312" w:eastAsia="仿宋_GB2312"/>
        <w:szCs w:val="24"/>
      </w:rPr>
    </w:pPr>
    <w:r>
      <mc:AlternateContent>
        <mc:Choice Requires="wps">
          <w:drawing>
            <wp:anchor distT="0" distB="0" distL="0" distR="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2" name="文本框 2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6D23A87">
                          <w:pPr>
                            <w:pStyle w:val="40"/>
                          </w:pPr>
                          <w:r>
                            <w:fldChar w:fldCharType="begin"/>
                          </w:r>
                          <w:r>
                            <w:instrText xml:space="preserve"> PAGE  \* MERGEFORMAT </w:instrText>
                          </w:r>
                          <w:r>
                            <w:fldChar w:fldCharType="separate"/>
                          </w:r>
                          <w:r>
                            <w:t>81</w:t>
                          </w:r>
                          <w:r>
                            <w:fldChar w:fldCharType="end"/>
                          </w:r>
                        </w:p>
                      </w:txbxContent>
                    </wps:txbx>
                    <wps:bodyPr vert="horz" wrap="none" lIns="0" tIns="0" rIns="0" bIns="0" anchor="t">
                      <a:spAutoFit/>
                    </wps:bodyPr>
                  </wps:wsp>
                </a:graphicData>
              </a:graphic>
            </wp:anchor>
          </w:drawing>
        </mc:Choice>
        <mc:Fallback>
          <w:pict>
            <v:rect id="文本框 24"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LFD1bKAQAAkwMAAA4AAABkcnMvZTJvRG9jLnhtbK1TS44TMRDdI3EH&#10;y3vSH41Q1EpnhBQNQkIw0sABHLc7bck/VTnpDgeAG7Biw55z5RyU+5MZDZtZsHFXuexX7z1Xb24H&#10;a9hJAWrval6scs6Uk77R7lDzr1/u3qw5wyhcI4x3quZnhfx2+/rVpg+VKn3nTaOAEYjDqg8172IM&#10;VZah7JQVuPJBOSq2HqyIlMIha0D0hG5NVub526z30ATwUiHS7m4q8hkRXgLo21ZLtfPyaJWLEyoo&#10;IyJJwk4H5NuRbdsqGT+3LarITM1JaRxXakLxPq3ZdiOqA4jQaTlTEC+h8EyTFdpR0yvUTkTBjqD/&#10;gbJagkffxpX0NpuEjI6QiiJ/5s1DJ4IatZDVGK6m4/+DlZ9O98B0U/Oboig5c8LSm19+/rj8+nP5&#10;/Z2VN8miPmBFJx/CPcwZUpj0Di3Y9CUlbBhtPV9tVUNkkjaLdble5+S4pNqSEE72eD0AxvfKW5aC&#10;mgO922inOH3EOB1djqRuxqXV+TttzFRNO1miORFLURz2w8x275szyaSpJ/DOwzfOenrzmjsacc7M&#10;B0eWpvFYAliC/RIIJ+lizSdeGN4dI7UfuaVmU4eZA73VqG6eqzQMT/Px1OO/tP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ELFD1bKAQAAkwMAAA4AAAAAAAAAAQAgAAAAHwEAAGRycy9lMm9E&#10;b2MueG1sUEsFBgAAAAAGAAYAWQEAAFsFAAAAAA==&#10;">
              <v:fill on="f" focussize="0,0"/>
              <v:stroke on="f"/>
              <v:imagedata o:title=""/>
              <o:lock v:ext="edit" aspectratio="f"/>
              <v:textbox inset="0mm,0mm,0mm,0mm" style="mso-fit-shape-to-text:t;">
                <w:txbxContent>
                  <w:p w14:paraId="56D23A87">
                    <w:pPr>
                      <w:pStyle w:val="40"/>
                    </w:pPr>
                    <w:r>
                      <w:fldChar w:fldCharType="begin"/>
                    </w:r>
                    <w:r>
                      <w:instrText xml:space="preserve"> PAGE  \* MERGEFORMAT </w:instrText>
                    </w:r>
                    <w:r>
                      <w:fldChar w:fldCharType="separate"/>
                    </w:r>
                    <w:r>
                      <w:t>81</w:t>
                    </w:r>
                    <w:r>
                      <w:fldChar w:fldCharType="end"/>
                    </w:r>
                  </w:p>
                </w:txbxContent>
              </v:textbox>
            </v:rect>
          </w:pict>
        </mc:Fallback>
      </mc:AlternateContent>
    </w:r>
    <w:r>
      <mc:AlternateContent>
        <mc:Choice Requires="wps">
          <w:drawing>
            <wp:anchor distT="0" distB="0" distL="0" distR="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3"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4A2FD7A">
                          <w:pPr>
                            <w:pStyle w:val="40"/>
                          </w:pPr>
                        </w:p>
                        <w:p w14:paraId="26C0CE43"/>
                      </w:txbxContent>
                    </wps:txbx>
                    <wps:bodyPr vert="horz" wrap="none" lIns="0" tIns="0" rIns="0" bIns="0" anchor="t">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KU/GLLAQAAkwMAAA4AAABkcnMvZTJvRG9jLnhtbK1TS27bMBDdF8gd&#10;CO5jSe4HhmA5KGAkCFC0AdIegKYoiwB/mKEtuQdob9BVN933XD5Hh/o4RbrJohtqhkO+ee9xtL7p&#10;rWFHBai9q3ixyDlTTvpau33Fv3y+vV5xhlG4WhjvVMVPCvnN5urVugulWvrWm1oBIxCHZRcq3sYY&#10;yixD2SorcOGDclRsPFgRKYV9VoPoCN2abJnn77LOQx3AS4VIu9uxyCdEeAmgbxot1dbLg1Uujqig&#10;jIgkCVsdkG8Gtk2jZPzUNKgiMxUnpXFYqQnFu7Rmm7Uo9yBCq+VEQbyEwjNNVmhHTS9QWxEFO4D+&#10;B8pqCR59ExfS22wUMjhCKor8mTePrQhq0EJWY7iYjv8PVn48PgDTdcXfFMVrzpyw9ObnH9/PP3+f&#10;f31jxdtkURewpJOP4QGmDClMevsGbPqSEtYPtp4utqo+MkmbxWq5WuXkuKTanBBO9nQ9AMY75S1L&#10;QcWB3m2wUxw/YByPzkdSN+PS6vytNmaspp0s0RyJpSj2u35iu/P1iWTS1BN46+ErZx29ecUdjThn&#10;5t6RpWk85gDmYDcHwkm6WPGRF4b3h0jtB26p2dhh4kBvNaib5ioNw9/5cOrpX9r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ClPxiywEAAJMDAAAOAAAAAAAAAAEAIAAAAB8BAABkcnMvZTJv&#10;RG9jLnhtbFBLBQYAAAAABgAGAFkBAABcBQAAAAA=&#10;">
              <v:fill on="f" focussize="0,0"/>
              <v:stroke on="f"/>
              <v:imagedata o:title=""/>
              <o:lock v:ext="edit" aspectratio="f"/>
              <v:textbox inset="0mm,0mm,0mm,0mm" style="mso-fit-shape-to-text:t;">
                <w:txbxContent>
                  <w:p w14:paraId="04A2FD7A">
                    <w:pPr>
                      <w:pStyle w:val="40"/>
                    </w:pPr>
                  </w:p>
                  <w:p w14:paraId="26C0CE43"/>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E286B">
    <w:pPr>
      <w:pStyle w:val="41"/>
      <w:pBdr>
        <w:bottom w:val="none" w:color="auto" w:sz="0" w:space="4"/>
      </w:pBdr>
      <w:jc w:val="right"/>
    </w:pPr>
    <w:r>
      <w:rPr>
        <w:rFonts w:hint="eastAsia"/>
      </w:rPr>
      <w:t xml:space="preserve">      </w:t>
    </w:r>
  </w:p>
  <w:p w14:paraId="620BC6B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02F5E">
    <w:pPr>
      <w:pStyle w:val="41"/>
      <w:pBdr>
        <w:bottom w:val="none" w:color="auto" w:sz="0" w:space="1"/>
      </w:pBdr>
    </w:pPr>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103C6">
    <w:pPr>
      <w:pStyle w:val="41"/>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913D6">
    <w:pPr>
      <w:pStyle w:val="41"/>
      <w:pBdr>
        <w:bottom w:val="none" w:color="auto" w:sz="0" w:space="1"/>
      </w:pBdr>
      <w:jc w:val="right"/>
      <w:rPr>
        <w:rFonts w:ascii="仿宋_GB2312" w:eastAsia="仿宋_GB2312"/>
        <w:b/>
        <w:i/>
        <w:u w:val="single"/>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5EC47">
    <w:pPr>
      <w:pStyle w:val="41"/>
      <w:pBdr>
        <w:bottom w:val="none" w:color="auto" w:sz="0" w:space="1"/>
      </w:pBdr>
    </w:pPr>
    <w:r>
      <w:rPr>
        <w:rFonts w:hint="eastAsia"/>
      </w:rPr>
      <w:t xml:space="preserve">        </w:t>
    </w:r>
  </w:p>
  <w:p w14:paraId="24ADB2C7">
    <w:pPr>
      <w:pStyle w:val="41"/>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98FD6">
    <w:pPr>
      <w:pStyle w:val="41"/>
      <w:pBdr>
        <w:bottom w:val="none" w:color="auto" w:sz="0" w:space="1"/>
      </w:pBdr>
      <w:rPr>
        <w:rFonts w:ascii="仿宋_GB2312" w:eastAsia="仿宋_GB2312"/>
        <w:b/>
        <w:i/>
        <w:u w:val="single"/>
      </w:rPr>
    </w:pPr>
    <w:r>
      <w:rPr>
        <w:rFonts w:hint="eastAsia"/>
      </w:rPr>
      <w:t xml:space="preserve">                                   </w:t>
    </w:r>
    <w:r>
      <w:t xml:space="preserve">           </w:t>
    </w:r>
    <w:r>
      <w:rPr>
        <w:rFonts w:hint="eastAsia"/>
      </w:rPr>
      <w:t xml:space="preserve">     </w:t>
    </w:r>
  </w:p>
  <w:p w14:paraId="3985D1E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24812">
    <w:pPr>
      <w:pStyle w:val="41"/>
      <w:pBdr>
        <w:bottom w:val="none" w:color="auto" w:sz="0" w:space="1"/>
      </w:pBdr>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EC9A8">
    <w:pPr>
      <w:pStyle w:val="41"/>
      <w:pBdr>
        <w:bottom w:val="none" w:color="auto" w:sz="0" w:space="1"/>
      </w:pBdr>
      <w:jc w:val="right"/>
      <w:rPr>
        <w:rFonts w:ascii="仿宋_GB2312" w:eastAsia="仿宋_GB2312"/>
        <w:b/>
        <w:i/>
        <w:u w:val="single"/>
      </w:rPr>
    </w:pPr>
    <w:r>
      <w:rPr>
        <w:rFonts w:hint="eastAsia"/>
      </w:rPr>
      <w:t xml:space="preserve">                      </w:t>
    </w:r>
  </w:p>
  <w:p w14:paraId="51898CF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4D556">
    <w:pPr>
      <w:pStyle w:val="41"/>
      <w:pBdr>
        <w:bottom w:val="none" w:color="auto" w:sz="0" w:space="1"/>
      </w:pBdr>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4FD0A">
    <w:pPr>
      <w:pStyle w:val="41"/>
      <w:pBdr>
        <w:bottom w:val="none" w:color="auto" w:sz="0" w:space="1"/>
      </w:pBdr>
      <w:jc w:val="both"/>
      <w:rPr>
        <w:rFonts w:ascii="仿宋_GB2312" w:eastAsia="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299C9"/>
    <w:multiLevelType w:val="singleLevel"/>
    <w:tmpl w:val="8B3299C9"/>
    <w:lvl w:ilvl="0" w:tentative="0">
      <w:start w:val="1"/>
      <w:numFmt w:val="decimal"/>
      <w:suff w:val="nothing"/>
      <w:lvlText w:val="（%1）"/>
      <w:lvlJc w:val="left"/>
    </w:lvl>
  </w:abstractNum>
  <w:abstractNum w:abstractNumId="1">
    <w:nsid w:val="CDC57301"/>
    <w:multiLevelType w:val="singleLevel"/>
    <w:tmpl w:val="CDC57301"/>
    <w:lvl w:ilvl="0" w:tentative="0">
      <w:start w:val="5"/>
      <w:numFmt w:val="chineseCounting"/>
      <w:suff w:val="space"/>
      <w:lvlText w:val="第%1部分"/>
      <w:lvlJc w:val="left"/>
      <w:rPr>
        <w:rFonts w:hint="eastAsia"/>
      </w:rPr>
    </w:lvl>
  </w:abstractNum>
  <w:abstractNum w:abstractNumId="2">
    <w:nsid w:val="00000001"/>
    <w:multiLevelType w:val="singleLevel"/>
    <w:tmpl w:val="00000001"/>
    <w:lvl w:ilvl="0" w:tentative="0">
      <w:start w:val="23"/>
      <w:numFmt w:val="decimal"/>
      <w:suff w:val="space"/>
      <w:lvlText w:val="%1."/>
      <w:lvlJc w:val="left"/>
    </w:lvl>
  </w:abstractNum>
  <w:abstractNum w:abstractNumId="3">
    <w:nsid w:val="00000003"/>
    <w:multiLevelType w:val="singleLevel"/>
    <w:tmpl w:val="00000003"/>
    <w:lvl w:ilvl="0" w:tentative="0">
      <w:start w:val="1"/>
      <w:numFmt w:val="chineseCounting"/>
      <w:suff w:val="nothing"/>
      <w:lvlText w:val="%1、"/>
      <w:lvlJc w:val="left"/>
      <w:rPr>
        <w:rFonts w:hint="eastAsia"/>
      </w:rPr>
    </w:lvl>
  </w:abstractNum>
  <w:abstractNum w:abstractNumId="4">
    <w:nsid w:val="00000004"/>
    <w:multiLevelType w:val="singleLevel"/>
    <w:tmpl w:val="00000004"/>
    <w:lvl w:ilvl="0" w:tentative="0">
      <w:start w:val="8"/>
      <w:numFmt w:val="decimal"/>
      <w:suff w:val="space"/>
      <w:lvlText w:val="%1."/>
      <w:lvlJc w:val="left"/>
    </w:lvl>
  </w:abstractNum>
  <w:abstractNum w:abstractNumId="5">
    <w:nsid w:val="00000006"/>
    <w:multiLevelType w:val="singleLevel"/>
    <w:tmpl w:val="00000006"/>
    <w:lvl w:ilvl="0" w:tentative="0">
      <w:start w:val="19"/>
      <w:numFmt w:val="decimal"/>
      <w:suff w:val="space"/>
      <w:lvlText w:val="%1."/>
      <w:lvlJc w:val="left"/>
    </w:lvl>
  </w:abstractNum>
  <w:abstractNum w:abstractNumId="6">
    <w:nsid w:val="00000007"/>
    <w:multiLevelType w:val="singleLevel"/>
    <w:tmpl w:val="00000007"/>
    <w:lvl w:ilvl="0" w:tentative="0">
      <w:start w:val="1"/>
      <w:numFmt w:val="chineseCounting"/>
      <w:suff w:val="nothing"/>
      <w:lvlText w:val="%1、"/>
      <w:lvlJc w:val="left"/>
    </w:lvl>
  </w:abstractNum>
  <w:abstractNum w:abstractNumId="7">
    <w:nsid w:val="00000008"/>
    <w:multiLevelType w:val="singleLevel"/>
    <w:tmpl w:val="00000008"/>
    <w:lvl w:ilvl="0" w:tentative="0">
      <w:start w:val="3"/>
      <w:numFmt w:val="chineseCounting"/>
      <w:suff w:val="nothing"/>
      <w:lvlText w:val="%1、"/>
      <w:lvlJc w:val="left"/>
    </w:lvl>
  </w:abstractNum>
  <w:abstractNum w:abstractNumId="8">
    <w:nsid w:val="0D43D065"/>
    <w:multiLevelType w:val="singleLevel"/>
    <w:tmpl w:val="0D43D065"/>
    <w:lvl w:ilvl="0" w:tentative="0">
      <w:start w:val="1"/>
      <w:numFmt w:val="chineseCounting"/>
      <w:suff w:val="nothing"/>
      <w:lvlText w:val="%1、"/>
      <w:lvlJc w:val="left"/>
      <w:rPr>
        <w:rFonts w:hint="eastAsia"/>
      </w:rPr>
    </w:lvl>
  </w:abstractNum>
  <w:abstractNum w:abstractNumId="9">
    <w:nsid w:val="59ADCABA"/>
    <w:multiLevelType w:val="singleLevel"/>
    <w:tmpl w:val="59ADCABA"/>
    <w:lvl w:ilvl="0" w:tentative="0">
      <w:start w:val="2"/>
      <w:numFmt w:val="decimal"/>
      <w:suff w:val="space"/>
      <w:lvlText w:val="%1."/>
      <w:lvlJc w:val="left"/>
    </w:lvl>
  </w:abstractNum>
  <w:num w:numId="1">
    <w:abstractNumId w:val="9"/>
  </w:num>
  <w:num w:numId="2">
    <w:abstractNumId w:val="4"/>
  </w:num>
  <w:num w:numId="3">
    <w:abstractNumId w:val="5"/>
  </w:num>
  <w:num w:numId="4">
    <w:abstractNumId w:val="2"/>
  </w:num>
  <w:num w:numId="5">
    <w:abstractNumId w:val="1"/>
  </w:num>
  <w:num w:numId="6">
    <w:abstractNumId w:val="8"/>
  </w:num>
  <w:num w:numId="7">
    <w:abstractNumId w:val="3"/>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MDE3OTZlZWIxNGMxMGIwYWRkMjg0NTk5N2JlMTgifQ=="/>
    <w:docVar w:name="KSO_WPS_MARK_KEY" w:val="2fab5df4-c1fa-4173-9637-eee87b8be04d"/>
  </w:docVars>
  <w:rsids>
    <w:rsidRoot w:val="00CB7759"/>
    <w:rsid w:val="00014755"/>
    <w:rsid w:val="00037A67"/>
    <w:rsid w:val="000420FB"/>
    <w:rsid w:val="00053079"/>
    <w:rsid w:val="000F183E"/>
    <w:rsid w:val="001472DA"/>
    <w:rsid w:val="001E2F52"/>
    <w:rsid w:val="001E5360"/>
    <w:rsid w:val="00206603"/>
    <w:rsid w:val="00314144"/>
    <w:rsid w:val="00380D62"/>
    <w:rsid w:val="003A6642"/>
    <w:rsid w:val="0040140D"/>
    <w:rsid w:val="00416146"/>
    <w:rsid w:val="005039AC"/>
    <w:rsid w:val="00536C75"/>
    <w:rsid w:val="00542D1D"/>
    <w:rsid w:val="00554B44"/>
    <w:rsid w:val="00574AD4"/>
    <w:rsid w:val="00590280"/>
    <w:rsid w:val="005A31A1"/>
    <w:rsid w:val="006836AD"/>
    <w:rsid w:val="006B5D98"/>
    <w:rsid w:val="006B6E7C"/>
    <w:rsid w:val="006C427E"/>
    <w:rsid w:val="006C6433"/>
    <w:rsid w:val="007649CC"/>
    <w:rsid w:val="00780C13"/>
    <w:rsid w:val="00821853"/>
    <w:rsid w:val="009F57F2"/>
    <w:rsid w:val="00AB7E03"/>
    <w:rsid w:val="00B30CE5"/>
    <w:rsid w:val="00CB7759"/>
    <w:rsid w:val="00D015B9"/>
    <w:rsid w:val="00D06112"/>
    <w:rsid w:val="00D448D9"/>
    <w:rsid w:val="00DD2F8F"/>
    <w:rsid w:val="00E74A2F"/>
    <w:rsid w:val="00E77F22"/>
    <w:rsid w:val="00E900F2"/>
    <w:rsid w:val="00EA6AE1"/>
    <w:rsid w:val="00EA78E9"/>
    <w:rsid w:val="00EB0ACE"/>
    <w:rsid w:val="00F24E9E"/>
    <w:rsid w:val="00F30BE8"/>
    <w:rsid w:val="00F34EFE"/>
    <w:rsid w:val="00F80DB1"/>
    <w:rsid w:val="00F81CF2"/>
    <w:rsid w:val="00F84914"/>
    <w:rsid w:val="00FB6910"/>
    <w:rsid w:val="01710365"/>
    <w:rsid w:val="018A241B"/>
    <w:rsid w:val="018E2A45"/>
    <w:rsid w:val="01946964"/>
    <w:rsid w:val="019C2A3A"/>
    <w:rsid w:val="01B974D3"/>
    <w:rsid w:val="020C62E0"/>
    <w:rsid w:val="022D740A"/>
    <w:rsid w:val="026B3575"/>
    <w:rsid w:val="027C2EF0"/>
    <w:rsid w:val="0284386F"/>
    <w:rsid w:val="029702A0"/>
    <w:rsid w:val="029A1B3E"/>
    <w:rsid w:val="03326801"/>
    <w:rsid w:val="034E2420"/>
    <w:rsid w:val="0372433C"/>
    <w:rsid w:val="03884C34"/>
    <w:rsid w:val="03AF1CE7"/>
    <w:rsid w:val="03D65549"/>
    <w:rsid w:val="046B3792"/>
    <w:rsid w:val="04A10F62"/>
    <w:rsid w:val="050662C1"/>
    <w:rsid w:val="050C0E65"/>
    <w:rsid w:val="0514603E"/>
    <w:rsid w:val="05196B38"/>
    <w:rsid w:val="05306615"/>
    <w:rsid w:val="053A4F12"/>
    <w:rsid w:val="05C93717"/>
    <w:rsid w:val="05CE5463"/>
    <w:rsid w:val="05F12BE9"/>
    <w:rsid w:val="05F92040"/>
    <w:rsid w:val="060003B2"/>
    <w:rsid w:val="06210C9B"/>
    <w:rsid w:val="062A4F87"/>
    <w:rsid w:val="06370692"/>
    <w:rsid w:val="064A75F1"/>
    <w:rsid w:val="069A65B0"/>
    <w:rsid w:val="06A41191"/>
    <w:rsid w:val="06BC1B2D"/>
    <w:rsid w:val="06EA1B0A"/>
    <w:rsid w:val="07192104"/>
    <w:rsid w:val="0748606E"/>
    <w:rsid w:val="07FD649F"/>
    <w:rsid w:val="08213E64"/>
    <w:rsid w:val="08434164"/>
    <w:rsid w:val="085D6318"/>
    <w:rsid w:val="089853A5"/>
    <w:rsid w:val="08D86E4A"/>
    <w:rsid w:val="08E51639"/>
    <w:rsid w:val="091B5EEE"/>
    <w:rsid w:val="09491BC8"/>
    <w:rsid w:val="096E0EE2"/>
    <w:rsid w:val="098933B6"/>
    <w:rsid w:val="09E37C41"/>
    <w:rsid w:val="09F064E7"/>
    <w:rsid w:val="0A6214C7"/>
    <w:rsid w:val="0A6A6C22"/>
    <w:rsid w:val="0A805ABD"/>
    <w:rsid w:val="0A9E5F43"/>
    <w:rsid w:val="0AF12517"/>
    <w:rsid w:val="0B0B282B"/>
    <w:rsid w:val="0B0B3038"/>
    <w:rsid w:val="0B212DFC"/>
    <w:rsid w:val="0B70168E"/>
    <w:rsid w:val="0BB0283D"/>
    <w:rsid w:val="0BBF43C3"/>
    <w:rsid w:val="0BF830E8"/>
    <w:rsid w:val="0C481107"/>
    <w:rsid w:val="0C5C572B"/>
    <w:rsid w:val="0C6B560F"/>
    <w:rsid w:val="0C757885"/>
    <w:rsid w:val="0C776A4C"/>
    <w:rsid w:val="0C807FF6"/>
    <w:rsid w:val="0CBF4E4A"/>
    <w:rsid w:val="0D627E01"/>
    <w:rsid w:val="0DBC0D80"/>
    <w:rsid w:val="0DC64711"/>
    <w:rsid w:val="0E796AAB"/>
    <w:rsid w:val="0ED069D6"/>
    <w:rsid w:val="0EEC6F56"/>
    <w:rsid w:val="0F136F00"/>
    <w:rsid w:val="0F5B4403"/>
    <w:rsid w:val="0F7B45D3"/>
    <w:rsid w:val="0FB0474F"/>
    <w:rsid w:val="0FBF2BE4"/>
    <w:rsid w:val="10066825"/>
    <w:rsid w:val="1009797A"/>
    <w:rsid w:val="101A7925"/>
    <w:rsid w:val="10280789"/>
    <w:rsid w:val="10713A48"/>
    <w:rsid w:val="10C1087E"/>
    <w:rsid w:val="10CE7EBA"/>
    <w:rsid w:val="10D86B4D"/>
    <w:rsid w:val="10F811EF"/>
    <w:rsid w:val="11E62D77"/>
    <w:rsid w:val="1230601B"/>
    <w:rsid w:val="12337B25"/>
    <w:rsid w:val="12A32349"/>
    <w:rsid w:val="12D5678B"/>
    <w:rsid w:val="12DC2094"/>
    <w:rsid w:val="12F77F14"/>
    <w:rsid w:val="13A55CA5"/>
    <w:rsid w:val="13C652D6"/>
    <w:rsid w:val="13FD3CDB"/>
    <w:rsid w:val="148F3EBD"/>
    <w:rsid w:val="149B6E30"/>
    <w:rsid w:val="14A35128"/>
    <w:rsid w:val="14CB5B87"/>
    <w:rsid w:val="14E848AC"/>
    <w:rsid w:val="150C5B95"/>
    <w:rsid w:val="15450D0D"/>
    <w:rsid w:val="15717E38"/>
    <w:rsid w:val="157A2AC8"/>
    <w:rsid w:val="15E80666"/>
    <w:rsid w:val="161D3F56"/>
    <w:rsid w:val="16321ADC"/>
    <w:rsid w:val="163A2FC4"/>
    <w:rsid w:val="1659387A"/>
    <w:rsid w:val="165B2F3A"/>
    <w:rsid w:val="16613AEF"/>
    <w:rsid w:val="16A26BF5"/>
    <w:rsid w:val="16D8458B"/>
    <w:rsid w:val="17155EC6"/>
    <w:rsid w:val="174149E1"/>
    <w:rsid w:val="17E67AED"/>
    <w:rsid w:val="17E92EF4"/>
    <w:rsid w:val="1865561C"/>
    <w:rsid w:val="188C1C7A"/>
    <w:rsid w:val="18A312F5"/>
    <w:rsid w:val="18A4770C"/>
    <w:rsid w:val="18AD1284"/>
    <w:rsid w:val="18F04543"/>
    <w:rsid w:val="191865FE"/>
    <w:rsid w:val="196565AA"/>
    <w:rsid w:val="19687E48"/>
    <w:rsid w:val="198F58EB"/>
    <w:rsid w:val="198F789F"/>
    <w:rsid w:val="19F31E08"/>
    <w:rsid w:val="19F94F44"/>
    <w:rsid w:val="1A1459A8"/>
    <w:rsid w:val="1A1742D3"/>
    <w:rsid w:val="1A563180"/>
    <w:rsid w:val="1A722D0C"/>
    <w:rsid w:val="1AC21125"/>
    <w:rsid w:val="1AC34E0F"/>
    <w:rsid w:val="1AD05723"/>
    <w:rsid w:val="1B0E45B3"/>
    <w:rsid w:val="1B16557C"/>
    <w:rsid w:val="1B4A3CA9"/>
    <w:rsid w:val="1B8C2514"/>
    <w:rsid w:val="1BBB48E7"/>
    <w:rsid w:val="1BE063BC"/>
    <w:rsid w:val="1C0E078B"/>
    <w:rsid w:val="1C5D258E"/>
    <w:rsid w:val="1C84143D"/>
    <w:rsid w:val="1C9C7127"/>
    <w:rsid w:val="1CE103E2"/>
    <w:rsid w:val="1CFC7225"/>
    <w:rsid w:val="1D36397B"/>
    <w:rsid w:val="1D7236AA"/>
    <w:rsid w:val="1DD2442A"/>
    <w:rsid w:val="1DFB7BD2"/>
    <w:rsid w:val="1E024BD4"/>
    <w:rsid w:val="1E227C62"/>
    <w:rsid w:val="1E2F788F"/>
    <w:rsid w:val="1F100D13"/>
    <w:rsid w:val="1F2F36D4"/>
    <w:rsid w:val="1FA60366"/>
    <w:rsid w:val="1FD372D9"/>
    <w:rsid w:val="1FE40369"/>
    <w:rsid w:val="20BD4F1E"/>
    <w:rsid w:val="20CD2CFB"/>
    <w:rsid w:val="20F155DC"/>
    <w:rsid w:val="20F3588E"/>
    <w:rsid w:val="212E21B0"/>
    <w:rsid w:val="214C62A1"/>
    <w:rsid w:val="21577120"/>
    <w:rsid w:val="21664D55"/>
    <w:rsid w:val="2214623F"/>
    <w:rsid w:val="22486915"/>
    <w:rsid w:val="22E335A4"/>
    <w:rsid w:val="230A01C2"/>
    <w:rsid w:val="231F3C6E"/>
    <w:rsid w:val="23233F55"/>
    <w:rsid w:val="234F5BD5"/>
    <w:rsid w:val="23706277"/>
    <w:rsid w:val="23732550"/>
    <w:rsid w:val="23827D58"/>
    <w:rsid w:val="23B54FEE"/>
    <w:rsid w:val="23F01521"/>
    <w:rsid w:val="24584930"/>
    <w:rsid w:val="2483722C"/>
    <w:rsid w:val="24872232"/>
    <w:rsid w:val="24E54A43"/>
    <w:rsid w:val="24E567F1"/>
    <w:rsid w:val="250021BE"/>
    <w:rsid w:val="25284930"/>
    <w:rsid w:val="253F392B"/>
    <w:rsid w:val="256C0CC0"/>
    <w:rsid w:val="257A6194"/>
    <w:rsid w:val="259F4411"/>
    <w:rsid w:val="25B368EF"/>
    <w:rsid w:val="261542A4"/>
    <w:rsid w:val="26281DF3"/>
    <w:rsid w:val="26541E80"/>
    <w:rsid w:val="26904C78"/>
    <w:rsid w:val="26B00D7E"/>
    <w:rsid w:val="26E02C80"/>
    <w:rsid w:val="26F728D5"/>
    <w:rsid w:val="26FC5F7F"/>
    <w:rsid w:val="274041B2"/>
    <w:rsid w:val="277167F5"/>
    <w:rsid w:val="27DB0C1E"/>
    <w:rsid w:val="27E34CF7"/>
    <w:rsid w:val="280E50B4"/>
    <w:rsid w:val="28150C75"/>
    <w:rsid w:val="281E6AEF"/>
    <w:rsid w:val="282870EB"/>
    <w:rsid w:val="28490D31"/>
    <w:rsid w:val="284F09D0"/>
    <w:rsid w:val="28850088"/>
    <w:rsid w:val="288B1059"/>
    <w:rsid w:val="28936BA9"/>
    <w:rsid w:val="28A23034"/>
    <w:rsid w:val="28E53C39"/>
    <w:rsid w:val="29051210"/>
    <w:rsid w:val="296543A4"/>
    <w:rsid w:val="29A3338D"/>
    <w:rsid w:val="2A2E282E"/>
    <w:rsid w:val="2A992557"/>
    <w:rsid w:val="2AEA4298"/>
    <w:rsid w:val="2B1D21CC"/>
    <w:rsid w:val="2B8D408C"/>
    <w:rsid w:val="2BAE3DE1"/>
    <w:rsid w:val="2BD27070"/>
    <w:rsid w:val="2BDA442A"/>
    <w:rsid w:val="2BE84159"/>
    <w:rsid w:val="2C02490B"/>
    <w:rsid w:val="2C6170A5"/>
    <w:rsid w:val="2C673566"/>
    <w:rsid w:val="2C9E14C2"/>
    <w:rsid w:val="2CA13945"/>
    <w:rsid w:val="2CB27900"/>
    <w:rsid w:val="2CD71D27"/>
    <w:rsid w:val="2D9207CD"/>
    <w:rsid w:val="2D940DB4"/>
    <w:rsid w:val="2D944A6F"/>
    <w:rsid w:val="2E2861E8"/>
    <w:rsid w:val="2E425478"/>
    <w:rsid w:val="2E8A374E"/>
    <w:rsid w:val="2EAF563B"/>
    <w:rsid w:val="2EB235CA"/>
    <w:rsid w:val="2EED4945"/>
    <w:rsid w:val="2EF51D26"/>
    <w:rsid w:val="2F3445FD"/>
    <w:rsid w:val="2F59199C"/>
    <w:rsid w:val="2F946C2F"/>
    <w:rsid w:val="2FDC79D5"/>
    <w:rsid w:val="3025488D"/>
    <w:rsid w:val="307F6407"/>
    <w:rsid w:val="309507C0"/>
    <w:rsid w:val="30F313E3"/>
    <w:rsid w:val="31110B89"/>
    <w:rsid w:val="31154F39"/>
    <w:rsid w:val="312C5C29"/>
    <w:rsid w:val="31300BC4"/>
    <w:rsid w:val="31497822"/>
    <w:rsid w:val="315B2DE2"/>
    <w:rsid w:val="3227669B"/>
    <w:rsid w:val="328A75ED"/>
    <w:rsid w:val="33085141"/>
    <w:rsid w:val="330E1AB4"/>
    <w:rsid w:val="33215C02"/>
    <w:rsid w:val="334119DE"/>
    <w:rsid w:val="33865643"/>
    <w:rsid w:val="33A55EC2"/>
    <w:rsid w:val="33AF6948"/>
    <w:rsid w:val="33CF2B46"/>
    <w:rsid w:val="33F4478F"/>
    <w:rsid w:val="3413539B"/>
    <w:rsid w:val="342D6EE4"/>
    <w:rsid w:val="34761214"/>
    <w:rsid w:val="34A244D0"/>
    <w:rsid w:val="355177A2"/>
    <w:rsid w:val="35612348"/>
    <w:rsid w:val="35AF0E81"/>
    <w:rsid w:val="35EB5444"/>
    <w:rsid w:val="35F93F25"/>
    <w:rsid w:val="36080591"/>
    <w:rsid w:val="365D1AB8"/>
    <w:rsid w:val="3667057B"/>
    <w:rsid w:val="36723C5D"/>
    <w:rsid w:val="36944497"/>
    <w:rsid w:val="36AD53C2"/>
    <w:rsid w:val="36CC069D"/>
    <w:rsid w:val="36E2487D"/>
    <w:rsid w:val="37170A5B"/>
    <w:rsid w:val="373922BC"/>
    <w:rsid w:val="373A0948"/>
    <w:rsid w:val="375D490D"/>
    <w:rsid w:val="37677539"/>
    <w:rsid w:val="378620B5"/>
    <w:rsid w:val="378B147A"/>
    <w:rsid w:val="37A3563C"/>
    <w:rsid w:val="37AC27A5"/>
    <w:rsid w:val="37C41FF6"/>
    <w:rsid w:val="37DF6CD4"/>
    <w:rsid w:val="37F92E13"/>
    <w:rsid w:val="38194CD8"/>
    <w:rsid w:val="3855655E"/>
    <w:rsid w:val="38B4163B"/>
    <w:rsid w:val="38B67262"/>
    <w:rsid w:val="38E26638"/>
    <w:rsid w:val="391859CF"/>
    <w:rsid w:val="3A2E0F87"/>
    <w:rsid w:val="3A5E6F6F"/>
    <w:rsid w:val="3A634A7E"/>
    <w:rsid w:val="3AFA449A"/>
    <w:rsid w:val="3B162F21"/>
    <w:rsid w:val="3B3077EE"/>
    <w:rsid w:val="3B31058A"/>
    <w:rsid w:val="3B5E1A83"/>
    <w:rsid w:val="3B867253"/>
    <w:rsid w:val="3BC35F05"/>
    <w:rsid w:val="3BE044E9"/>
    <w:rsid w:val="3C1D303B"/>
    <w:rsid w:val="3C4310AF"/>
    <w:rsid w:val="3C5F4C83"/>
    <w:rsid w:val="3C5F7E2C"/>
    <w:rsid w:val="3C752089"/>
    <w:rsid w:val="3CAD59EE"/>
    <w:rsid w:val="3CCD3D91"/>
    <w:rsid w:val="3D425F57"/>
    <w:rsid w:val="3D4D2D2E"/>
    <w:rsid w:val="3D792C01"/>
    <w:rsid w:val="3D965372"/>
    <w:rsid w:val="3DBA0E43"/>
    <w:rsid w:val="3DDE0A94"/>
    <w:rsid w:val="3DDF42CD"/>
    <w:rsid w:val="3DE139DA"/>
    <w:rsid w:val="3E4A5544"/>
    <w:rsid w:val="3E5E3444"/>
    <w:rsid w:val="3EBF3EAC"/>
    <w:rsid w:val="3F053906"/>
    <w:rsid w:val="3F061212"/>
    <w:rsid w:val="3F1907ED"/>
    <w:rsid w:val="3F20694C"/>
    <w:rsid w:val="3FAE09D4"/>
    <w:rsid w:val="3FEC0F24"/>
    <w:rsid w:val="401E6955"/>
    <w:rsid w:val="4057187D"/>
    <w:rsid w:val="406D0DBF"/>
    <w:rsid w:val="40865551"/>
    <w:rsid w:val="40D875ED"/>
    <w:rsid w:val="40FE0F0E"/>
    <w:rsid w:val="411063A8"/>
    <w:rsid w:val="412C5A7C"/>
    <w:rsid w:val="41462893"/>
    <w:rsid w:val="41D55693"/>
    <w:rsid w:val="425D19CE"/>
    <w:rsid w:val="42687EB0"/>
    <w:rsid w:val="42707D68"/>
    <w:rsid w:val="42852A8A"/>
    <w:rsid w:val="429779C2"/>
    <w:rsid w:val="429E7DFD"/>
    <w:rsid w:val="42AE784B"/>
    <w:rsid w:val="42F73568"/>
    <w:rsid w:val="43003AC9"/>
    <w:rsid w:val="43436F00"/>
    <w:rsid w:val="434C2E6B"/>
    <w:rsid w:val="436239D7"/>
    <w:rsid w:val="43E268C5"/>
    <w:rsid w:val="43FE3EE3"/>
    <w:rsid w:val="4475773A"/>
    <w:rsid w:val="44856252"/>
    <w:rsid w:val="44894F93"/>
    <w:rsid w:val="44EC4671"/>
    <w:rsid w:val="4513733D"/>
    <w:rsid w:val="4551472C"/>
    <w:rsid w:val="457C4AF8"/>
    <w:rsid w:val="45F303D0"/>
    <w:rsid w:val="45F91F5D"/>
    <w:rsid w:val="463403EB"/>
    <w:rsid w:val="4688185A"/>
    <w:rsid w:val="4707219F"/>
    <w:rsid w:val="482254E2"/>
    <w:rsid w:val="484027D0"/>
    <w:rsid w:val="48AE0148"/>
    <w:rsid w:val="48D23CD0"/>
    <w:rsid w:val="48DD6320"/>
    <w:rsid w:val="49033566"/>
    <w:rsid w:val="492928A1"/>
    <w:rsid w:val="49343AD8"/>
    <w:rsid w:val="495A5CDA"/>
    <w:rsid w:val="49907661"/>
    <w:rsid w:val="4A492EFB"/>
    <w:rsid w:val="4A7F4E6E"/>
    <w:rsid w:val="4AAC2BE5"/>
    <w:rsid w:val="4B6D5947"/>
    <w:rsid w:val="4BA33FD7"/>
    <w:rsid w:val="4BA53696"/>
    <w:rsid w:val="4C912C37"/>
    <w:rsid w:val="4CCE5C39"/>
    <w:rsid w:val="4D4B54DB"/>
    <w:rsid w:val="4D5766EC"/>
    <w:rsid w:val="4DCB045C"/>
    <w:rsid w:val="4E5F0613"/>
    <w:rsid w:val="4E8A1326"/>
    <w:rsid w:val="4EA40AAA"/>
    <w:rsid w:val="4EA40E15"/>
    <w:rsid w:val="4EBC4448"/>
    <w:rsid w:val="4EBE1CDD"/>
    <w:rsid w:val="4F065BB8"/>
    <w:rsid w:val="4F2D07A7"/>
    <w:rsid w:val="4F2E6E63"/>
    <w:rsid w:val="4F562DD9"/>
    <w:rsid w:val="4F8A0EF8"/>
    <w:rsid w:val="4FFF435B"/>
    <w:rsid w:val="500F388E"/>
    <w:rsid w:val="503E4E84"/>
    <w:rsid w:val="504958EE"/>
    <w:rsid w:val="50892963"/>
    <w:rsid w:val="508D1109"/>
    <w:rsid w:val="50CF1F80"/>
    <w:rsid w:val="50E7551B"/>
    <w:rsid w:val="51001577"/>
    <w:rsid w:val="511E595C"/>
    <w:rsid w:val="51332682"/>
    <w:rsid w:val="51964CC6"/>
    <w:rsid w:val="51BF0246"/>
    <w:rsid w:val="51E1640E"/>
    <w:rsid w:val="51FA302C"/>
    <w:rsid w:val="520B5AEE"/>
    <w:rsid w:val="52173BDE"/>
    <w:rsid w:val="5221371A"/>
    <w:rsid w:val="52524C16"/>
    <w:rsid w:val="526D0FC9"/>
    <w:rsid w:val="529F6E3D"/>
    <w:rsid w:val="52A2144F"/>
    <w:rsid w:val="5321043D"/>
    <w:rsid w:val="532F6D06"/>
    <w:rsid w:val="536B3120"/>
    <w:rsid w:val="539707D9"/>
    <w:rsid w:val="53B03A01"/>
    <w:rsid w:val="543D1C0A"/>
    <w:rsid w:val="54B03C7D"/>
    <w:rsid w:val="55482300"/>
    <w:rsid w:val="555A764D"/>
    <w:rsid w:val="55A453E7"/>
    <w:rsid w:val="56310FE7"/>
    <w:rsid w:val="56390066"/>
    <w:rsid w:val="565965C3"/>
    <w:rsid w:val="566B62A7"/>
    <w:rsid w:val="566F6AA5"/>
    <w:rsid w:val="56737851"/>
    <w:rsid w:val="568E7490"/>
    <w:rsid w:val="56C536A0"/>
    <w:rsid w:val="56E524FD"/>
    <w:rsid w:val="570507C3"/>
    <w:rsid w:val="57090802"/>
    <w:rsid w:val="57176393"/>
    <w:rsid w:val="57287B18"/>
    <w:rsid w:val="573A5A2F"/>
    <w:rsid w:val="57527466"/>
    <w:rsid w:val="57D86CB1"/>
    <w:rsid w:val="58035E1A"/>
    <w:rsid w:val="580D2F9A"/>
    <w:rsid w:val="58A92DB1"/>
    <w:rsid w:val="58C47EF0"/>
    <w:rsid w:val="59C63DB0"/>
    <w:rsid w:val="59D14FBA"/>
    <w:rsid w:val="5A00346C"/>
    <w:rsid w:val="5A1C5FBD"/>
    <w:rsid w:val="5A386610"/>
    <w:rsid w:val="5A56555B"/>
    <w:rsid w:val="5B690FC0"/>
    <w:rsid w:val="5B8062B5"/>
    <w:rsid w:val="5BC22E0D"/>
    <w:rsid w:val="5C4D06BC"/>
    <w:rsid w:val="5CA2679A"/>
    <w:rsid w:val="5CB84B6A"/>
    <w:rsid w:val="5CC7372A"/>
    <w:rsid w:val="5D185634"/>
    <w:rsid w:val="5D932E5D"/>
    <w:rsid w:val="5DBF21C2"/>
    <w:rsid w:val="5DC010E3"/>
    <w:rsid w:val="5DFB52D1"/>
    <w:rsid w:val="5E5B30A5"/>
    <w:rsid w:val="5E9C223F"/>
    <w:rsid w:val="5EA52DB8"/>
    <w:rsid w:val="5F004251"/>
    <w:rsid w:val="5F2D2C93"/>
    <w:rsid w:val="5F87446F"/>
    <w:rsid w:val="60470E86"/>
    <w:rsid w:val="60541645"/>
    <w:rsid w:val="605551D8"/>
    <w:rsid w:val="60633A24"/>
    <w:rsid w:val="607A2D9D"/>
    <w:rsid w:val="609E39E7"/>
    <w:rsid w:val="60B669F2"/>
    <w:rsid w:val="60D047A7"/>
    <w:rsid w:val="60E5591C"/>
    <w:rsid w:val="61025A59"/>
    <w:rsid w:val="61137C66"/>
    <w:rsid w:val="614C66A5"/>
    <w:rsid w:val="616366D4"/>
    <w:rsid w:val="617611C7"/>
    <w:rsid w:val="61D704CF"/>
    <w:rsid w:val="61F40C20"/>
    <w:rsid w:val="623205C0"/>
    <w:rsid w:val="625472E1"/>
    <w:rsid w:val="629E620F"/>
    <w:rsid w:val="62C84A81"/>
    <w:rsid w:val="63303BE3"/>
    <w:rsid w:val="633C4859"/>
    <w:rsid w:val="636F1C17"/>
    <w:rsid w:val="638B309E"/>
    <w:rsid w:val="63AB687C"/>
    <w:rsid w:val="63B92A3E"/>
    <w:rsid w:val="643E60DE"/>
    <w:rsid w:val="647E5D3F"/>
    <w:rsid w:val="64B90216"/>
    <w:rsid w:val="65544D5F"/>
    <w:rsid w:val="6575023C"/>
    <w:rsid w:val="6577405E"/>
    <w:rsid w:val="659B022A"/>
    <w:rsid w:val="65AF5153"/>
    <w:rsid w:val="65D24922"/>
    <w:rsid w:val="65D76642"/>
    <w:rsid w:val="662E109F"/>
    <w:rsid w:val="66342B59"/>
    <w:rsid w:val="66431C1F"/>
    <w:rsid w:val="669058B5"/>
    <w:rsid w:val="66DA5FA1"/>
    <w:rsid w:val="66DB1226"/>
    <w:rsid w:val="66DF5D2C"/>
    <w:rsid w:val="66E86DB7"/>
    <w:rsid w:val="66E91548"/>
    <w:rsid w:val="66F42721"/>
    <w:rsid w:val="66F62EAB"/>
    <w:rsid w:val="67482675"/>
    <w:rsid w:val="677D408C"/>
    <w:rsid w:val="67AD417A"/>
    <w:rsid w:val="67B76864"/>
    <w:rsid w:val="67D0065F"/>
    <w:rsid w:val="67D17765"/>
    <w:rsid w:val="67F85E08"/>
    <w:rsid w:val="68246BFD"/>
    <w:rsid w:val="683F45C8"/>
    <w:rsid w:val="685F3B0F"/>
    <w:rsid w:val="689404FB"/>
    <w:rsid w:val="68B27D65"/>
    <w:rsid w:val="68BA4E6C"/>
    <w:rsid w:val="68C31F72"/>
    <w:rsid w:val="69610844"/>
    <w:rsid w:val="69A57D93"/>
    <w:rsid w:val="6A5C61DA"/>
    <w:rsid w:val="6A84664F"/>
    <w:rsid w:val="6A904D6A"/>
    <w:rsid w:val="6AA962BD"/>
    <w:rsid w:val="6AE519F6"/>
    <w:rsid w:val="6B0A0AF3"/>
    <w:rsid w:val="6B307349"/>
    <w:rsid w:val="6BAC3191"/>
    <w:rsid w:val="6BCA0701"/>
    <w:rsid w:val="6BD74A8A"/>
    <w:rsid w:val="6BEE2C86"/>
    <w:rsid w:val="6C08064C"/>
    <w:rsid w:val="6CD52274"/>
    <w:rsid w:val="6D1E5174"/>
    <w:rsid w:val="6D2154B9"/>
    <w:rsid w:val="6E3A103C"/>
    <w:rsid w:val="6E7152E6"/>
    <w:rsid w:val="6E7D0E15"/>
    <w:rsid w:val="6E837BA8"/>
    <w:rsid w:val="6EA95D28"/>
    <w:rsid w:val="6F770C56"/>
    <w:rsid w:val="6F93438B"/>
    <w:rsid w:val="6FB50862"/>
    <w:rsid w:val="6FCD7017"/>
    <w:rsid w:val="6FE3132A"/>
    <w:rsid w:val="6FED4118"/>
    <w:rsid w:val="6FF41BA9"/>
    <w:rsid w:val="7023779A"/>
    <w:rsid w:val="703D35B4"/>
    <w:rsid w:val="705B593D"/>
    <w:rsid w:val="706A665C"/>
    <w:rsid w:val="7084349E"/>
    <w:rsid w:val="70912956"/>
    <w:rsid w:val="70F03B20"/>
    <w:rsid w:val="71897FBC"/>
    <w:rsid w:val="718D75C1"/>
    <w:rsid w:val="71BE3A88"/>
    <w:rsid w:val="71FA5435"/>
    <w:rsid w:val="72201216"/>
    <w:rsid w:val="722A12B4"/>
    <w:rsid w:val="727F7867"/>
    <w:rsid w:val="72C247E1"/>
    <w:rsid w:val="731955B0"/>
    <w:rsid w:val="73875A51"/>
    <w:rsid w:val="739428DE"/>
    <w:rsid w:val="739A5FC5"/>
    <w:rsid w:val="73B45586"/>
    <w:rsid w:val="73C31E6C"/>
    <w:rsid w:val="73CC4188"/>
    <w:rsid w:val="740349DE"/>
    <w:rsid w:val="741563CD"/>
    <w:rsid w:val="741E6EC0"/>
    <w:rsid w:val="745466F1"/>
    <w:rsid w:val="74B94D36"/>
    <w:rsid w:val="752E2E69"/>
    <w:rsid w:val="757F1A3E"/>
    <w:rsid w:val="75C37A55"/>
    <w:rsid w:val="7639548B"/>
    <w:rsid w:val="764E40FB"/>
    <w:rsid w:val="767578B9"/>
    <w:rsid w:val="76CE66B2"/>
    <w:rsid w:val="76D15CA1"/>
    <w:rsid w:val="76EE0B02"/>
    <w:rsid w:val="77167337"/>
    <w:rsid w:val="77582268"/>
    <w:rsid w:val="77953B03"/>
    <w:rsid w:val="78D9058C"/>
    <w:rsid w:val="79641B38"/>
    <w:rsid w:val="79662EC5"/>
    <w:rsid w:val="79677B15"/>
    <w:rsid w:val="79746DD0"/>
    <w:rsid w:val="798B433F"/>
    <w:rsid w:val="79E24222"/>
    <w:rsid w:val="79E73C41"/>
    <w:rsid w:val="7A6E6894"/>
    <w:rsid w:val="7A8E7049"/>
    <w:rsid w:val="7ABC0DCB"/>
    <w:rsid w:val="7AC95077"/>
    <w:rsid w:val="7B2C0D33"/>
    <w:rsid w:val="7B2C5444"/>
    <w:rsid w:val="7BB07A88"/>
    <w:rsid w:val="7BC77B74"/>
    <w:rsid w:val="7BF070CA"/>
    <w:rsid w:val="7C6C58C7"/>
    <w:rsid w:val="7C7E6484"/>
    <w:rsid w:val="7C835849"/>
    <w:rsid w:val="7D295F33"/>
    <w:rsid w:val="7DB675E8"/>
    <w:rsid w:val="7E6416AA"/>
    <w:rsid w:val="7EE65AD5"/>
    <w:rsid w:val="7F2D4C94"/>
    <w:rsid w:val="7FE526CA"/>
    <w:rsid w:val="7FF119CC"/>
    <w:rsid w:val="7FF802FC"/>
    <w:rsid w:val="FEEAD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adjustRightInd/>
      <w:spacing w:line="360" w:lineRule="auto"/>
      <w:jc w:val="center"/>
      <w:outlineLvl w:val="0"/>
    </w:pPr>
    <w:rPr>
      <w:rFonts w:ascii="宋体" w:hAnsi="宋体" w:cs="宋体"/>
      <w:b/>
      <w:bCs/>
      <w:kern w:val="44"/>
      <w:sz w:val="36"/>
      <w:szCs w:val="44"/>
    </w:rPr>
  </w:style>
  <w:style w:type="paragraph" w:styleId="4">
    <w:name w:val="heading 2"/>
    <w:basedOn w:val="1"/>
    <w:next w:val="1"/>
    <w:link w:val="213"/>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9"/>
    <w:qFormat/>
    <w:uiPriority w:val="0"/>
    <w:rPr>
      <w:rFonts w:ascii="宋体" w:hAnsi="Courier New" w:cs="Arial"/>
      <w:snapToGrid w:val="0"/>
      <w:szCs w:val="21"/>
    </w:rPr>
  </w:style>
  <w:style w:type="paragraph" w:styleId="6">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3"/>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6"/>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next w:val="1"/>
    <w:link w:val="433"/>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68"/>
    <w:qFormat/>
    <w:uiPriority w:val="0"/>
    <w:pPr>
      <w:spacing w:line="480" w:lineRule="exact"/>
      <w:ind w:firstLine="480" w:firstLineChars="200"/>
    </w:pPr>
    <w:rPr>
      <w:rFonts w:ascii="宋体" w:hAnsi="宋体"/>
      <w:sz w:val="24"/>
    </w:rPr>
  </w:style>
  <w:style w:type="paragraph" w:styleId="26">
    <w:name w:val="envelope return"/>
    <w:basedOn w:val="1"/>
    <w:qFormat/>
    <w:uiPriority w:val="0"/>
    <w:pPr>
      <w:snapToGrid w:val="0"/>
    </w:pPr>
    <w:rPr>
      <w:rFonts w:ascii="Arial" w:hAnsi="Arial"/>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next w:val="7"/>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5"/>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92"/>
    <w:qFormat/>
    <w:uiPriority w:val="0"/>
    <w:rPr>
      <w:sz w:val="18"/>
      <w:szCs w:val="18"/>
    </w:rPr>
  </w:style>
  <w:style w:type="paragraph" w:styleId="40">
    <w:name w:val="footer"/>
    <w:basedOn w:val="1"/>
    <w:link w:val="386"/>
    <w:qFormat/>
    <w:uiPriority w:val="0"/>
    <w:pPr>
      <w:tabs>
        <w:tab w:val="center" w:pos="4153"/>
        <w:tab w:val="right" w:pos="8306"/>
      </w:tabs>
      <w:snapToGrid w:val="0"/>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basedOn w:val="1"/>
    <w:next w:val="1"/>
    <w:link w:val="137"/>
    <w:qFormat/>
    <w:uiPriority w:val="0"/>
    <w:pPr>
      <w:snapToGrid w:val="0"/>
      <w:spacing w:before="240" w:after="480"/>
      <w:jc w:val="center"/>
    </w:pPr>
    <w:rPr>
      <w:rFonts w:ascii="Arial" w:hAnsi="Arial" w:eastAsia="隶书"/>
      <w:b/>
      <w:bCs/>
      <w:kern w:val="28"/>
      <w:sz w:val="44"/>
      <w:szCs w:val="32"/>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00"/>
    <w:qFormat/>
    <w:uiPriority w:val="0"/>
    <w:rPr>
      <w:b/>
      <w:bCs/>
    </w:rPr>
  </w:style>
  <w:style w:type="paragraph" w:styleId="61">
    <w:name w:val="Body Text First Indent"/>
    <w:basedOn w:val="24"/>
    <w:next w:val="1"/>
    <w:link w:val="324"/>
    <w:qFormat/>
    <w:uiPriority w:val="0"/>
    <w:pPr>
      <w:ind w:firstLine="420"/>
    </w:pPr>
    <w:rPr>
      <w:rFonts w:hAnsi="Calibri" w:cs="Times New Roman"/>
      <w:snapToGrid/>
      <w:szCs w:val="20"/>
    </w:rPr>
  </w:style>
  <w:style w:type="paragraph" w:styleId="62">
    <w:name w:val="Body Text First Indent 2"/>
    <w:basedOn w:val="25"/>
    <w:next w:val="1"/>
    <w:link w:val="12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1">
    <w:name w:val="文档正文"/>
    <w:basedOn w:val="1"/>
    <w:qFormat/>
    <w:uiPriority w:val="0"/>
    <w:pPr>
      <w:spacing w:line="480" w:lineRule="atLeast"/>
      <w:ind w:firstLine="567"/>
      <w:textAlignment w:val="baseline"/>
    </w:pPr>
    <w:rPr>
      <w:kern w:val="0"/>
      <w:sz w:val="24"/>
      <w:szCs w:val="20"/>
    </w:rPr>
  </w:style>
  <w:style w:type="paragraph" w:customStyle="1" w:styleId="82">
    <w:name w:val="正文1"/>
    <w:basedOn w:val="33"/>
    <w:qFormat/>
    <w:uiPriority w:val="0"/>
    <w:pPr>
      <w:ind w:left="0" w:leftChars="0" w:firstLine="480" w:firstLineChars="200"/>
    </w:pPr>
    <w:rPr>
      <w:rFonts w:ascii="仿宋_GB2312" w:hAnsi="Courier New" w:eastAsia="仿宋_GB2312"/>
      <w:kern w:val="28"/>
      <w:sz w:val="24"/>
    </w:rPr>
  </w:style>
  <w:style w:type="paragraph" w:styleId="83">
    <w:name w:val="List Paragraph"/>
    <w:basedOn w:val="1"/>
    <w:qFormat/>
    <w:uiPriority w:val="34"/>
    <w:pPr>
      <w:spacing w:line="360" w:lineRule="auto"/>
      <w:ind w:firstLine="200" w:firstLineChars="200"/>
    </w:pPr>
    <w:rPr>
      <w:rFonts w:eastAsia="楷体_GB2312" w:cs="Lucida Sans"/>
      <w:sz w:val="24"/>
    </w:rPr>
  </w:style>
  <w:style w:type="paragraph" w:customStyle="1" w:styleId="84">
    <w:name w:val="样式3"/>
    <w:basedOn w:val="2"/>
    <w:next w:val="1"/>
    <w:qFormat/>
    <w:uiPriority w:val="0"/>
    <w:pPr>
      <w:tabs>
        <w:tab w:val="left" w:pos="2790"/>
        <w:tab w:val="left" w:pos="4230"/>
      </w:tabs>
      <w:spacing w:before="312" w:beforeLines="100"/>
      <w:jc w:val="left"/>
    </w:pPr>
  </w:style>
  <w:style w:type="paragraph" w:customStyle="1" w:styleId="85">
    <w:name w:val="xl53"/>
    <w:basedOn w:val="1"/>
    <w:next w:val="1"/>
    <w:qFormat/>
    <w:uiPriority w:val="0"/>
    <w:pPr>
      <w:spacing w:before="280" w:after="280" w:line="100" w:lineRule="exact"/>
      <w:jc w:val="center"/>
    </w:pPr>
    <w:rPr>
      <w:rFonts w:ascii="宋体"/>
      <w:b/>
      <w:sz w:val="20"/>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_fac92ace-496d-4f5e-af83-d393a7549af0"/>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0"/>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_7be799d6-cb10-4ba2-b5bd-7fee4764441f"/>
    <w:qFormat/>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2"/>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Char"/>
    <w:link w:val="2"/>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7"/>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uiPriority w:val="0"/>
    <w:rPr>
      <w:rFonts w:eastAsia="宋体"/>
      <w:kern w:val="2"/>
      <w:sz w:val="21"/>
      <w:szCs w:val="24"/>
      <w:lang w:val="en-US" w:eastAsia="zh-CN" w:bidi="ar-SA"/>
    </w:rPr>
  </w:style>
  <w:style w:type="character" w:customStyle="1" w:styleId="150">
    <w:name w:val="font41"/>
    <w:basedOn w:val="70"/>
    <w:qFormat/>
    <w:uiPriority w:val="0"/>
    <w:rPr>
      <w:rFonts w:hint="eastAsia" w:ascii="仿宋_GB2312" w:eastAsia="仿宋_GB2312" w:cs="仿宋_GB2312"/>
      <w:color w:val="000000"/>
      <w:sz w:val="22"/>
      <w:szCs w:val="22"/>
      <w:u w:val="none"/>
    </w:rPr>
  </w:style>
  <w:style w:type="character" w:customStyle="1" w:styleId="151">
    <w:name w:val="标题 6 Char"/>
    <w:link w:val="9"/>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uiPriority w:val="0"/>
    <w:rPr>
      <w:rFonts w:ascii="宋体" w:hAnsi="宋体" w:eastAsia="宋体"/>
      <w:kern w:val="2"/>
      <w:sz w:val="24"/>
      <w:lang w:val="en-US" w:eastAsia="zh-CN" w:bidi="ar-SA"/>
    </w:rPr>
  </w:style>
  <w:style w:type="character" w:customStyle="1" w:styleId="170">
    <w:name w:val="标题 2 字符"/>
    <w:qFormat/>
    <w:uiPriority w:val="0"/>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6"/>
    <w:qFormat/>
    <w:uiPriority w:val="0"/>
    <w:rPr>
      <w:rFonts w:ascii="宋体"/>
      <w:kern w:val="2"/>
      <w:sz w:val="24"/>
      <w:szCs w:val="21"/>
      <w:lang w:val="zh-CN"/>
    </w:rPr>
  </w:style>
  <w:style w:type="character" w:customStyle="1" w:styleId="186">
    <w:name w:val="标题 9 Char"/>
    <w:link w:val="12"/>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0"/>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qFormat/>
    <w:uiPriority w:val="99"/>
    <w:rPr>
      <w:rFonts w:ascii="Times New Roman" w:hAnsi="Times New Roman" w:eastAsia="宋体" w:cs="Times New Roman"/>
      <w:szCs w:val="24"/>
    </w:rPr>
  </w:style>
  <w:style w:type="character" w:customStyle="1" w:styleId="192">
    <w:name w:val="批注框文本 Char"/>
    <w:link w:val="39"/>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6"/>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9"/>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link w:val="4"/>
    <w:qFormat/>
    <w:uiPriority w:val="0"/>
    <w:rPr>
      <w:rFonts w:ascii="仿宋_GB2312" w:hAnsi="仿宋" w:eastAsia="仿宋_GB2312"/>
      <w:b/>
      <w:bCs/>
      <w:sz w:val="32"/>
      <w:szCs w:val="32"/>
      <w:lang w:val="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0"/>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1"/>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7"/>
    <w:link w:val="226"/>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_54737ea6-1c68-4b35-8e17-14a5c797341c"/>
    <w:qFormat/>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7"/>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83"/>
    <w:link w:val="260"/>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34"/>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5"/>
    <w:qFormat/>
    <w:uiPriority w:val="0"/>
    <w:rPr>
      <w:rFonts w:ascii="宋体" w:hAnsi="宋体"/>
      <w:kern w:val="2"/>
      <w:sz w:val="24"/>
      <w:szCs w:val="24"/>
    </w:rPr>
  </w:style>
  <w:style w:type="character" w:customStyle="1" w:styleId="269">
    <w:name w:val="font01"/>
    <w:basedOn w:val="70"/>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_f02a4254-185b-428b-a024-931491bfd89c"/>
    <w:qFormat/>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rFonts w:ascii="宋体" w:hAnsi="宋体" w:eastAsia="宋体" w:cs="宋体"/>
      <w:b/>
      <w:bCs/>
      <w:color w:val="auto"/>
      <w:kern w:val="44"/>
      <w:sz w:val="36"/>
      <w:szCs w:val="44"/>
      <w:highlight w:val="none"/>
      <w:lang w:val="en-US" w:eastAsia="zh-CN" w:bidi="ar-SA"/>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9"/>
    <w:qFormat/>
    <w:uiPriority w:val="10"/>
    <w:rPr>
      <w:b/>
      <w:sz w:val="24"/>
      <w:lang w:val="en-GB"/>
    </w:rPr>
  </w:style>
  <w:style w:type="character" w:customStyle="1" w:styleId="290">
    <w:name w:val="font81"/>
    <w:basedOn w:val="70"/>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8"/>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1"/>
    <w:qFormat/>
    <w:uiPriority w:val="0"/>
    <w:rPr>
      <w:rFonts w:ascii="仿宋_GB2312" w:eastAsia="仿宋_GB2312"/>
      <w:kern w:val="2"/>
      <w:sz w:val="28"/>
    </w:rPr>
  </w:style>
  <w:style w:type="character" w:customStyle="1" w:styleId="302">
    <w:name w:val="文本正文 Char Char"/>
    <w:qFormat/>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7"/>
    <w:qFormat/>
    <w:uiPriority w:val="0"/>
    <w:rPr>
      <w:rFonts w:ascii="黑体" w:hAnsi="Courier New" w:eastAsia="黑体"/>
    </w:rPr>
  </w:style>
  <w:style w:type="character" w:customStyle="1" w:styleId="305">
    <w:name w:val="正文文本 2 Char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7"/>
    <w:link w:val="416"/>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0"/>
    <w:qFormat/>
    <w:uiPriority w:val="0"/>
    <w:rPr>
      <w:b/>
      <w:bCs/>
      <w:kern w:val="2"/>
      <w:sz w:val="24"/>
      <w:szCs w:val="24"/>
    </w:rPr>
  </w:style>
  <w:style w:type="character" w:customStyle="1" w:styleId="311">
    <w:name w:val="正文文本缩进 2 Char"/>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1"/>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7"/>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2"/>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0"/>
    <w:qFormat/>
    <w:uiPriority w:val="99"/>
    <w:rPr>
      <w:kern w:val="2"/>
      <w:sz w:val="21"/>
      <w:szCs w:val="24"/>
    </w:rPr>
  </w:style>
  <w:style w:type="character" w:customStyle="1" w:styleId="348">
    <w:name w:val="签名 Char"/>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1"/>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3"/>
    <w:qFormat/>
    <w:uiPriority w:val="0"/>
    <w:rPr>
      <w:kern w:val="2"/>
      <w:sz w:val="24"/>
    </w:rPr>
  </w:style>
  <w:style w:type="character" w:customStyle="1" w:styleId="379">
    <w:name w:val="日期 Char1"/>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0"/>
    <w:qFormat/>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1"/>
    <w:qFormat/>
    <w:uiPriority w:val="99"/>
    <w:rPr>
      <w:rFonts w:ascii="Times New Roman" w:hAnsi="Times New Roman" w:eastAsia="宋体"/>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0"/>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2"/>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qFormat/>
    <w:uiPriority w:val="0"/>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9"/>
    <w:next w:val="239"/>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9"/>
    <w:next w:val="239"/>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2"/>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432"/>
        <w:tab w:val="left" w:pos="840"/>
      </w:tabs>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after="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widowControl/>
      <w:tabs>
        <w:tab w:val="left" w:pos="432"/>
      </w:tabs>
      <w:overflowPunct w:val="0"/>
      <w:autoSpaceDE w:val="0"/>
      <w:autoSpaceDN w:val="0"/>
      <w:spacing w:after="100"/>
      <w:jc w:val="left"/>
      <w:textAlignment w:val="baseline"/>
    </w:pPr>
    <w:rPr>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8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83"/>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3"/>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40"/>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qFormat/>
    <w:uiPriority w:val="4"/>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30"/>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32"/>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6"/>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4"/>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5"/>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83"/>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1"/>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basedOn w:val="70"/>
    <w:qFormat/>
    <w:uiPriority w:val="0"/>
    <w:rPr>
      <w:rFonts w:hint="eastAsia" w:ascii="仿宋" w:hAnsi="仿宋" w:eastAsia="仿宋" w:cs="仿宋"/>
      <w:color w:val="000000"/>
      <w:sz w:val="22"/>
      <w:szCs w:val="22"/>
      <w:u w:val="none"/>
    </w:rPr>
  </w:style>
  <w:style w:type="paragraph" w:customStyle="1" w:styleId="963">
    <w:name w:val="修订4"/>
    <w:qFormat/>
    <w:uiPriority w:val="99"/>
    <w:rPr>
      <w:rFonts w:ascii="Times New Roman" w:hAnsi="Times New Roman" w:eastAsia="宋体" w:cs="Times New Roman"/>
      <w:kern w:val="2"/>
      <w:sz w:val="21"/>
      <w:szCs w:val="24"/>
      <w:lang w:val="en-US" w:eastAsia="zh-CN" w:bidi="ar-SA"/>
    </w:rPr>
  </w:style>
  <w:style w:type="paragraph" w:customStyle="1" w:styleId="964">
    <w:name w:val="WPSOffice手动目录 1"/>
    <w:qFormat/>
    <w:uiPriority w:val="0"/>
    <w:rPr>
      <w:rFonts w:ascii="Times New Roman" w:hAnsi="Times New Roman" w:eastAsia="宋体" w:cs="Times New Roman"/>
      <w:lang w:val="en-US" w:eastAsia="zh-CN" w:bidi="ar-SA"/>
    </w:rPr>
  </w:style>
  <w:style w:type="paragraph" w:customStyle="1" w:styleId="96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6">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7">
    <w:name w:val="未处理的提及2"/>
    <w:basedOn w:val="70"/>
    <w:qFormat/>
    <w:uiPriority w:val="99"/>
    <w:rPr>
      <w:color w:val="605E5C"/>
      <w:shd w:val="clear" w:color="auto" w:fill="E1DFDD"/>
    </w:rPr>
  </w:style>
  <w:style w:type="paragraph" w:customStyle="1" w:styleId="968">
    <w:name w:val="Revision_84fc9c95-c1a2-4ad6-9500-dfa3f303fd7c"/>
    <w:qFormat/>
    <w:uiPriority w:val="99"/>
    <w:rPr>
      <w:rFonts w:ascii="Times New Roman" w:hAnsi="Times New Roman" w:eastAsia="宋体" w:cs="Times New Roman"/>
      <w:kern w:val="2"/>
      <w:sz w:val="21"/>
      <w:szCs w:val="24"/>
      <w:lang w:val="en-US" w:eastAsia="zh-CN" w:bidi="ar-SA"/>
    </w:rPr>
  </w:style>
  <w:style w:type="paragraph" w:customStyle="1" w:styleId="969">
    <w:name w:val="table_1stline"/>
    <w:basedOn w:val="1"/>
    <w:qFormat/>
    <w:uiPriority w:val="0"/>
    <w:pPr>
      <w:spacing w:before="120"/>
    </w:pPr>
    <w:rPr>
      <w:bCs/>
    </w:rPr>
  </w:style>
  <w:style w:type="paragraph" w:customStyle="1" w:styleId="970">
    <w:name w:val="论文"/>
    <w:basedOn w:val="1"/>
    <w:qFormat/>
    <w:uiPriority w:val="0"/>
    <w:pPr>
      <w:adjustRightInd/>
      <w:spacing w:line="400" w:lineRule="exact"/>
    </w:pPr>
    <w:rPr>
      <w:szCs w:val="22"/>
    </w:rPr>
  </w:style>
  <w:style w:type="paragraph" w:customStyle="1" w:styleId="971">
    <w:name w:val="一级"/>
    <w:basedOn w:val="1"/>
    <w:next w:val="1"/>
    <w:qFormat/>
    <w:uiPriority w:val="0"/>
    <w:pPr>
      <w:adjustRightInd/>
      <w:spacing w:before="360" w:after="360" w:line="400" w:lineRule="exact"/>
      <w:outlineLvl w:val="1"/>
    </w:pPr>
    <w:rPr>
      <w:rFonts w:eastAsia="黑体"/>
      <w:sz w:val="28"/>
      <w:szCs w:val="22"/>
    </w:rPr>
  </w:style>
  <w:style w:type="paragraph" w:customStyle="1" w:styleId="972">
    <w:name w:val="正文（缩进）"/>
    <w:basedOn w:val="1"/>
    <w:qFormat/>
    <w:uiPriority w:val="99"/>
    <w:pPr>
      <w:spacing w:beforeLines="50" w:afterLines="50"/>
      <w:ind w:firstLine="480"/>
    </w:pPr>
    <w:rPr>
      <w:rFonts w:cs="黑体"/>
      <w:sz w:val="24"/>
    </w:rPr>
  </w:style>
  <w:style w:type="paragraph" w:customStyle="1" w:styleId="973">
    <w:name w:val="正文空格"/>
    <w:basedOn w:val="1"/>
    <w:next w:val="1"/>
    <w:qFormat/>
    <w:uiPriority w:val="0"/>
    <w:pPr>
      <w:spacing w:line="400" w:lineRule="exact"/>
      <w:ind w:firstLine="200" w:firstLineChars="200"/>
    </w:pPr>
    <w:rPr>
      <w:sz w:val="24"/>
      <w:szCs w:val="22"/>
    </w:rPr>
  </w:style>
  <w:style w:type="paragraph" w:customStyle="1" w:styleId="974">
    <w:name w:val="二级"/>
    <w:basedOn w:val="975"/>
    <w:next w:val="1"/>
    <w:qFormat/>
    <w:uiPriority w:val="0"/>
    <w:pPr>
      <w:spacing w:before="240" w:after="240"/>
      <w:outlineLvl w:val="2"/>
    </w:pPr>
    <w:rPr>
      <w:rFonts w:eastAsia="黑体"/>
      <w:sz w:val="28"/>
    </w:rPr>
  </w:style>
  <w:style w:type="paragraph" w:customStyle="1" w:styleId="975">
    <w:name w:val="要求正文"/>
    <w:basedOn w:val="1"/>
    <w:qFormat/>
    <w:uiPriority w:val="0"/>
    <w:pPr>
      <w:spacing w:line="400" w:lineRule="exact"/>
    </w:pPr>
    <w:rPr>
      <w:sz w:val="24"/>
      <w:szCs w:val="22"/>
    </w:rPr>
  </w:style>
  <w:style w:type="character" w:customStyle="1" w:styleId="976">
    <w:name w:val="font101"/>
    <w:basedOn w:val="70"/>
    <w:qFormat/>
    <w:uiPriority w:val="0"/>
    <w:rPr>
      <w:rFonts w:hint="eastAsia" w:ascii="宋体" w:hAnsi="宋体" w:eastAsia="宋体" w:cs="宋体"/>
      <w:color w:val="FF0000"/>
      <w:sz w:val="22"/>
      <w:szCs w:val="22"/>
      <w:u w:val="none"/>
    </w:rPr>
  </w:style>
  <w:style w:type="paragraph" w:customStyle="1" w:styleId="977">
    <w:name w:val="No Spacing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78">
    <w:name w:val="font131"/>
    <w:basedOn w:val="70"/>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31981</Words>
  <Characters>34589</Characters>
  <Lines>414</Lines>
  <Paragraphs>116</Paragraphs>
  <TotalTime>16</TotalTime>
  <ScaleCrop>false</ScaleCrop>
  <LinksUpToDate>false</LinksUpToDate>
  <CharactersWithSpaces>35762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2024-04-15T11:44:00Z</dcterms:created>
  <dc:creator>DELL</dc:creator>
  <cp:lastModifiedBy>S&amp;W</cp:lastModifiedBy>
  <cp:lastPrinted>2023-09-06T09:57:00Z</cp:lastPrinted>
  <dcterms:modified xsi:type="dcterms:W3CDTF">2024-12-27T12:50:53Z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A83C3DC46BE045FFB3AA6762F9423CFF_13</vt:lpwstr>
  </property>
  <property fmtid="{D5CDD505-2E9C-101B-9397-08002B2CF9AE}" pid="5" name="KSOTemplateDocerSaveRecord">
    <vt:lpwstr>eyJoZGlkIjoiNTE0YTYwMDNkZjgyMTAwMWYwYTVhNmU2ZjM5NWI4NzMiLCJ1c2VySWQiOiI0ODQ5MjAwNjQifQ==</vt:lpwstr>
  </property>
</Properties>
</file>